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68C45DD0"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3D60A4">
        <w:rPr>
          <w:b/>
          <w:iCs/>
          <w:sz w:val="24"/>
          <w:szCs w:val="24"/>
        </w:rPr>
        <w:t>Rožių</w:t>
      </w:r>
      <w:r w:rsidR="00461441">
        <w:rPr>
          <w:b/>
          <w:iCs/>
          <w:sz w:val="24"/>
          <w:szCs w:val="24"/>
        </w:rPr>
        <w:t xml:space="preserve"> g. KT</w:t>
      </w:r>
      <w:r w:rsidR="003D60A4">
        <w:rPr>
          <w:b/>
          <w:iCs/>
          <w:sz w:val="24"/>
          <w:szCs w:val="24"/>
        </w:rPr>
        <w:t>7198</w:t>
      </w:r>
      <w:r w:rsidR="00461441">
        <w:rPr>
          <w:b/>
          <w:iCs/>
          <w:sz w:val="24"/>
          <w:szCs w:val="24"/>
        </w:rPr>
        <w:t xml:space="preserve">, </w:t>
      </w:r>
      <w:r w:rsidR="003D60A4">
        <w:rPr>
          <w:b/>
          <w:iCs/>
          <w:sz w:val="24"/>
          <w:szCs w:val="24"/>
        </w:rPr>
        <w:t>Darbėnų</w:t>
      </w:r>
      <w:r w:rsidR="00461441">
        <w:rPr>
          <w:b/>
          <w:iCs/>
          <w:sz w:val="24"/>
          <w:szCs w:val="24"/>
        </w:rPr>
        <w:t xml:space="preserve"> m</w:t>
      </w:r>
      <w:r w:rsidR="003D60A4">
        <w:rPr>
          <w:b/>
          <w:iCs/>
          <w:sz w:val="24"/>
          <w:szCs w:val="24"/>
        </w:rPr>
        <w:t>stl</w:t>
      </w:r>
      <w:r w:rsidR="00461441">
        <w:rPr>
          <w:b/>
          <w:iCs/>
          <w:sz w:val="24"/>
          <w:szCs w:val="24"/>
        </w:rPr>
        <w:t>.,</w:t>
      </w:r>
      <w:r w:rsidR="003D60A4">
        <w:rPr>
          <w:b/>
          <w:iCs/>
          <w:sz w:val="24"/>
          <w:szCs w:val="24"/>
        </w:rPr>
        <w:t xml:space="preserve"> Darbėnų sen., </w:t>
      </w:r>
      <w:r w:rsidR="00461441">
        <w:rPr>
          <w:b/>
          <w:iCs/>
          <w:sz w:val="24"/>
          <w:szCs w:val="24"/>
        </w:rPr>
        <w:t xml:space="preserve"> Kretingos r. </w:t>
      </w:r>
      <w:r w:rsidR="00C33B1C">
        <w:rPr>
          <w:b/>
          <w:iCs/>
          <w:sz w:val="24"/>
          <w:szCs w:val="24"/>
        </w:rPr>
        <w:t>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27D44490"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3D60A4">
        <w:rPr>
          <w:bCs/>
          <w:sz w:val="24"/>
          <w:szCs w:val="24"/>
        </w:rPr>
        <w:t>5</w:t>
      </w:r>
      <w:r w:rsidRPr="0009547A">
        <w:rPr>
          <w:bCs/>
          <w:sz w:val="24"/>
          <w:szCs w:val="24"/>
        </w:rPr>
        <w:t xml:space="preserve"> (</w:t>
      </w:r>
      <w:r w:rsidR="003D60A4">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1D7687C7"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3D60A4">
        <w:rPr>
          <w:bCs/>
          <w:sz w:val="24"/>
          <w:szCs w:val="24"/>
        </w:rPr>
        <w:t>3</w:t>
      </w:r>
      <w:r w:rsidR="009171AE" w:rsidRPr="009171AE">
        <w:rPr>
          <w:bCs/>
          <w:sz w:val="24"/>
          <w:szCs w:val="24"/>
        </w:rPr>
        <w:t xml:space="preserve"> (</w:t>
      </w:r>
      <w:r w:rsidR="003D60A4">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w:t>
      </w:r>
      <w:r w:rsidR="00672C1E">
        <w:rPr>
          <w:bCs/>
          <w:iCs/>
          <w:sz w:val="24"/>
          <w:szCs w:val="24"/>
        </w:rPr>
        <w:lastRenderedPageBreak/>
        <w:t>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lastRenderedPageBreak/>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nustato terminą, per kurį trūkumai turi būti pašalinti, per šį terminą nepašalinus trūkumų, numatyta </w:t>
      </w:r>
      <w:r w:rsidR="00F77039" w:rsidRPr="00DE3055">
        <w:lastRenderedPageBreak/>
        <w:t>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įvykdymo užtikrinimas galiotų ir būtų teisiškai įvykdomas nuo Garantinių terminų pradžios dienos </w:t>
      </w:r>
      <w:r w:rsidRPr="008C4603">
        <w:rPr>
          <w:rFonts w:eastAsia="Arial"/>
        </w:rPr>
        <w:lastRenderedPageBreak/>
        <w:t>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w:t>
      </w:r>
      <w:r w:rsidR="007458FF" w:rsidRPr="007458FF">
        <w:rPr>
          <w:bCs/>
          <w:szCs w:val="24"/>
        </w:rPr>
        <w:lastRenderedPageBreak/>
        <w:t xml:space="preserve">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w:t>
      </w:r>
      <w:r w:rsidR="00F77039">
        <w:lastRenderedPageBreak/>
        <w:t>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 xml:space="preserve">arbų. </w:t>
      </w:r>
      <w:r w:rsidR="00F77039" w:rsidRPr="00D01EF9">
        <w:lastRenderedPageBreak/>
        <w:t>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lastRenderedPageBreak/>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3289"/>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D60A4"/>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84C37"/>
    <w:rsid w:val="00490F7C"/>
    <w:rsid w:val="004B0026"/>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C0006"/>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5D97"/>
    <w:rsid w:val="007771F7"/>
    <w:rsid w:val="00777A5A"/>
    <w:rsid w:val="00787C9D"/>
    <w:rsid w:val="007A38B7"/>
    <w:rsid w:val="007B1905"/>
    <w:rsid w:val="007B5942"/>
    <w:rsid w:val="007E17DE"/>
    <w:rsid w:val="007E7607"/>
    <w:rsid w:val="007F694E"/>
    <w:rsid w:val="00800794"/>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E56A8"/>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37AF1"/>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33682</Words>
  <Characters>19200</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3</cp:revision>
  <cp:lastPrinted>2026-03-05T07:36:00Z</cp:lastPrinted>
  <dcterms:created xsi:type="dcterms:W3CDTF">2026-05-28T10:53:00Z</dcterms:created>
  <dcterms:modified xsi:type="dcterms:W3CDTF">2026-05-28T11:04:00Z</dcterms:modified>
</cp:coreProperties>
</file>