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7735D9" w:rsidP="00B50198">
      <w:pPr>
        <w:jc w:val="center"/>
        <w:rPr>
          <w:rFonts w:asciiTheme="majorHAnsi" w:hAnsiTheme="majorHAnsi"/>
          <w:b/>
          <w:bCs/>
          <w:sz w:val="22"/>
          <w:szCs w:val="22"/>
          <w:lang w:val="lt-LT"/>
        </w:rPr>
      </w:pPr>
      <w:r>
        <w:rPr>
          <w:rFonts w:asciiTheme="majorHAnsi" w:hAnsiTheme="majorHAnsi"/>
          <w:b/>
          <w:bCs/>
          <w:sz w:val="22"/>
          <w:szCs w:val="22"/>
          <w:lang w:val="lt-LT"/>
        </w:rPr>
        <w:t>HOLTERIO MONITORAVIMO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7735D9">
        <w:rPr>
          <w:rFonts w:asciiTheme="majorHAnsi" w:hAnsiTheme="majorHAnsi"/>
          <w:b/>
          <w:bCs/>
          <w:color w:val="4F81BD" w:themeColor="accent1"/>
          <w:sz w:val="22"/>
          <w:szCs w:val="22"/>
          <w:lang w:val="lt-LT"/>
        </w:rPr>
        <w:t>holterio monitoravimo sistemą</w:t>
      </w:r>
      <w:r w:rsidR="00C83FEC"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7735D9">
        <w:rPr>
          <w:rFonts w:asciiTheme="majorHAnsi" w:hAnsiTheme="majorHAnsi"/>
          <w:b/>
          <w:bCs/>
          <w:color w:val="4F81BD" w:themeColor="accent1"/>
          <w:sz w:val="22"/>
          <w:szCs w:val="22"/>
          <w:lang w:val="lt-LT"/>
        </w:rPr>
        <w:t>holterio monitoravimo sistema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7735D9">
        <w:rPr>
          <w:rFonts w:asciiTheme="majorHAnsi" w:hAnsiTheme="majorHAnsi"/>
          <w:b/>
          <w:sz w:val="22"/>
          <w:szCs w:val="22"/>
        </w:rPr>
        <w:t>37.800,00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7735D9">
        <w:rPr>
          <w:rFonts w:ascii="Cambria" w:hAnsi="Cambria" w:cstheme="minorHAnsi"/>
          <w:i/>
          <w:noProof/>
          <w:color w:val="4F81BD" w:themeColor="accent1"/>
          <w:sz w:val="22"/>
          <w:szCs w:val="22"/>
        </w:rPr>
        <w:t>holterio monitoravimo sistemos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7735D9">
        <w:rPr>
          <w:rFonts w:ascii="Cambria" w:hAnsi="Cambria" w:cs="Calibri"/>
          <w:noProof/>
          <w:color w:val="4F81BD" w:themeColor="accent1"/>
          <w:sz w:val="22"/>
          <w:szCs w:val="22"/>
          <w:shd w:val="clear" w:color="auto" w:fill="FFFFFF"/>
        </w:rPr>
        <w:t>7369498</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7735D9"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w:t>
      </w:r>
      <w:r w:rsidRPr="007735D9">
        <w:rPr>
          <w:rFonts w:asciiTheme="majorHAnsi" w:hAnsiTheme="majorHAnsi"/>
          <w:color w:val="000000"/>
          <w:sz w:val="24"/>
          <w:szCs w:val="24"/>
        </w:rPr>
        <w:t xml:space="preserve">nustatytos techninių normatyvų sistemos, nacionaliniai standartai, nacionaliniai techniniai </w:t>
      </w:r>
      <w:r w:rsidRPr="007735D9">
        <w:rPr>
          <w:rFonts w:asciiTheme="majorHAnsi" w:hAnsiTheme="majorHAnsi"/>
          <w:color w:val="000000"/>
        </w:rPr>
        <w:t xml:space="preserve">liudijimai arba nacionalinės techninės specifikacijos, susijusios su darbų projektavimu, sąmatų apskaičiavimu ir vykdymu bei prekių naudojimu), </w:t>
      </w:r>
      <w:r w:rsidRPr="007735D9">
        <w:rPr>
          <w:rFonts w:asciiTheme="majorHAnsi" w:hAnsiTheme="majorHAnsi" w:cstheme="minorHAnsi"/>
        </w:rPr>
        <w:t xml:space="preserve">turi būti laikoma, kad kiekviena tokia nuoroda yra pateikta su žodžiais „arba lygiavertis“. </w:t>
      </w:r>
    </w:p>
    <w:p w:rsidR="007735D9" w:rsidRPr="007735D9" w:rsidRDefault="00101F37" w:rsidP="00EB373F">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735D9">
        <w:rPr>
          <w:rFonts w:ascii="Cambria" w:hAnsi="Cambria"/>
          <w:lang w:eastAsia="lt-LT"/>
        </w:rPr>
        <w:t>Šis pirkimas nėra skirstomas į pirkimo dalis</w:t>
      </w:r>
      <w:r w:rsidRPr="007735D9">
        <w:rPr>
          <w:rFonts w:ascii="Cambria" w:hAnsi="Cambria"/>
          <w:lang w:eastAsia="ar-SA"/>
        </w:rPr>
        <w:t xml:space="preserve"> (viso viena pirkimo dalis). </w:t>
      </w:r>
      <w:r w:rsidRPr="007735D9">
        <w:rPr>
          <w:rFonts w:ascii="Cambria" w:hAnsi="Cambria"/>
          <w:noProof/>
        </w:rPr>
        <w:t xml:space="preserve">Pirkimas į dalis </w:t>
      </w:r>
      <w:r w:rsidRPr="007735D9">
        <w:rPr>
          <w:rFonts w:ascii="Cambria" w:hAnsi="Cambria"/>
          <w:noProof/>
          <w:color w:val="000000" w:themeColor="text1"/>
        </w:rPr>
        <w:t xml:space="preserve">neskaidomas, </w:t>
      </w:r>
      <w:r w:rsidRPr="007735D9">
        <w:rPr>
          <w:rFonts w:ascii="Cambria" w:hAnsi="Cambria"/>
        </w:rPr>
        <w:t xml:space="preserve">nes </w:t>
      </w:r>
      <w:r w:rsidR="00267B79" w:rsidRPr="007735D9">
        <w:rPr>
          <w:rFonts w:ascii="Cambria" w:hAnsi="Cambria"/>
        </w:rPr>
        <w:t>perkama</w:t>
      </w:r>
      <w:r w:rsidR="00B57838" w:rsidRPr="007735D9">
        <w:rPr>
          <w:rFonts w:ascii="Cambria" w:hAnsi="Cambria"/>
        </w:rPr>
        <w:t xml:space="preserve"> </w:t>
      </w:r>
      <w:r w:rsidR="007735D9" w:rsidRPr="007735D9">
        <w:rPr>
          <w:rFonts w:ascii="Cambria" w:hAnsi="Cambria"/>
        </w:rPr>
        <w:t>tarpusavyje techniškai derinama holterio monitoravimo sistema: EKG registratoriai ir programinė įranga su papildoma licencija</w:t>
      </w:r>
      <w:r w:rsidR="007735D9" w:rsidRPr="007735D9">
        <w:rPr>
          <w:rFonts w:asciiTheme="majorHAnsi" w:hAnsiTheme="majorHAnsi"/>
          <w:lang w:eastAsia="lt-LT"/>
        </w:rPr>
        <w:t>.</w:t>
      </w:r>
    </w:p>
    <w:p w:rsidR="008E1CCD" w:rsidRPr="007735D9" w:rsidRDefault="008E1CCD" w:rsidP="00EB373F">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735D9">
        <w:rPr>
          <w:rFonts w:asciiTheme="majorHAnsi" w:hAnsiTheme="majorHAnsi"/>
          <w:lang w:eastAsia="lt-LT"/>
        </w:rPr>
        <w:t xml:space="preserve">Dalyvis gali pateikti tik vieną pasiūlymą visam pirkimui. </w:t>
      </w:r>
      <w:r w:rsidRPr="007735D9">
        <w:rPr>
          <w:rFonts w:asciiTheme="majorHAnsi" w:hAnsiTheme="majorHAnsi"/>
        </w:rPr>
        <w:t>Pasiūlymas turi būti pateiktas visai pirkimo sąlygų</w:t>
      </w:r>
      <w:r w:rsidRPr="007735D9">
        <w:rPr>
          <w:rFonts w:asciiTheme="majorHAnsi" w:hAnsiTheme="majorHAnsi"/>
          <w:lang w:val="de-DE"/>
        </w:rPr>
        <w:t xml:space="preserve"> technin</w:t>
      </w:r>
      <w:r w:rsidRPr="007735D9">
        <w:rPr>
          <w:rFonts w:asciiTheme="majorHAnsi" w:hAnsiTheme="majorHAnsi"/>
        </w:rPr>
        <w:t>ėje specifikacijoje nurodytai apimčiai</w:t>
      </w:r>
      <w:r w:rsidRPr="007735D9">
        <w:rPr>
          <w:rFonts w:asciiTheme="majorHAnsi" w:hAnsiTheme="majorHAnsi"/>
          <w:lang w:eastAsia="lt-LT"/>
        </w:rPr>
        <w:t>.</w:t>
      </w:r>
      <w:r w:rsidRPr="007735D9">
        <w:rPr>
          <w:rFonts w:asciiTheme="majorHAnsi" w:hAnsiTheme="majorHAnsi"/>
          <w:iCs/>
          <w:lang w:eastAsia="lt-LT"/>
        </w:rPr>
        <w:t xml:space="preserve"> </w:t>
      </w:r>
      <w:r w:rsidRPr="007735D9">
        <w:rPr>
          <w:rFonts w:asciiTheme="majorHAnsi" w:hAnsiTheme="majorHAnsi"/>
          <w:iCs/>
        </w:rPr>
        <w:t>Konkurso dalyviui pateikus pasiūlymą, kuriame bus siūlomas nepilnas prekių asortimentas, pasiūlymas bus atmestas</w:t>
      </w:r>
      <w:r w:rsidRPr="007735D9">
        <w:rPr>
          <w:rFonts w:asciiTheme="majorHAnsi" w:hAnsiTheme="majorHAnsi"/>
          <w:iCs/>
          <w:lang w:eastAsia="lt-LT"/>
        </w:rPr>
        <w:t>.</w:t>
      </w:r>
      <w:r w:rsidRPr="007735D9">
        <w:rPr>
          <w:rFonts w:asciiTheme="majorHAnsi" w:hAnsiTheme="majorHAnsi"/>
          <w:lang w:eastAsia="lt-LT"/>
        </w:rPr>
        <w:t xml:space="preserve"> Alternatyvūs pasiūlymai negalimi</w:t>
      </w:r>
      <w:r w:rsidRPr="007735D9">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324902"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24902"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24902"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324902"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324902"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7735D9" w:rsidRDefault="00A169AA" w:rsidP="00A169AA">
      <w:pPr>
        <w:ind w:firstLine="567"/>
        <w:contextualSpacing/>
        <w:jc w:val="both"/>
        <w:rPr>
          <w:rFonts w:ascii="Cambria" w:eastAsia="Calibri" w:hAnsi="Cambria"/>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7735D9">
        <w:rPr>
          <w:rFonts w:ascii="Cambria" w:eastAsia="Calibri" w:hAnsi="Cambria"/>
          <w:sz w:val="22"/>
          <w:szCs w:val="22"/>
          <w:lang w:eastAsia="lt-LT"/>
        </w:rPr>
        <w:lastRenderedPageBreak/>
        <w:t xml:space="preserve">39 straipsnio 3 dalyje </w:t>
      </w:r>
      <w:r w:rsidRPr="007735D9">
        <w:rPr>
          <w:rFonts w:ascii="Cambria" w:eastAsia="Calibri" w:hAnsi="Cambria"/>
          <w:color w:val="4F81BD" w:themeColor="accent1"/>
          <w:sz w:val="22"/>
          <w:szCs w:val="22"/>
          <w:lang w:eastAsia="lt-LT"/>
        </w:rPr>
        <w:t>(taikoma prekėms</w:t>
      </w:r>
      <w:r w:rsidR="00B31CE0" w:rsidRPr="007735D9">
        <w:rPr>
          <w:rFonts w:ascii="Cambria" w:eastAsia="Calibri" w:hAnsi="Cambria"/>
          <w:color w:val="4F81BD" w:themeColor="accent1"/>
          <w:sz w:val="22"/>
          <w:szCs w:val="22"/>
          <w:lang w:eastAsia="lt-LT"/>
        </w:rPr>
        <w:t>, jų komponentams</w:t>
      </w:r>
      <w:r w:rsidRPr="007735D9">
        <w:rPr>
          <w:rFonts w:ascii="Cambria" w:hAnsi="Cambria"/>
          <w:color w:val="4F81BD" w:themeColor="accent1"/>
          <w:sz w:val="22"/>
          <w:szCs w:val="22"/>
        </w:rPr>
        <w:t xml:space="preserve">, kurių BVPŽ kodas </w:t>
      </w:r>
      <w:r w:rsidR="007735D9" w:rsidRPr="007735D9">
        <w:rPr>
          <w:rFonts w:ascii="Cambria" w:hAnsi="Cambria"/>
          <w:color w:val="4F81BD" w:themeColor="accent1"/>
          <w:sz w:val="22"/>
          <w:szCs w:val="22"/>
        </w:rPr>
        <w:t>48218000-9</w:t>
      </w:r>
      <w:r w:rsidRPr="007735D9">
        <w:rPr>
          <w:rFonts w:ascii="Cambria" w:hAnsi="Cambria"/>
          <w:color w:val="4F81BD" w:themeColor="accent1"/>
          <w:sz w:val="22"/>
          <w:szCs w:val="22"/>
        </w:rPr>
        <w:t xml:space="preserve"> (</w:t>
      </w:r>
      <w:r w:rsidR="007735D9" w:rsidRPr="007735D9">
        <w:rPr>
          <w:rFonts w:ascii="Cambria" w:hAnsi="Cambria" w:cs="Arial"/>
          <w:color w:val="4F81BD" w:themeColor="accent1"/>
          <w:sz w:val="22"/>
          <w:szCs w:val="22"/>
          <w:shd w:val="clear" w:color="auto" w:fill="FFFFFF"/>
        </w:rPr>
        <w:t>Licencijų valdymo programinės įrangos paketai</w:t>
      </w:r>
      <w:r w:rsidRPr="007735D9">
        <w:rPr>
          <w:rFonts w:ascii="Cambria" w:eastAsia="Calibri" w:hAnsi="Cambria"/>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C00564" w:rsidRPr="00C00564" w:rsidRDefault="00A169AA" w:rsidP="00C00564">
      <w:pPr>
        <w:ind w:firstLine="567"/>
        <w:contextualSpacing/>
        <w:jc w:val="both"/>
        <w:rPr>
          <w:rFonts w:ascii="Cambria" w:eastAsia="Calibri" w:hAnsi="Cambria"/>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7735D9">
        <w:rPr>
          <w:rFonts w:asciiTheme="majorHAnsi" w:eastAsia="Calibri" w:hAnsiTheme="majorHAnsi"/>
          <w:color w:val="4F81BD" w:themeColor="accent1"/>
          <w:sz w:val="22"/>
          <w:szCs w:val="22"/>
          <w:lang w:eastAsia="lt-LT"/>
        </w:rPr>
        <w:t>(</w:t>
      </w:r>
      <w:r w:rsidR="007735D9" w:rsidRPr="007735D9">
        <w:rPr>
          <w:rFonts w:ascii="Cambria" w:eastAsia="Calibri" w:hAnsi="Cambria"/>
          <w:color w:val="4F81BD" w:themeColor="accent1"/>
          <w:sz w:val="22"/>
          <w:szCs w:val="22"/>
          <w:lang w:eastAsia="lt-LT"/>
        </w:rPr>
        <w:t>taikoma prekėms, jų komponentams</w:t>
      </w:r>
      <w:r w:rsidR="007735D9" w:rsidRPr="007735D9">
        <w:rPr>
          <w:rFonts w:ascii="Cambria" w:hAnsi="Cambria"/>
          <w:color w:val="4F81BD" w:themeColor="accent1"/>
          <w:sz w:val="22"/>
          <w:szCs w:val="22"/>
        </w:rPr>
        <w:t>, kurių BVPŽ kodas 48218000-9 (</w:t>
      </w:r>
      <w:r w:rsidR="007735D9" w:rsidRPr="007735D9">
        <w:rPr>
          <w:rFonts w:ascii="Cambria" w:hAnsi="Cambria" w:cs="Arial"/>
          <w:color w:val="4F81BD" w:themeColor="accent1"/>
          <w:sz w:val="22"/>
          <w:szCs w:val="22"/>
          <w:shd w:val="clear" w:color="auto" w:fill="FFFFFF"/>
        </w:rPr>
        <w:t>Licencijų valdymo programinės įrangos paketai</w:t>
      </w:r>
      <w:r w:rsidR="007735D9" w:rsidRPr="007735D9">
        <w:rPr>
          <w:rFonts w:ascii="Cambria" w:eastAsia="Calibri" w:hAnsi="Cambria"/>
          <w:color w:val="4F81BD" w:themeColor="accent1"/>
          <w:sz w:val="22"/>
          <w:szCs w:val="22"/>
          <w:lang w:eastAsia="lt-LT"/>
        </w:rPr>
        <w:t>).</w:t>
      </w:r>
    </w:p>
    <w:p w:rsidR="00A169AA" w:rsidRPr="00EA468A" w:rsidRDefault="00A169AA" w:rsidP="00306554">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067A83">
        <w:rPr>
          <w:rFonts w:asciiTheme="majorHAnsi" w:hAnsiTheme="majorHAnsi" w:cs="Times New Roman"/>
          <w:color w:val="auto"/>
        </w:rPr>
        <w:t xml:space="preserve">5.4. </w:t>
      </w:r>
      <w:r w:rsidRPr="00067A83">
        <w:rPr>
          <w:rFonts w:asciiTheme="majorHAnsi" w:hAnsiTheme="majorHAnsi" w:cs="Times New Roman"/>
          <w:iCs/>
          <w:color w:val="auto"/>
        </w:rPr>
        <w:t xml:space="preserve">Pasiūlymas turi būti pateiktas iki </w:t>
      </w:r>
      <w:r w:rsidR="00AA5E63" w:rsidRPr="00067A83">
        <w:rPr>
          <w:rFonts w:asciiTheme="majorHAnsi" w:hAnsiTheme="majorHAnsi" w:cs="Times New Roman"/>
          <w:b/>
          <w:iCs/>
          <w:color w:val="548DD4" w:themeColor="text2" w:themeTint="99"/>
        </w:rPr>
        <w:t>202</w:t>
      </w:r>
      <w:r w:rsidR="00716026" w:rsidRPr="00067A83">
        <w:rPr>
          <w:rFonts w:asciiTheme="majorHAnsi" w:hAnsiTheme="majorHAnsi" w:cs="Times New Roman"/>
          <w:b/>
          <w:iCs/>
          <w:color w:val="548DD4" w:themeColor="text2" w:themeTint="99"/>
        </w:rPr>
        <w:t>6</w:t>
      </w:r>
      <w:r w:rsidRPr="00067A83">
        <w:rPr>
          <w:rFonts w:asciiTheme="majorHAnsi" w:hAnsiTheme="majorHAnsi" w:cs="Times New Roman"/>
          <w:b/>
          <w:iCs/>
          <w:color w:val="548DD4" w:themeColor="text2" w:themeTint="99"/>
        </w:rPr>
        <w:t xml:space="preserve"> m. </w:t>
      </w:r>
      <w:r w:rsidR="007735D9" w:rsidRPr="00067A83">
        <w:rPr>
          <w:rFonts w:asciiTheme="majorHAnsi" w:hAnsiTheme="majorHAnsi" w:cs="Times New Roman"/>
          <w:b/>
          <w:iCs/>
          <w:color w:val="548DD4" w:themeColor="text2" w:themeTint="99"/>
        </w:rPr>
        <w:t xml:space="preserve">liepos </w:t>
      </w:r>
      <w:r w:rsidR="00067A83" w:rsidRPr="00067A83">
        <w:rPr>
          <w:rFonts w:asciiTheme="majorHAnsi" w:hAnsiTheme="majorHAnsi" w:cs="Times New Roman"/>
          <w:b/>
          <w:iCs/>
          <w:color w:val="548DD4" w:themeColor="text2" w:themeTint="99"/>
        </w:rPr>
        <w:t>10</w:t>
      </w:r>
      <w:r w:rsidR="003E0B82" w:rsidRPr="00067A83">
        <w:rPr>
          <w:rFonts w:asciiTheme="majorHAnsi" w:hAnsiTheme="majorHAnsi" w:cs="Times New Roman"/>
          <w:b/>
          <w:iCs/>
          <w:color w:val="548DD4" w:themeColor="text2" w:themeTint="99"/>
        </w:rPr>
        <w:t xml:space="preserve"> </w:t>
      </w:r>
      <w:r w:rsidRPr="00067A83">
        <w:rPr>
          <w:rFonts w:asciiTheme="majorHAnsi" w:hAnsiTheme="majorHAnsi" w:cs="Times New Roman"/>
          <w:b/>
          <w:iCs/>
          <w:color w:val="548DD4" w:themeColor="text2" w:themeTint="99"/>
        </w:rPr>
        <w:t>d.</w:t>
      </w:r>
      <w:r w:rsidR="00E958C2" w:rsidRPr="00067A83">
        <w:rPr>
          <w:rFonts w:asciiTheme="majorHAnsi" w:hAnsiTheme="majorHAnsi" w:cs="Times New Roman"/>
          <w:b/>
          <w:iCs/>
          <w:color w:val="548DD4" w:themeColor="text2" w:themeTint="99"/>
        </w:rPr>
        <w:t xml:space="preserve"> 0</w:t>
      </w:r>
      <w:r w:rsidR="00F21792" w:rsidRPr="00067A83">
        <w:rPr>
          <w:rFonts w:asciiTheme="majorHAnsi" w:hAnsiTheme="majorHAnsi" w:cs="Times New Roman"/>
          <w:b/>
          <w:iCs/>
          <w:color w:val="548DD4" w:themeColor="text2" w:themeTint="99"/>
        </w:rPr>
        <w:t>8</w:t>
      </w:r>
      <w:r w:rsidR="005823A0" w:rsidRPr="00067A83">
        <w:rPr>
          <w:rFonts w:asciiTheme="majorHAnsi" w:hAnsiTheme="majorHAnsi" w:cs="Times New Roman"/>
          <w:b/>
          <w:iCs/>
          <w:color w:val="548DD4" w:themeColor="text2" w:themeTint="99"/>
        </w:rPr>
        <w:t xml:space="preserve"> val. </w:t>
      </w:r>
      <w:r w:rsidR="00C67F1F" w:rsidRPr="00067A83">
        <w:rPr>
          <w:rFonts w:asciiTheme="majorHAnsi" w:hAnsiTheme="majorHAnsi" w:cs="Times New Roman"/>
          <w:b/>
          <w:iCs/>
          <w:color w:val="548DD4" w:themeColor="text2" w:themeTint="99"/>
        </w:rPr>
        <w:t>00</w:t>
      </w:r>
      <w:r w:rsidRPr="00067A83">
        <w:rPr>
          <w:rFonts w:asciiTheme="majorHAnsi" w:hAnsiTheme="majorHAnsi" w:cs="Times New Roman"/>
          <w:b/>
          <w:iCs/>
          <w:color w:val="548DD4" w:themeColor="text2" w:themeTint="99"/>
        </w:rPr>
        <w:t xml:space="preserve"> min.</w:t>
      </w:r>
      <w:r w:rsidRPr="00067A83">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r>
      <w:r w:rsidRPr="00067A83">
        <w:rPr>
          <w:rFonts w:asciiTheme="majorHAnsi" w:hAnsiTheme="majorHAnsi" w:cs="Times New Roman"/>
        </w:rPr>
        <w:t>5.8. Pasiūlyme turi būti nurodytas jo galiojimo terminas. Pasiū</w:t>
      </w:r>
      <w:r w:rsidRPr="00067A83">
        <w:rPr>
          <w:rFonts w:asciiTheme="majorHAnsi" w:hAnsiTheme="majorHAnsi" w:cs="Times New Roman"/>
          <w:lang w:val="it-IT"/>
        </w:rPr>
        <w:t xml:space="preserve">lymas turi galioti ne trumpiau </w:t>
      </w:r>
      <w:r w:rsidRPr="00067A83">
        <w:rPr>
          <w:rFonts w:asciiTheme="majorHAnsi" w:hAnsiTheme="majorHAnsi" w:cs="Times New Roman"/>
          <w:lang w:val="lt-LT"/>
        </w:rPr>
        <w:t xml:space="preserve">kaip iki </w:t>
      </w:r>
      <w:r w:rsidR="00AF145C" w:rsidRPr="00067A83">
        <w:rPr>
          <w:rFonts w:asciiTheme="majorHAnsi" w:hAnsiTheme="majorHAnsi" w:cs="Times New Roman"/>
          <w:b/>
          <w:color w:val="548DD4" w:themeColor="text2" w:themeTint="99"/>
          <w:lang w:val="lt-LT"/>
        </w:rPr>
        <w:t>202</w:t>
      </w:r>
      <w:r w:rsidR="00692844" w:rsidRPr="00067A83">
        <w:rPr>
          <w:rFonts w:asciiTheme="majorHAnsi" w:hAnsiTheme="majorHAnsi" w:cs="Times New Roman"/>
          <w:b/>
          <w:color w:val="548DD4" w:themeColor="text2" w:themeTint="99"/>
          <w:lang w:val="lt-LT"/>
        </w:rPr>
        <w:t>6-</w:t>
      </w:r>
      <w:r w:rsidR="007735D9" w:rsidRPr="00067A83">
        <w:rPr>
          <w:rFonts w:asciiTheme="majorHAnsi" w:hAnsiTheme="majorHAnsi" w:cs="Times New Roman"/>
          <w:b/>
          <w:color w:val="548DD4" w:themeColor="text2" w:themeTint="99"/>
          <w:lang w:val="lt-LT"/>
        </w:rPr>
        <w:t>11-</w:t>
      </w:r>
      <w:r w:rsidR="00067A83" w:rsidRPr="00067A83">
        <w:rPr>
          <w:rFonts w:asciiTheme="majorHAnsi" w:hAnsiTheme="majorHAnsi" w:cs="Times New Roman"/>
          <w:b/>
          <w:color w:val="548DD4" w:themeColor="text2" w:themeTint="99"/>
          <w:lang w:val="lt-LT"/>
        </w:rPr>
        <w:t>10</w:t>
      </w:r>
      <w:r w:rsidR="00805DD4" w:rsidRPr="00067A83">
        <w:rPr>
          <w:rFonts w:asciiTheme="majorHAnsi" w:hAnsiTheme="majorHAnsi" w:cs="Times New Roman"/>
          <w:b/>
          <w:color w:val="548DD4" w:themeColor="text2" w:themeTint="99"/>
          <w:lang w:val="lt-LT"/>
        </w:rPr>
        <w:t>.</w:t>
      </w:r>
      <w:r w:rsidRPr="00067A83">
        <w:rPr>
          <w:rFonts w:asciiTheme="majorHAnsi" w:hAnsiTheme="majorHAnsi" w:cs="Times New Roman"/>
          <w:lang w:val="pt-PT"/>
        </w:rPr>
        <w:t xml:space="preserve"> Jeigu pasi</w:t>
      </w:r>
      <w:r w:rsidRPr="00067A83">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7735D9" w:rsidRPr="00CD27A6">
        <w:rPr>
          <w:rFonts w:asciiTheme="majorHAnsi" w:hAnsiTheme="majorHAnsi"/>
          <w:b/>
          <w:sz w:val="22"/>
          <w:szCs w:val="22"/>
        </w:rPr>
        <w:t>katalogus, prospektus ar kitą informaciją su siūlomos prekės aprašymais</w:t>
      </w:r>
      <w:r w:rsidR="00CB5C6F" w:rsidRPr="00306554">
        <w:rPr>
          <w:rFonts w:ascii="Cambria" w:hAnsi="Cambria"/>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lastRenderedPageBreak/>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7735D9" w:rsidRDefault="007735D9"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8B0EC6" w:rsidRDefault="008B0EC6" w:rsidP="008B0EC6">
      <w:pPr>
        <w:pStyle w:val="Body2"/>
        <w:jc w:val="center"/>
        <w:rPr>
          <w:rFonts w:asciiTheme="majorHAnsi" w:hAnsiTheme="majorHAnsi" w:cs="Times New Roman"/>
          <w:b/>
          <w:bCs/>
          <w:color w:val="auto"/>
        </w:rPr>
      </w:pPr>
    </w:p>
    <w:p w:rsidR="008B0EC6" w:rsidRPr="00DB0B7E" w:rsidRDefault="008B0EC6" w:rsidP="008B0EC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B0EC6" w:rsidRPr="00DB0B7E" w:rsidRDefault="008B0EC6" w:rsidP="008B0EC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bookmarkStart w:id="2" w:name="_GoBack"/>
      <w:bookmarkEnd w:id="2"/>
      <w:r w:rsidR="009B3BF7" w:rsidRPr="00067A83">
        <w:rPr>
          <w:rFonts w:asciiTheme="majorHAnsi" w:hAnsiTheme="majorHAnsi"/>
          <w:b/>
          <w:iCs/>
          <w:color w:val="548DD4" w:themeColor="text2" w:themeTint="99"/>
          <w:sz w:val="22"/>
          <w:szCs w:val="22"/>
        </w:rPr>
        <w:t>202</w:t>
      </w:r>
      <w:r w:rsidR="00885E22" w:rsidRPr="00067A83">
        <w:rPr>
          <w:rFonts w:asciiTheme="majorHAnsi" w:hAnsiTheme="majorHAnsi"/>
          <w:b/>
          <w:iCs/>
          <w:color w:val="548DD4" w:themeColor="text2" w:themeTint="99"/>
          <w:sz w:val="22"/>
          <w:szCs w:val="22"/>
        </w:rPr>
        <w:t>6</w:t>
      </w:r>
      <w:r w:rsidRPr="00067A83">
        <w:rPr>
          <w:rFonts w:asciiTheme="majorHAnsi" w:hAnsiTheme="majorHAnsi"/>
          <w:b/>
          <w:iCs/>
          <w:color w:val="548DD4" w:themeColor="text2" w:themeTint="99"/>
          <w:sz w:val="22"/>
          <w:szCs w:val="22"/>
        </w:rPr>
        <w:t xml:space="preserve"> m.</w:t>
      </w:r>
      <w:r w:rsidR="00BE67E8" w:rsidRPr="00067A83">
        <w:rPr>
          <w:rFonts w:asciiTheme="majorHAnsi" w:hAnsiTheme="majorHAnsi"/>
          <w:b/>
          <w:iCs/>
          <w:color w:val="548DD4" w:themeColor="text2" w:themeTint="99"/>
          <w:sz w:val="22"/>
          <w:szCs w:val="22"/>
        </w:rPr>
        <w:t xml:space="preserve"> </w:t>
      </w:r>
      <w:r w:rsidR="007735D9" w:rsidRPr="00067A83">
        <w:rPr>
          <w:rFonts w:asciiTheme="majorHAnsi" w:hAnsiTheme="majorHAnsi"/>
          <w:b/>
          <w:iCs/>
          <w:color w:val="548DD4" w:themeColor="text2" w:themeTint="99"/>
          <w:sz w:val="22"/>
          <w:szCs w:val="22"/>
        </w:rPr>
        <w:t xml:space="preserve">liepos </w:t>
      </w:r>
      <w:r w:rsidR="00067A83" w:rsidRPr="00067A83">
        <w:rPr>
          <w:rFonts w:asciiTheme="majorHAnsi" w:hAnsiTheme="majorHAnsi"/>
          <w:b/>
          <w:iCs/>
          <w:color w:val="548DD4" w:themeColor="text2" w:themeTint="99"/>
          <w:sz w:val="22"/>
          <w:szCs w:val="22"/>
        </w:rPr>
        <w:t>10</w:t>
      </w:r>
      <w:r w:rsidR="002B1E54" w:rsidRPr="00067A83">
        <w:rPr>
          <w:rFonts w:asciiTheme="majorHAnsi" w:hAnsiTheme="majorHAnsi"/>
          <w:b/>
          <w:iCs/>
          <w:color w:val="548DD4" w:themeColor="text2" w:themeTint="99"/>
          <w:sz w:val="22"/>
          <w:szCs w:val="22"/>
        </w:rPr>
        <w:t xml:space="preserve"> </w:t>
      </w:r>
      <w:r w:rsidR="00E958C2" w:rsidRPr="00067A83">
        <w:rPr>
          <w:rFonts w:asciiTheme="majorHAnsi" w:hAnsiTheme="majorHAnsi"/>
          <w:b/>
          <w:iCs/>
          <w:color w:val="548DD4" w:themeColor="text2" w:themeTint="99"/>
          <w:sz w:val="22"/>
          <w:szCs w:val="22"/>
        </w:rPr>
        <w:t>d. 0</w:t>
      </w:r>
      <w:r w:rsidR="00F21792" w:rsidRPr="00067A83">
        <w:rPr>
          <w:rFonts w:asciiTheme="majorHAnsi" w:hAnsiTheme="majorHAnsi"/>
          <w:b/>
          <w:iCs/>
          <w:color w:val="548DD4" w:themeColor="text2" w:themeTint="99"/>
          <w:sz w:val="22"/>
          <w:szCs w:val="22"/>
        </w:rPr>
        <w:t>8</w:t>
      </w:r>
      <w:r w:rsidR="005823A0" w:rsidRPr="00067A83">
        <w:rPr>
          <w:rFonts w:asciiTheme="majorHAnsi" w:hAnsiTheme="majorHAnsi"/>
          <w:b/>
          <w:iCs/>
          <w:color w:val="548DD4" w:themeColor="text2" w:themeTint="99"/>
          <w:sz w:val="22"/>
          <w:szCs w:val="22"/>
        </w:rPr>
        <w:t xml:space="preserve"> val. </w:t>
      </w:r>
      <w:r w:rsidR="00C67F1F" w:rsidRPr="00067A83">
        <w:rPr>
          <w:rFonts w:asciiTheme="majorHAnsi" w:hAnsiTheme="majorHAnsi"/>
          <w:b/>
          <w:iCs/>
          <w:color w:val="548DD4" w:themeColor="text2" w:themeTint="99"/>
          <w:sz w:val="22"/>
          <w:szCs w:val="22"/>
        </w:rPr>
        <w:t>30</w:t>
      </w:r>
      <w:r w:rsidRPr="00067A83">
        <w:rPr>
          <w:rFonts w:asciiTheme="majorHAnsi" w:hAnsiTheme="majorHAnsi"/>
          <w:b/>
          <w:iCs/>
          <w:color w:val="548DD4" w:themeColor="text2" w:themeTint="99"/>
          <w:sz w:val="22"/>
          <w:szCs w:val="22"/>
        </w:rPr>
        <w:t xml:space="preserve"> min</w:t>
      </w:r>
      <w:r w:rsidRPr="00067A83">
        <w:rPr>
          <w:rFonts w:asciiTheme="majorHAnsi" w:hAnsiTheme="majorHAnsi"/>
          <w:b/>
          <w:iCs/>
          <w:sz w:val="22"/>
          <w:szCs w:val="22"/>
        </w:rPr>
        <w:t>.</w:t>
      </w:r>
      <w:r w:rsidRPr="00067A83">
        <w:rPr>
          <w:rFonts w:asciiTheme="majorHAnsi" w:hAnsiTheme="majorHAnsi"/>
          <w:iCs/>
          <w:sz w:val="22"/>
          <w:szCs w:val="22"/>
        </w:rPr>
        <w:t xml:space="preserve"> </w:t>
      </w:r>
      <w:r w:rsidRPr="00067A83">
        <w:rPr>
          <w:rFonts w:asciiTheme="majorHAnsi" w:hAnsiTheme="majorHAnsi"/>
          <w:iCs/>
          <w:sz w:val="22"/>
          <w:szCs w:val="22"/>
          <w:u w:val="single"/>
        </w:rPr>
        <w:t xml:space="preserve">Jei pasiūlymas teikiamas šifruotas, slaptažodis turi būti pateiktas </w:t>
      </w:r>
      <w:r w:rsidR="009B3BF7" w:rsidRPr="00067A83">
        <w:rPr>
          <w:rFonts w:asciiTheme="majorHAnsi" w:hAnsiTheme="majorHAnsi"/>
          <w:b/>
          <w:iCs/>
          <w:color w:val="548DD4" w:themeColor="text2" w:themeTint="99"/>
          <w:sz w:val="22"/>
          <w:szCs w:val="22"/>
          <w:u w:val="single"/>
        </w:rPr>
        <w:t>202</w:t>
      </w:r>
      <w:r w:rsidR="00885E22" w:rsidRPr="00067A83">
        <w:rPr>
          <w:rFonts w:asciiTheme="majorHAnsi" w:hAnsiTheme="majorHAnsi"/>
          <w:b/>
          <w:iCs/>
          <w:color w:val="548DD4" w:themeColor="text2" w:themeTint="99"/>
          <w:sz w:val="22"/>
          <w:szCs w:val="22"/>
          <w:u w:val="single"/>
        </w:rPr>
        <w:t>6</w:t>
      </w:r>
      <w:r w:rsidR="005A189F" w:rsidRPr="00067A83">
        <w:rPr>
          <w:rFonts w:asciiTheme="majorHAnsi" w:hAnsiTheme="majorHAnsi"/>
          <w:b/>
          <w:iCs/>
          <w:color w:val="548DD4" w:themeColor="text2" w:themeTint="99"/>
          <w:sz w:val="22"/>
          <w:szCs w:val="22"/>
          <w:u w:val="single"/>
        </w:rPr>
        <w:t xml:space="preserve"> m. </w:t>
      </w:r>
      <w:r w:rsidR="007735D9" w:rsidRPr="00067A83">
        <w:rPr>
          <w:rFonts w:asciiTheme="majorHAnsi" w:hAnsiTheme="majorHAnsi"/>
          <w:b/>
          <w:iCs/>
          <w:color w:val="548DD4" w:themeColor="text2" w:themeTint="99"/>
          <w:sz w:val="22"/>
          <w:szCs w:val="22"/>
          <w:u w:val="single"/>
        </w:rPr>
        <w:t xml:space="preserve">liepos </w:t>
      </w:r>
      <w:r w:rsidR="00067A83" w:rsidRPr="00067A83">
        <w:rPr>
          <w:rFonts w:asciiTheme="majorHAnsi" w:hAnsiTheme="majorHAnsi"/>
          <w:b/>
          <w:iCs/>
          <w:color w:val="548DD4" w:themeColor="text2" w:themeTint="99"/>
          <w:sz w:val="22"/>
          <w:szCs w:val="22"/>
          <w:u w:val="single"/>
        </w:rPr>
        <w:t>10</w:t>
      </w:r>
      <w:r w:rsidR="00610258" w:rsidRPr="00067A83">
        <w:rPr>
          <w:rFonts w:asciiTheme="majorHAnsi" w:hAnsiTheme="majorHAnsi"/>
          <w:b/>
          <w:iCs/>
          <w:color w:val="548DD4" w:themeColor="text2" w:themeTint="99"/>
          <w:sz w:val="22"/>
          <w:szCs w:val="22"/>
          <w:u w:val="single"/>
        </w:rPr>
        <w:t xml:space="preserve"> </w:t>
      </w:r>
      <w:r w:rsidRPr="00067A83">
        <w:rPr>
          <w:rFonts w:asciiTheme="majorHAnsi" w:hAnsiTheme="majorHAnsi"/>
          <w:b/>
          <w:iCs/>
          <w:color w:val="548DD4" w:themeColor="text2" w:themeTint="99"/>
          <w:sz w:val="22"/>
          <w:szCs w:val="22"/>
          <w:u w:val="single"/>
        </w:rPr>
        <w:t>d.</w:t>
      </w:r>
      <w:r w:rsidRPr="00067A83">
        <w:rPr>
          <w:rFonts w:asciiTheme="majorHAnsi" w:hAnsiTheme="majorHAnsi"/>
          <w:iCs/>
          <w:color w:val="548DD4" w:themeColor="text2" w:themeTint="99"/>
          <w:sz w:val="22"/>
          <w:szCs w:val="22"/>
          <w:u w:val="single"/>
        </w:rPr>
        <w:t xml:space="preserve"> intervale </w:t>
      </w:r>
      <w:r w:rsidR="00E958C2" w:rsidRPr="00067A83">
        <w:rPr>
          <w:rFonts w:asciiTheme="majorHAnsi" w:hAnsiTheme="majorHAnsi"/>
          <w:b/>
          <w:iCs/>
          <w:color w:val="548DD4" w:themeColor="text2" w:themeTint="99"/>
          <w:sz w:val="22"/>
          <w:szCs w:val="22"/>
          <w:u w:val="single"/>
        </w:rPr>
        <w:t>0</w:t>
      </w:r>
      <w:r w:rsidR="00F21792" w:rsidRPr="00067A83">
        <w:rPr>
          <w:rFonts w:asciiTheme="majorHAnsi" w:hAnsiTheme="majorHAnsi"/>
          <w:b/>
          <w:iCs/>
          <w:color w:val="548DD4" w:themeColor="text2" w:themeTint="99"/>
          <w:sz w:val="22"/>
          <w:szCs w:val="22"/>
          <w:u w:val="single"/>
        </w:rPr>
        <w:t>8</w:t>
      </w:r>
      <w:r w:rsidR="005823A0" w:rsidRPr="00067A83">
        <w:rPr>
          <w:rFonts w:asciiTheme="majorHAnsi" w:hAnsiTheme="majorHAnsi"/>
          <w:b/>
          <w:iCs/>
          <w:color w:val="548DD4" w:themeColor="text2" w:themeTint="99"/>
          <w:sz w:val="22"/>
          <w:szCs w:val="22"/>
          <w:u w:val="single"/>
        </w:rPr>
        <w:t>.</w:t>
      </w:r>
      <w:r w:rsidR="00C67F1F" w:rsidRPr="00067A83">
        <w:rPr>
          <w:rFonts w:asciiTheme="majorHAnsi" w:hAnsiTheme="majorHAnsi"/>
          <w:b/>
          <w:iCs/>
          <w:color w:val="548DD4" w:themeColor="text2" w:themeTint="99"/>
          <w:sz w:val="22"/>
          <w:szCs w:val="22"/>
          <w:u w:val="single"/>
        </w:rPr>
        <w:t>00</w:t>
      </w:r>
      <w:r w:rsidR="00652BA3" w:rsidRPr="00067A83">
        <w:rPr>
          <w:rFonts w:asciiTheme="majorHAnsi" w:hAnsiTheme="majorHAnsi"/>
          <w:b/>
          <w:iCs/>
          <w:color w:val="548DD4" w:themeColor="text2" w:themeTint="99"/>
          <w:sz w:val="22"/>
          <w:szCs w:val="22"/>
          <w:u w:val="single"/>
        </w:rPr>
        <w:t xml:space="preserve"> –</w:t>
      </w:r>
      <w:r w:rsidR="009B15AA" w:rsidRPr="00067A83">
        <w:rPr>
          <w:rFonts w:asciiTheme="majorHAnsi" w:hAnsiTheme="majorHAnsi"/>
          <w:b/>
          <w:iCs/>
          <w:color w:val="548DD4" w:themeColor="text2" w:themeTint="99"/>
          <w:sz w:val="22"/>
          <w:szCs w:val="22"/>
          <w:u w:val="single"/>
        </w:rPr>
        <w:t xml:space="preserve"> </w:t>
      </w:r>
      <w:r w:rsidR="00E958C2" w:rsidRPr="00067A83">
        <w:rPr>
          <w:rFonts w:asciiTheme="majorHAnsi" w:hAnsiTheme="majorHAnsi"/>
          <w:b/>
          <w:iCs/>
          <w:color w:val="548DD4" w:themeColor="text2" w:themeTint="99"/>
          <w:sz w:val="22"/>
          <w:szCs w:val="22"/>
          <w:u w:val="single"/>
        </w:rPr>
        <w:t>0</w:t>
      </w:r>
      <w:r w:rsidR="00F21792" w:rsidRPr="00067A83">
        <w:rPr>
          <w:rFonts w:asciiTheme="majorHAnsi" w:hAnsiTheme="majorHAnsi"/>
          <w:b/>
          <w:iCs/>
          <w:color w:val="548DD4" w:themeColor="text2" w:themeTint="99"/>
          <w:sz w:val="22"/>
          <w:szCs w:val="22"/>
          <w:u w:val="single"/>
        </w:rPr>
        <w:t>8</w:t>
      </w:r>
      <w:r w:rsidR="005823A0" w:rsidRPr="00067A83">
        <w:rPr>
          <w:rFonts w:asciiTheme="majorHAnsi" w:hAnsiTheme="majorHAnsi"/>
          <w:b/>
          <w:iCs/>
          <w:color w:val="548DD4" w:themeColor="text2" w:themeTint="99"/>
          <w:sz w:val="22"/>
          <w:szCs w:val="22"/>
          <w:u w:val="single"/>
        </w:rPr>
        <w:t>.</w:t>
      </w:r>
      <w:r w:rsidR="00C67F1F" w:rsidRPr="00067A83">
        <w:rPr>
          <w:rFonts w:asciiTheme="majorHAnsi" w:hAnsiTheme="majorHAnsi"/>
          <w:b/>
          <w:iCs/>
          <w:color w:val="548DD4" w:themeColor="text2" w:themeTint="99"/>
          <w:sz w:val="22"/>
          <w:szCs w:val="22"/>
          <w:u w:val="single"/>
        </w:rPr>
        <w:t>30</w:t>
      </w:r>
      <w:r w:rsidRPr="00067A83">
        <w:rPr>
          <w:rFonts w:asciiTheme="majorHAnsi" w:hAnsiTheme="majorHAnsi"/>
          <w:b/>
          <w:iCs/>
          <w:color w:val="548DD4" w:themeColor="text2" w:themeTint="99"/>
          <w:sz w:val="22"/>
          <w:szCs w:val="22"/>
          <w:u w:val="single"/>
        </w:rPr>
        <w:t xml:space="preserve"> val.</w:t>
      </w:r>
      <w:r w:rsidRPr="00067A83">
        <w:rPr>
          <w:rFonts w:asciiTheme="majorHAnsi" w:hAnsiTheme="majorHAnsi"/>
          <w:b/>
          <w:iCs/>
          <w:sz w:val="22"/>
          <w:szCs w:val="22"/>
          <w:u w:val="single"/>
        </w:rPr>
        <w:t xml:space="preserve"> </w:t>
      </w:r>
      <w:r w:rsidRPr="00067A83">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06765E" w:rsidRPr="003714C3" w:rsidRDefault="0006765E"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w:t>
      </w:r>
      <w:r w:rsidR="00B31CE0">
        <w:rPr>
          <w:rFonts w:asciiTheme="majorHAnsi" w:hAnsiTheme="majorHAnsi" w:cs="Times New Roman"/>
          <w:b/>
        </w:rPr>
        <w:t>7</w:t>
      </w:r>
      <w:r w:rsidR="007C6FCE" w:rsidRPr="003714C3">
        <w:rPr>
          <w:rFonts w:asciiTheme="majorHAnsi" w:hAnsiTheme="majorHAnsi" w:cs="Times New Roman"/>
          <w:b/>
        </w:rPr>
        <w:t>.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lastRenderedPageBreak/>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B31CE0">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B31CE0">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13.1.</w:t>
      </w:r>
      <w:r w:rsidR="00B31CE0">
        <w:rPr>
          <w:rFonts w:asciiTheme="majorHAnsi" w:hAnsiTheme="majorHAnsi" w:cs="Times New Roman"/>
        </w:rPr>
        <w:t>10</w:t>
      </w:r>
      <w:r w:rsidRPr="003714C3">
        <w:rPr>
          <w:rFonts w:asciiTheme="majorHAnsi" w:hAnsiTheme="majorHAnsi" w:cs="Times New Roman"/>
        </w:rPr>
        <w:t xml:space="preserve">.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E05C12" w:rsidRDefault="007C3D2F" w:rsidP="00E05C12">
      <w:pPr>
        <w:pStyle w:val="Body2"/>
        <w:rPr>
          <w:rFonts w:ascii="Cambria" w:hAnsi="Cambria"/>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 xml:space="preserve">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E05C12">
        <w:rPr>
          <w:rFonts w:ascii="Cambria" w:hAnsi="Cambria"/>
          <w:noProof/>
          <w:lang w:val="lt-LT"/>
        </w:rPr>
        <w:t>pateikimo termino dieną.</w:t>
      </w:r>
    </w:p>
    <w:p w:rsidR="00C63E5B" w:rsidRPr="00E05C12" w:rsidRDefault="00C63E5B" w:rsidP="00E05C12">
      <w:pPr>
        <w:pStyle w:val="Body2"/>
        <w:ind w:firstLine="1418"/>
        <w:rPr>
          <w:rFonts w:ascii="Cambria" w:hAnsi="Cambria"/>
          <w:noProof/>
          <w:lang w:val="lt-LT"/>
        </w:rPr>
      </w:pPr>
      <w:r w:rsidRPr="00E05C12">
        <w:rPr>
          <w:rFonts w:ascii="Cambria" w:hAnsi="Cambria"/>
          <w:noProof/>
          <w:highlight w:val="green"/>
          <w:lang w:val="lt-LT"/>
        </w:rPr>
        <w:t xml:space="preserve">14.3. </w:t>
      </w:r>
      <w:r w:rsidRPr="00E05C12">
        <w:rPr>
          <w:rFonts w:ascii="Cambria" w:hAnsi="Cambria"/>
          <w:highlight w:val="green"/>
        </w:rPr>
        <w:t xml:space="preserve">Didžiausia priimtina pasiūlymo kaina yra </w:t>
      </w:r>
      <w:r w:rsidR="00EB373F">
        <w:rPr>
          <w:rFonts w:ascii="Cambria" w:hAnsi="Cambria"/>
          <w:b/>
          <w:highlight w:val="green"/>
        </w:rPr>
        <w:t>37.800,00</w:t>
      </w:r>
      <w:r w:rsidRPr="00E05C12">
        <w:rPr>
          <w:rFonts w:ascii="Cambria" w:hAnsi="Cambria"/>
          <w:b/>
          <w:highlight w:val="green"/>
        </w:rPr>
        <w:t xml:space="preserve"> Eur (su PVM)</w:t>
      </w:r>
      <w:r w:rsidR="001B15FE" w:rsidRPr="00E05C12">
        <w:rPr>
          <w:rFonts w:ascii="Cambria" w:hAnsi="Cambria"/>
          <w:highlight w:val="green"/>
        </w:rPr>
        <w:t>. Š</w:t>
      </w:r>
      <w:r w:rsidRPr="00E05C12">
        <w:rPr>
          <w:rFonts w:ascii="Cambria" w:hAnsi="Cambria"/>
          <w:highlight w:val="green"/>
        </w:rPr>
        <w:t>ią kainą viršijantys pasiūlymai bus atmesti</w:t>
      </w:r>
      <w:r w:rsidR="007C6FCE" w:rsidRPr="00E05C12">
        <w:rPr>
          <w:rFonts w:ascii="Cambria" w:hAnsi="Cambria"/>
          <w:highlight w:val="green"/>
        </w:rPr>
        <w:t>.</w:t>
      </w:r>
    </w:p>
    <w:p w:rsidR="001C57BD" w:rsidRPr="00E05C12" w:rsidRDefault="001C57BD" w:rsidP="00E05C12">
      <w:pPr>
        <w:suppressAutoHyphens/>
        <w:ind w:firstLine="567"/>
        <w:jc w:val="both"/>
        <w:rPr>
          <w:rFonts w:ascii="Cambria" w:eastAsia="Calibri" w:hAnsi="Cambria"/>
          <w:noProof/>
          <w:color w:val="000000" w:themeColor="text1"/>
          <w:sz w:val="22"/>
          <w:szCs w:val="22"/>
          <w:bdr w:val="none" w:sz="0" w:space="0" w:color="auto"/>
          <w:lang w:val="lt-LT"/>
        </w:rPr>
      </w:pPr>
    </w:p>
    <w:p w:rsidR="002C0FC0" w:rsidRPr="004B4371" w:rsidRDefault="002C0FC0" w:rsidP="004B4371">
      <w:pPr>
        <w:suppressAutoHyphens/>
        <w:ind w:firstLine="567"/>
        <w:jc w:val="both"/>
        <w:rPr>
          <w:rFonts w:ascii="Cambria" w:hAnsi="Cambria"/>
          <w:sz w:val="22"/>
          <w:szCs w:val="22"/>
        </w:rPr>
      </w:pPr>
      <w:r w:rsidRPr="004B4371">
        <w:rPr>
          <w:rFonts w:ascii="Cambria" w:hAnsi="Cambria"/>
          <w:sz w:val="22"/>
          <w:szCs w:val="22"/>
        </w:rPr>
        <w:t xml:space="preserve">Nustatomas maksimalus bendras balų skaičius – 100 balų. Kriterijų tarpusavio santykis bendrame bale yra nustatomas pagal lyginamuosius svorius: </w:t>
      </w:r>
    </w:p>
    <w:p w:rsidR="004B4371" w:rsidRPr="004B4371" w:rsidRDefault="004B4371" w:rsidP="004B4371">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4B4371">
        <w:rPr>
          <w:rFonts w:ascii="Cambria" w:eastAsia="Arial Unicode MS" w:hAnsi="Cambria"/>
          <w:bdr w:val="nil"/>
        </w:rPr>
        <w:t>kaina (K) – 80;</w:t>
      </w:r>
    </w:p>
    <w:p w:rsidR="004B4371" w:rsidRPr="004B4371" w:rsidRDefault="004B4371" w:rsidP="004B4371">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4B4371">
        <w:rPr>
          <w:rFonts w:ascii="Cambria" w:eastAsia="Arial Unicode MS" w:hAnsi="Cambria"/>
          <w:bdr w:val="nil"/>
        </w:rPr>
        <w:t>techniniai privalumai (T) – 20.</w:t>
      </w:r>
    </w:p>
    <w:p w:rsidR="004B4371" w:rsidRDefault="004B4371" w:rsidP="004B4371">
      <w:pPr>
        <w:suppressAutoHyphens/>
        <w:jc w:val="both"/>
        <w:rPr>
          <w:rFonts w:ascii="Cambria" w:hAnsi="Cambria"/>
          <w:sz w:val="22"/>
          <w:szCs w:val="22"/>
        </w:rPr>
      </w:pPr>
    </w:p>
    <w:p w:rsidR="004B4371" w:rsidRPr="004B4371" w:rsidRDefault="004B4371" w:rsidP="004B4371">
      <w:pPr>
        <w:suppressAutoHyphens/>
        <w:jc w:val="both"/>
        <w:rPr>
          <w:rFonts w:ascii="Cambria" w:hAnsi="Cambria"/>
          <w:sz w:val="22"/>
          <w:szCs w:val="22"/>
        </w:rPr>
      </w:pPr>
    </w:p>
    <w:p w:rsidR="004B4371" w:rsidRPr="004B4371" w:rsidRDefault="004B4371" w:rsidP="004B4371">
      <w:pPr>
        <w:ind w:left="567"/>
        <w:jc w:val="both"/>
        <w:rPr>
          <w:rFonts w:ascii="Cambria" w:hAnsi="Cambria"/>
          <w:sz w:val="22"/>
          <w:szCs w:val="22"/>
        </w:rPr>
      </w:pPr>
      <w:r w:rsidRPr="004B4371">
        <w:rPr>
          <w:rFonts w:ascii="Cambria" w:hAnsi="Cambria"/>
          <w:sz w:val="22"/>
          <w:szCs w:val="22"/>
        </w:rPr>
        <w:lastRenderedPageBreak/>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4B4371" w:rsidRPr="004B4371" w:rsidTr="005B0DE8">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4B4371" w:rsidRPr="004B4371" w:rsidRDefault="004B4371" w:rsidP="004B4371">
            <w:pPr>
              <w:tabs>
                <w:tab w:val="left" w:pos="14175"/>
              </w:tabs>
              <w:ind w:right="56"/>
              <w:jc w:val="center"/>
              <w:rPr>
                <w:rFonts w:ascii="Cambria" w:hAnsi="Cambria"/>
                <w:color w:val="000000"/>
                <w:sz w:val="22"/>
                <w:szCs w:val="22"/>
              </w:rPr>
            </w:pPr>
            <w:r w:rsidRPr="004B4371">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4B4371" w:rsidRPr="004B4371" w:rsidRDefault="004B4371" w:rsidP="004B4371">
            <w:pPr>
              <w:tabs>
                <w:tab w:val="left" w:pos="14175"/>
              </w:tabs>
              <w:ind w:left="-14"/>
              <w:jc w:val="center"/>
              <w:rPr>
                <w:rFonts w:ascii="Cambria" w:hAnsi="Cambria"/>
                <w:b/>
                <w:color w:val="000000"/>
                <w:sz w:val="22"/>
                <w:szCs w:val="22"/>
              </w:rPr>
            </w:pPr>
            <w:r w:rsidRPr="004B4371">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4B4371" w:rsidRPr="004B4371" w:rsidRDefault="004B4371" w:rsidP="004B4371">
            <w:pPr>
              <w:tabs>
                <w:tab w:val="left" w:pos="14175"/>
              </w:tabs>
              <w:ind w:right="-5"/>
              <w:jc w:val="center"/>
              <w:rPr>
                <w:rFonts w:ascii="Cambria" w:hAnsi="Cambria"/>
                <w:b/>
                <w:color w:val="000000"/>
                <w:sz w:val="22"/>
                <w:szCs w:val="22"/>
              </w:rPr>
            </w:pPr>
            <w:r w:rsidRPr="004B4371">
              <w:rPr>
                <w:rFonts w:ascii="Cambria" w:hAnsi="Cambria"/>
                <w:b/>
                <w:color w:val="000000"/>
                <w:sz w:val="22"/>
                <w:szCs w:val="22"/>
              </w:rPr>
              <w:t>Lyginamasis svoris ekonominio naudingumo įvertinime</w:t>
            </w:r>
          </w:p>
        </w:tc>
      </w:tr>
      <w:tr w:rsidR="004B4371" w:rsidRPr="004B4371" w:rsidTr="005B0DE8">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4B4371" w:rsidRPr="004B4371" w:rsidRDefault="004B4371" w:rsidP="004B4371">
            <w:pPr>
              <w:tabs>
                <w:tab w:val="left" w:pos="14175"/>
              </w:tabs>
              <w:ind w:right="-92"/>
              <w:rPr>
                <w:rFonts w:ascii="Cambria" w:hAnsi="Cambria"/>
                <w:color w:val="000000"/>
                <w:sz w:val="22"/>
                <w:szCs w:val="22"/>
              </w:rPr>
            </w:pPr>
            <w:r w:rsidRPr="004B4371">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4B4371" w:rsidRPr="004B4371" w:rsidRDefault="004B4371" w:rsidP="004B4371">
            <w:pPr>
              <w:tabs>
                <w:tab w:val="left" w:pos="14175"/>
              </w:tabs>
              <w:ind w:right="-92"/>
              <w:jc w:val="center"/>
              <w:rPr>
                <w:rFonts w:ascii="Cambria" w:hAnsi="Cambria"/>
                <w:color w:val="000000"/>
                <w:sz w:val="22"/>
                <w:szCs w:val="22"/>
              </w:rPr>
            </w:pPr>
            <w:r w:rsidRPr="004B4371">
              <w:rPr>
                <w:rFonts w:ascii="Cambria" w:hAnsi="Cambria"/>
                <w:b/>
                <w:color w:val="000000"/>
                <w:sz w:val="22"/>
                <w:szCs w:val="22"/>
              </w:rPr>
              <w:t>X = 80</w:t>
            </w:r>
          </w:p>
        </w:tc>
      </w:tr>
      <w:tr w:rsidR="004B4371" w:rsidRPr="004B4371" w:rsidTr="005B0DE8">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4B4371" w:rsidRPr="004B4371" w:rsidRDefault="004B4371" w:rsidP="004B4371">
            <w:pPr>
              <w:tabs>
                <w:tab w:val="left" w:pos="14175"/>
              </w:tabs>
              <w:ind w:right="-92"/>
              <w:rPr>
                <w:rFonts w:ascii="Cambria" w:hAnsi="Cambria"/>
                <w:b/>
                <w:color w:val="000000"/>
                <w:sz w:val="22"/>
                <w:szCs w:val="22"/>
              </w:rPr>
            </w:pPr>
            <w:r w:rsidRPr="004B4371">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4B4371" w:rsidRPr="004B4371" w:rsidRDefault="004B4371" w:rsidP="004B4371">
            <w:pPr>
              <w:tabs>
                <w:tab w:val="left" w:pos="14175"/>
              </w:tabs>
              <w:ind w:right="-92"/>
              <w:jc w:val="center"/>
              <w:rPr>
                <w:rFonts w:ascii="Cambria" w:hAnsi="Cambria"/>
                <w:color w:val="000000"/>
                <w:sz w:val="22"/>
                <w:szCs w:val="22"/>
              </w:rPr>
            </w:pPr>
            <w:r w:rsidRPr="004B4371">
              <w:rPr>
                <w:rFonts w:ascii="Cambria" w:hAnsi="Cambria"/>
                <w:b/>
                <w:color w:val="000000"/>
                <w:sz w:val="22"/>
                <w:szCs w:val="22"/>
              </w:rPr>
              <w:t>Y = 20</w:t>
            </w:r>
          </w:p>
        </w:tc>
      </w:tr>
      <w:tr w:rsidR="004B4371" w:rsidRPr="004B4371" w:rsidTr="005B0DE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B4371" w:rsidRPr="004B4371" w:rsidRDefault="004B4371" w:rsidP="004B4371">
            <w:pPr>
              <w:tabs>
                <w:tab w:val="left" w:pos="14175"/>
              </w:tabs>
              <w:ind w:left="-112" w:right="-92"/>
              <w:jc w:val="center"/>
              <w:rPr>
                <w:rFonts w:ascii="Cambria" w:hAnsi="Cambria"/>
                <w:b/>
                <w:color w:val="000000"/>
                <w:sz w:val="22"/>
                <w:szCs w:val="22"/>
              </w:rPr>
            </w:pPr>
            <w:r w:rsidRPr="004B4371">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4371" w:rsidRPr="004B4371" w:rsidRDefault="004B4371" w:rsidP="004B4371">
            <w:pPr>
              <w:tabs>
                <w:tab w:val="left" w:pos="14175"/>
              </w:tabs>
              <w:jc w:val="center"/>
              <w:rPr>
                <w:rFonts w:ascii="Cambria" w:hAnsi="Cambria"/>
                <w:b/>
                <w:color w:val="000000"/>
                <w:sz w:val="22"/>
                <w:szCs w:val="22"/>
              </w:rPr>
            </w:pPr>
            <w:r w:rsidRPr="004B4371">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B4371" w:rsidRPr="004B4371" w:rsidRDefault="004B4371" w:rsidP="004B4371">
            <w:pPr>
              <w:tabs>
                <w:tab w:val="left" w:pos="14175"/>
              </w:tabs>
              <w:ind w:right="-85"/>
              <w:jc w:val="center"/>
              <w:rPr>
                <w:rFonts w:ascii="Cambria" w:hAnsi="Cambria"/>
                <w:b/>
                <w:bCs/>
                <w:color w:val="000000"/>
                <w:sz w:val="22"/>
                <w:szCs w:val="22"/>
              </w:rPr>
            </w:pPr>
            <w:r w:rsidRPr="004B4371">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right="-92"/>
              <w:rPr>
                <w:rFonts w:ascii="Cambria" w:hAnsi="Cambria"/>
                <w:b/>
                <w:color w:val="000000"/>
                <w:sz w:val="22"/>
                <w:szCs w:val="22"/>
              </w:rPr>
            </w:pPr>
          </w:p>
        </w:tc>
      </w:tr>
      <w:tr w:rsidR="004B4371" w:rsidRPr="004B4371" w:rsidTr="005B0DE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left="-112" w:right="-91"/>
              <w:jc w:val="center"/>
              <w:rPr>
                <w:rFonts w:ascii="Cambria" w:hAnsi="Cambria"/>
                <w:color w:val="000000"/>
                <w:sz w:val="22"/>
                <w:szCs w:val="22"/>
              </w:rPr>
            </w:pPr>
            <w:r w:rsidRPr="004B4371">
              <w:rPr>
                <w:rFonts w:ascii="Cambria" w:hAnsi="Cambria"/>
                <w:color w:val="000000"/>
                <w:sz w:val="22"/>
                <w:szCs w:val="22"/>
              </w:rPr>
              <w:t>T</w:t>
            </w:r>
            <w:r w:rsidRPr="004B4371">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right="-86"/>
              <w:rPr>
                <w:rFonts w:ascii="Cambria" w:hAnsi="Cambria"/>
                <w:sz w:val="22"/>
                <w:szCs w:val="22"/>
                <w:lang w:bidi="lt-LT"/>
              </w:rPr>
            </w:pPr>
            <w:r w:rsidRPr="004B4371">
              <w:rPr>
                <w:rFonts w:ascii="Cambria" w:hAnsi="Cambria"/>
                <w:sz w:val="22"/>
                <w:szCs w:val="22"/>
                <w:lang w:bidi="lt-LT"/>
              </w:rPr>
              <w:t xml:space="preserve">Įrangai suteikiama ilgesnė negu 24 mėn. garantija. </w:t>
            </w:r>
          </w:p>
          <w:p w:rsidR="004B4371" w:rsidRPr="004B4371" w:rsidRDefault="004B4371" w:rsidP="004B4371">
            <w:pPr>
              <w:tabs>
                <w:tab w:val="left" w:pos="14175"/>
              </w:tabs>
              <w:ind w:right="-86"/>
              <w:rPr>
                <w:rFonts w:ascii="Cambria" w:hAnsi="Cambria"/>
                <w:sz w:val="22"/>
                <w:szCs w:val="22"/>
                <w:lang w:bidi="lt-LT"/>
              </w:rPr>
            </w:pPr>
          </w:p>
          <w:p w:rsidR="004B4371" w:rsidRPr="004B4371" w:rsidRDefault="004B4371" w:rsidP="004B4371">
            <w:pPr>
              <w:tabs>
                <w:tab w:val="left" w:pos="14175"/>
              </w:tabs>
              <w:ind w:right="55"/>
              <w:rPr>
                <w:rFonts w:ascii="Cambria" w:hAnsi="Cambria"/>
                <w:i/>
                <w:sz w:val="22"/>
                <w:szCs w:val="22"/>
              </w:rPr>
            </w:pPr>
            <w:r w:rsidRPr="004B4371">
              <w:rPr>
                <w:rFonts w:ascii="Cambria" w:hAnsi="Cambria"/>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b/>
                <w:sz w:val="22"/>
                <w:szCs w:val="22"/>
              </w:rPr>
            </w:pPr>
            <w:r w:rsidRPr="004B4371">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4B4371" w:rsidRPr="004B4371" w:rsidRDefault="004B4371" w:rsidP="004B4371">
            <w:pPr>
              <w:tabs>
                <w:tab w:val="left" w:pos="14175"/>
              </w:tabs>
              <w:jc w:val="center"/>
              <w:rPr>
                <w:rFonts w:ascii="Cambria" w:hAnsi="Cambria"/>
                <w:b/>
                <w:sz w:val="22"/>
                <w:szCs w:val="22"/>
              </w:rPr>
            </w:pPr>
            <w:r w:rsidRPr="004B4371">
              <w:rPr>
                <w:rFonts w:ascii="Cambria" w:hAnsi="Cambria"/>
                <w:sz w:val="22"/>
                <w:szCs w:val="22"/>
              </w:rPr>
              <w:t>L</w:t>
            </w:r>
            <w:r w:rsidRPr="004B4371">
              <w:rPr>
                <w:rFonts w:ascii="Cambria" w:hAnsi="Cambria"/>
                <w:sz w:val="22"/>
                <w:szCs w:val="22"/>
                <w:vertAlign w:val="subscript"/>
              </w:rPr>
              <w:t>1</w:t>
            </w:r>
            <w:r w:rsidRPr="004B4371">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jc w:val="center"/>
              <w:rPr>
                <w:rFonts w:ascii="Cambria" w:eastAsia="Times New Roman" w:hAnsi="Cambria"/>
                <w:color w:val="808080" w:themeColor="background1" w:themeShade="80"/>
                <w:sz w:val="22"/>
                <w:szCs w:val="22"/>
              </w:rPr>
            </w:pPr>
            <w:r w:rsidRPr="004B4371">
              <w:rPr>
                <w:rFonts w:ascii="Cambria" w:hAnsi="Cambria"/>
                <w:color w:val="808080" w:themeColor="background1" w:themeShade="80"/>
                <w:sz w:val="22"/>
                <w:szCs w:val="22"/>
              </w:rPr>
              <w:t>Įrašyti suteikiamą garantinį terminą (mėn.)</w:t>
            </w:r>
          </w:p>
        </w:tc>
      </w:tr>
      <w:tr w:rsidR="004B4371" w:rsidRPr="004B4371" w:rsidTr="005B0DE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left="-112" w:right="-92"/>
              <w:jc w:val="center"/>
              <w:rPr>
                <w:rFonts w:ascii="Cambria" w:hAnsi="Cambria"/>
                <w:color w:val="000000"/>
                <w:sz w:val="22"/>
                <w:szCs w:val="22"/>
              </w:rPr>
            </w:pPr>
            <w:r w:rsidRPr="004B4371">
              <w:rPr>
                <w:rFonts w:ascii="Cambria" w:hAnsi="Cambria"/>
                <w:color w:val="000000"/>
                <w:sz w:val="22"/>
                <w:szCs w:val="22"/>
              </w:rPr>
              <w:t>T</w:t>
            </w:r>
            <w:r w:rsidRPr="004B4371">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ind w:right="-86"/>
              <w:rPr>
                <w:rFonts w:ascii="Cambria" w:hAnsi="Cambria"/>
                <w:sz w:val="22"/>
                <w:szCs w:val="22"/>
              </w:rPr>
            </w:pPr>
            <w:r w:rsidRPr="004B4371">
              <w:rPr>
                <w:rFonts w:ascii="Cambria" w:hAnsi="Cambria"/>
                <w:sz w:val="22"/>
                <w:szCs w:val="22"/>
                <w:lang w:bidi="lt-LT"/>
              </w:rPr>
              <w:t>Didžiausias diskretizavimo dažnis.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color w:val="000000"/>
                <w:sz w:val="22"/>
                <w:szCs w:val="22"/>
              </w:rPr>
            </w:pPr>
            <w:r w:rsidRPr="004B4371">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sz w:val="22"/>
                <w:szCs w:val="22"/>
              </w:rPr>
            </w:pPr>
            <w:r w:rsidRPr="004B4371">
              <w:rPr>
                <w:rFonts w:ascii="Cambria" w:hAnsi="Cambria"/>
                <w:sz w:val="22"/>
                <w:szCs w:val="22"/>
              </w:rPr>
              <w:t>L</w:t>
            </w:r>
            <w:r w:rsidRPr="004B4371">
              <w:rPr>
                <w:rFonts w:ascii="Cambria" w:hAnsi="Cambria"/>
                <w:sz w:val="22"/>
                <w:szCs w:val="22"/>
                <w:vertAlign w:val="subscript"/>
              </w:rPr>
              <w:t>2</w:t>
            </w:r>
            <w:r w:rsidRPr="004B4371">
              <w:rPr>
                <w:rFonts w:ascii="Cambria" w:hAnsi="Cambria"/>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color w:val="808080" w:themeColor="background1" w:themeShade="80"/>
                <w:sz w:val="22"/>
                <w:szCs w:val="22"/>
              </w:rPr>
            </w:pPr>
            <w:r w:rsidRPr="004B4371">
              <w:rPr>
                <w:rFonts w:ascii="Cambria" w:hAnsi="Cambria"/>
                <w:color w:val="808080" w:themeColor="background1" w:themeShade="80"/>
                <w:sz w:val="22"/>
                <w:szCs w:val="22"/>
              </w:rPr>
              <w:t>Įrašyti siūlomo registratoriaus didžiausią diskretizavimo dažnį (Hz)</w:t>
            </w:r>
          </w:p>
        </w:tc>
      </w:tr>
      <w:tr w:rsidR="004B4371" w:rsidRPr="004B4371" w:rsidTr="005B0DE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left="-112" w:right="-92"/>
              <w:jc w:val="center"/>
              <w:rPr>
                <w:rFonts w:ascii="Cambria" w:hAnsi="Cambria"/>
                <w:color w:val="000000"/>
                <w:sz w:val="22"/>
                <w:szCs w:val="22"/>
              </w:rPr>
            </w:pPr>
            <w:r w:rsidRPr="004B4371">
              <w:rPr>
                <w:rFonts w:ascii="Cambria" w:hAnsi="Cambria"/>
                <w:color w:val="000000"/>
                <w:sz w:val="22"/>
                <w:szCs w:val="22"/>
              </w:rPr>
              <w:t>T</w:t>
            </w:r>
            <w:r w:rsidRPr="004B4371">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pStyle w:val="prastasis1"/>
              <w:tabs>
                <w:tab w:val="left" w:pos="14175"/>
              </w:tabs>
              <w:spacing w:after="0" w:line="240" w:lineRule="auto"/>
              <w:rPr>
                <w:rFonts w:ascii="Cambria" w:hAnsi="Cambria"/>
                <w:sz w:val="22"/>
                <w:szCs w:val="22"/>
                <w:lang w:val="lt-LT"/>
              </w:rPr>
            </w:pPr>
            <w:r w:rsidRPr="004B4371">
              <w:rPr>
                <w:rFonts w:ascii="Cambria" w:hAnsi="Cambria"/>
                <w:sz w:val="22"/>
                <w:szCs w:val="22"/>
                <w:lang w:val="lt-LT" w:bidi="lt-LT"/>
              </w:rPr>
              <w:t>Yra galimybė įsigyti EKG kabelį, kuriuo registruojama ≥ 12 EKG derivacijų.</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color w:val="000000"/>
                <w:sz w:val="22"/>
                <w:szCs w:val="22"/>
              </w:rPr>
            </w:pPr>
            <w:r w:rsidRPr="004B4371">
              <w:rPr>
                <w:rFonts w:ascii="Cambria" w:hAnsi="Cambria"/>
                <w:sz w:val="22"/>
                <w:szCs w:val="22"/>
              </w:rPr>
              <w:t>Statinis:</w:t>
            </w:r>
            <w:r w:rsidRPr="004B4371">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sz w:val="22"/>
                <w:szCs w:val="22"/>
              </w:rPr>
            </w:pPr>
            <w:r w:rsidRPr="004B4371">
              <w:rPr>
                <w:rFonts w:ascii="Cambria" w:hAnsi="Cambria"/>
                <w:sz w:val="22"/>
                <w:szCs w:val="22"/>
              </w:rPr>
              <w:t>L</w:t>
            </w:r>
            <w:r w:rsidRPr="004B4371">
              <w:rPr>
                <w:rFonts w:ascii="Cambria" w:hAnsi="Cambria"/>
                <w:sz w:val="22"/>
                <w:szCs w:val="22"/>
                <w:vertAlign w:val="subscript"/>
              </w:rPr>
              <w:t>3</w:t>
            </w:r>
            <w:r w:rsidRPr="004B4371">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color w:val="808080" w:themeColor="background1" w:themeShade="80"/>
                <w:sz w:val="22"/>
                <w:szCs w:val="22"/>
              </w:rPr>
            </w:pPr>
            <w:r w:rsidRPr="004B4371">
              <w:rPr>
                <w:rFonts w:ascii="Cambria" w:hAnsi="Cambria"/>
                <w:color w:val="808080" w:themeColor="background1" w:themeShade="80"/>
                <w:sz w:val="22"/>
                <w:szCs w:val="22"/>
              </w:rPr>
              <w:t xml:space="preserve">Įrašyti parametro vertę: </w:t>
            </w:r>
            <w:r w:rsidRPr="004B4371">
              <w:rPr>
                <w:rFonts w:ascii="Cambria" w:hAnsi="Cambria"/>
                <w:b/>
                <w:bCs/>
                <w:color w:val="808080" w:themeColor="background1" w:themeShade="80"/>
                <w:sz w:val="22"/>
                <w:szCs w:val="22"/>
              </w:rPr>
              <w:t>yra / nėra</w:t>
            </w:r>
          </w:p>
        </w:tc>
      </w:tr>
      <w:tr w:rsidR="004B4371" w:rsidRPr="004B4371" w:rsidTr="005B0DE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ind w:left="-112" w:right="-92"/>
              <w:jc w:val="center"/>
              <w:rPr>
                <w:rFonts w:ascii="Cambria" w:hAnsi="Cambria"/>
                <w:color w:val="000000"/>
                <w:sz w:val="22"/>
                <w:szCs w:val="22"/>
              </w:rPr>
            </w:pPr>
            <w:r w:rsidRPr="004B4371">
              <w:rPr>
                <w:rFonts w:ascii="Cambria" w:hAnsi="Cambria"/>
                <w:color w:val="000000"/>
                <w:sz w:val="22"/>
                <w:szCs w:val="22"/>
              </w:rPr>
              <w:t>T</w:t>
            </w:r>
            <w:r w:rsidRPr="004B4371">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pStyle w:val="prastasis1"/>
              <w:tabs>
                <w:tab w:val="left" w:pos="14175"/>
              </w:tabs>
              <w:spacing w:after="0" w:line="240" w:lineRule="auto"/>
              <w:rPr>
                <w:rFonts w:ascii="Cambria" w:hAnsi="Cambria"/>
                <w:sz w:val="22"/>
                <w:szCs w:val="22"/>
                <w:lang w:val="lt-LT" w:bidi="lt-LT"/>
              </w:rPr>
            </w:pPr>
            <w:r w:rsidRPr="004B4371">
              <w:rPr>
                <w:rFonts w:ascii="Cambria" w:hAnsi="Cambria"/>
                <w:sz w:val="22"/>
                <w:szCs w:val="22"/>
                <w:lang w:val="lt-LT" w:bidi="lt-LT"/>
              </w:rPr>
              <w:t>Yra galimybė prijungti ≥ 12 EKG derivacijų registratorių prie siūlomos sistemos.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sz w:val="22"/>
                <w:szCs w:val="22"/>
              </w:rPr>
            </w:pPr>
            <w:r w:rsidRPr="004B4371">
              <w:rPr>
                <w:rFonts w:ascii="Cambria" w:hAnsi="Cambria"/>
                <w:sz w:val="22"/>
                <w:szCs w:val="22"/>
              </w:rPr>
              <w:t>Statinis:</w:t>
            </w:r>
            <w:r w:rsidRPr="004B4371">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sz w:val="22"/>
                <w:szCs w:val="22"/>
              </w:rPr>
            </w:pPr>
            <w:r w:rsidRPr="004B4371">
              <w:rPr>
                <w:rFonts w:ascii="Cambria" w:hAnsi="Cambria"/>
                <w:sz w:val="22"/>
                <w:szCs w:val="22"/>
              </w:rPr>
              <w:t>L</w:t>
            </w:r>
            <w:r w:rsidRPr="004B4371">
              <w:rPr>
                <w:rFonts w:ascii="Cambria" w:hAnsi="Cambria"/>
                <w:sz w:val="22"/>
                <w:szCs w:val="22"/>
                <w:vertAlign w:val="subscript"/>
              </w:rPr>
              <w:t>4</w:t>
            </w:r>
            <w:r w:rsidRPr="004B4371">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371" w:rsidRPr="004B4371" w:rsidRDefault="004B4371" w:rsidP="004B4371">
            <w:pPr>
              <w:tabs>
                <w:tab w:val="left" w:pos="14175"/>
              </w:tabs>
              <w:jc w:val="center"/>
              <w:rPr>
                <w:rFonts w:ascii="Cambria" w:hAnsi="Cambria"/>
                <w:color w:val="808080" w:themeColor="background1" w:themeShade="80"/>
                <w:sz w:val="22"/>
                <w:szCs w:val="22"/>
              </w:rPr>
            </w:pPr>
            <w:r w:rsidRPr="004B4371">
              <w:rPr>
                <w:rFonts w:ascii="Cambria" w:hAnsi="Cambria"/>
                <w:color w:val="808080" w:themeColor="background1" w:themeShade="80"/>
                <w:sz w:val="22"/>
                <w:szCs w:val="22"/>
              </w:rPr>
              <w:t xml:space="preserve">Įrašyti parametro vertę: </w:t>
            </w:r>
            <w:r w:rsidRPr="004B4371">
              <w:rPr>
                <w:rFonts w:ascii="Cambria" w:hAnsi="Cambria"/>
                <w:b/>
                <w:bCs/>
                <w:color w:val="808080" w:themeColor="background1" w:themeShade="80"/>
                <w:sz w:val="22"/>
                <w:szCs w:val="22"/>
              </w:rPr>
              <w:t>yra / nėra</w:t>
            </w:r>
          </w:p>
        </w:tc>
      </w:tr>
    </w:tbl>
    <w:p w:rsidR="004B4371" w:rsidRPr="004B4371" w:rsidRDefault="004B4371" w:rsidP="004B4371">
      <w:pPr>
        <w:rPr>
          <w:rFonts w:ascii="Cambria" w:hAnsi="Cambria"/>
          <w:sz w:val="22"/>
          <w:szCs w:val="22"/>
        </w:rPr>
      </w:pPr>
    </w:p>
    <w:p w:rsidR="004B4371" w:rsidRPr="004B4371" w:rsidRDefault="004B4371" w:rsidP="004B4371">
      <w:pPr>
        <w:jc w:val="both"/>
        <w:rPr>
          <w:rFonts w:ascii="Cambria" w:hAnsi="Cambria"/>
          <w:sz w:val="22"/>
          <w:szCs w:val="22"/>
        </w:rPr>
      </w:pPr>
    </w:p>
    <w:p w:rsidR="004B4371" w:rsidRPr="004B4371" w:rsidRDefault="004B4371" w:rsidP="004B4371">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4B4371">
        <w:rPr>
          <w:rFonts w:ascii="Cambria" w:eastAsia="Arial Unicode MS" w:hAnsi="Cambria"/>
          <w:b/>
          <w:bCs/>
          <w:caps/>
          <w:spacing w:val="4"/>
          <w:bdr w:val="nil"/>
        </w:rPr>
        <w:t>BALŲ APSKAIČIAVIMAS</w:t>
      </w:r>
    </w:p>
    <w:p w:rsidR="004B4371" w:rsidRPr="004B4371" w:rsidRDefault="004B4371" w:rsidP="004B4371">
      <w:pPr>
        <w:suppressAutoHyphens/>
        <w:jc w:val="both"/>
        <w:rPr>
          <w:rFonts w:ascii="Cambria" w:hAnsi="Cambria"/>
          <w:sz w:val="22"/>
          <w:szCs w:val="22"/>
        </w:rPr>
      </w:pPr>
    </w:p>
    <w:p w:rsidR="004B4371" w:rsidRPr="004B4371" w:rsidRDefault="004B4371" w:rsidP="004B4371">
      <w:pPr>
        <w:shd w:val="clear" w:color="auto" w:fill="FFFFFF"/>
        <w:ind w:firstLine="567"/>
        <w:jc w:val="both"/>
        <w:rPr>
          <w:rFonts w:ascii="Cambria" w:hAnsi="Cambria"/>
          <w:sz w:val="22"/>
          <w:szCs w:val="22"/>
        </w:rPr>
      </w:pPr>
      <w:r w:rsidRPr="004B4371">
        <w:rPr>
          <w:rFonts w:ascii="Cambria" w:hAnsi="Cambria"/>
          <w:sz w:val="22"/>
          <w:szCs w:val="22"/>
        </w:rPr>
        <w:t>Pasiūlymo ekonominio naudingumo (kainos ir kokybės santykio) apskaičiavimo tvarka (formulė) yra pateikiama žemiau:</w:t>
      </w:r>
    </w:p>
    <w:p w:rsidR="004B4371" w:rsidRPr="004B4371" w:rsidRDefault="004B4371" w:rsidP="004B4371">
      <w:pPr>
        <w:pStyle w:val="Sraopastraipa"/>
        <w:pBdr>
          <w:top w:val="nil"/>
          <w:left w:val="nil"/>
          <w:bottom w:val="nil"/>
          <w:right w:val="nil"/>
          <w:between w:val="nil"/>
          <w:bar w:val="nil"/>
        </w:pBdr>
        <w:tabs>
          <w:tab w:val="left" w:pos="1276"/>
        </w:tabs>
        <w:suppressAutoHyphens/>
        <w:spacing w:after="0" w:line="240" w:lineRule="auto"/>
        <w:ind w:left="0" w:firstLine="567"/>
        <w:jc w:val="both"/>
        <w:rPr>
          <w:rFonts w:ascii="Cambria" w:eastAsia="Arial Unicode MS" w:hAnsi="Cambria"/>
          <w:bdr w:val="nil"/>
        </w:rPr>
      </w:pPr>
      <w:r w:rsidRPr="004B4371">
        <w:rPr>
          <w:rFonts w:ascii="Cambria" w:hAnsi="Cambria"/>
        </w:rPr>
        <w:t>Pasiūlymo ekonominis naudingumas (E) apskaičiuojamas sudedant tiekėjo pasiūlymo kainos (K) ir techninių pranašumu (T) balus:</w:t>
      </w:r>
    </w:p>
    <w:p w:rsidR="004B4371" w:rsidRPr="004B4371" w:rsidRDefault="004B4371" w:rsidP="004B4371">
      <w:pPr>
        <w:tabs>
          <w:tab w:val="left" w:pos="851"/>
          <w:tab w:val="left" w:pos="1276"/>
        </w:tabs>
        <w:suppressAutoHyphens/>
        <w:ind w:firstLine="567"/>
        <w:rPr>
          <w:rFonts w:ascii="Cambria" w:hAnsi="Cambria"/>
          <w:sz w:val="22"/>
          <w:szCs w:val="22"/>
        </w:rPr>
      </w:pPr>
    </w:p>
    <w:p w:rsidR="004B4371" w:rsidRPr="004B4371" w:rsidRDefault="004B4371" w:rsidP="004B4371">
      <w:pPr>
        <w:shd w:val="clear" w:color="auto" w:fill="FFFFFF"/>
        <w:tabs>
          <w:tab w:val="left" w:pos="1276"/>
        </w:tabs>
        <w:ind w:firstLine="567"/>
        <w:jc w:val="center"/>
        <w:rPr>
          <w:rFonts w:ascii="Cambria" w:hAnsi="Cambria"/>
          <w:i/>
          <w:iCs/>
          <w:sz w:val="22"/>
          <w:szCs w:val="22"/>
        </w:rPr>
      </w:pPr>
      <w:r w:rsidRPr="004B4371">
        <w:rPr>
          <w:rFonts w:ascii="Cambria" w:hAnsi="Cambria"/>
          <w:i/>
          <w:iCs/>
          <w:sz w:val="22"/>
          <w:szCs w:val="22"/>
        </w:rPr>
        <w:t xml:space="preserve">E </w:t>
      </w:r>
      <w:r w:rsidRPr="004B4371">
        <w:rPr>
          <w:rFonts w:ascii="Cambria" w:hAnsi="Cambria"/>
          <w:sz w:val="22"/>
          <w:szCs w:val="22"/>
        </w:rPr>
        <w:t xml:space="preserve">= </w:t>
      </w:r>
      <w:r w:rsidRPr="004B4371">
        <w:rPr>
          <w:rFonts w:ascii="Cambria" w:hAnsi="Cambria"/>
          <w:i/>
          <w:sz w:val="22"/>
          <w:szCs w:val="22"/>
        </w:rPr>
        <w:t>K</w:t>
      </w:r>
      <w:r w:rsidRPr="004B4371">
        <w:rPr>
          <w:rFonts w:ascii="Cambria" w:hAnsi="Cambria"/>
          <w:i/>
          <w:iCs/>
          <w:sz w:val="22"/>
          <w:szCs w:val="22"/>
        </w:rPr>
        <w:t>+ T.</w:t>
      </w:r>
    </w:p>
    <w:p w:rsidR="004B4371" w:rsidRPr="004B4371" w:rsidRDefault="004B4371" w:rsidP="004B4371">
      <w:pPr>
        <w:shd w:val="clear" w:color="auto" w:fill="FFFFFF"/>
        <w:tabs>
          <w:tab w:val="left" w:pos="1276"/>
        </w:tabs>
        <w:ind w:firstLine="567"/>
        <w:jc w:val="center"/>
        <w:rPr>
          <w:rFonts w:ascii="Cambria" w:hAnsi="Cambria"/>
          <w:sz w:val="22"/>
          <w:szCs w:val="22"/>
        </w:rPr>
      </w:pPr>
    </w:p>
    <w:p w:rsidR="004B4371" w:rsidRPr="004B4371" w:rsidRDefault="004B4371" w:rsidP="004B4371">
      <w:pPr>
        <w:pStyle w:val="Sraopastraipa"/>
        <w:pBdr>
          <w:top w:val="nil"/>
          <w:left w:val="nil"/>
          <w:bottom w:val="nil"/>
          <w:right w:val="nil"/>
          <w:between w:val="nil"/>
          <w:bar w:val="nil"/>
        </w:pBdr>
        <w:tabs>
          <w:tab w:val="left" w:pos="851"/>
          <w:tab w:val="left" w:pos="1276"/>
        </w:tabs>
        <w:suppressAutoHyphens/>
        <w:spacing w:after="0" w:line="240" w:lineRule="auto"/>
        <w:ind w:left="0" w:firstLine="567"/>
        <w:jc w:val="both"/>
        <w:rPr>
          <w:rFonts w:ascii="Cambria" w:eastAsia="Arial Unicode MS" w:hAnsi="Cambria"/>
          <w:bdr w:val="nil"/>
        </w:rPr>
      </w:pPr>
      <w:r w:rsidRPr="004B4371">
        <w:rPr>
          <w:rFonts w:ascii="Cambria" w:hAnsi="Cambria"/>
        </w:rPr>
        <w:t>Pasiūlymo kainos (K) balai apskaičiuojami mažiausios pasiūlytos kainos (K</w:t>
      </w:r>
      <w:r w:rsidRPr="004B4371">
        <w:rPr>
          <w:rFonts w:ascii="Cambria" w:hAnsi="Cambria"/>
          <w:vertAlign w:val="subscript"/>
        </w:rPr>
        <w:t>min</w:t>
      </w:r>
      <w:r w:rsidRPr="004B4371">
        <w:rPr>
          <w:rFonts w:ascii="Cambria" w:hAnsi="Cambria"/>
        </w:rPr>
        <w:t>) ir vertinamo pasiūlymo kainos (K</w:t>
      </w:r>
      <w:r w:rsidRPr="004B4371">
        <w:rPr>
          <w:rFonts w:ascii="Cambria" w:hAnsi="Cambria"/>
          <w:vertAlign w:val="subscript"/>
        </w:rPr>
        <w:t>v</w:t>
      </w:r>
      <w:r w:rsidRPr="004B4371">
        <w:rPr>
          <w:rFonts w:ascii="Cambria" w:hAnsi="Cambria"/>
        </w:rPr>
        <w:t>) santykį padauginant iš kainos lyginamojo svorio (X):</w:t>
      </w:r>
    </w:p>
    <w:p w:rsidR="004B4371" w:rsidRPr="004B4371" w:rsidRDefault="004B4371" w:rsidP="004B4371">
      <w:pPr>
        <w:tabs>
          <w:tab w:val="left" w:pos="851"/>
        </w:tabs>
        <w:suppressAutoHyphens/>
        <w:ind w:left="360"/>
        <w:rPr>
          <w:rFonts w:ascii="Cambria" w:hAnsi="Cambria"/>
          <w:sz w:val="22"/>
          <w:szCs w:val="22"/>
        </w:rPr>
      </w:pPr>
    </w:p>
    <w:p w:rsidR="004B4371" w:rsidRPr="004B4371" w:rsidRDefault="004B4371" w:rsidP="004B4371">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4B4371" w:rsidRPr="004B4371" w:rsidRDefault="004B4371" w:rsidP="004B4371">
      <w:pPr>
        <w:tabs>
          <w:tab w:val="left" w:pos="1134"/>
        </w:tabs>
        <w:suppressAutoHyphens/>
        <w:jc w:val="both"/>
        <w:rPr>
          <w:rFonts w:ascii="Cambria" w:hAnsi="Cambria"/>
          <w:sz w:val="22"/>
          <w:szCs w:val="22"/>
        </w:rPr>
      </w:pPr>
    </w:p>
    <w:p w:rsidR="004B4371" w:rsidRPr="004B4371" w:rsidRDefault="004B4371" w:rsidP="004B4371">
      <w:pPr>
        <w:tabs>
          <w:tab w:val="left" w:pos="1134"/>
        </w:tabs>
        <w:suppressAutoHyphens/>
        <w:ind w:firstLine="993"/>
        <w:jc w:val="both"/>
        <w:rPr>
          <w:rFonts w:ascii="Cambria" w:hAnsi="Cambria"/>
          <w:sz w:val="22"/>
          <w:szCs w:val="22"/>
        </w:rPr>
      </w:pPr>
      <w:r w:rsidRPr="004B4371">
        <w:rPr>
          <w:rFonts w:ascii="Cambria" w:hAnsi="Cambria"/>
          <w:sz w:val="22"/>
          <w:szCs w:val="22"/>
        </w:rPr>
        <w:t>Kadangi siūlomo objekto techniniai pranašumai įvertinami dviem skirtingais vertinimo būdais, todėl parametrų įvertinimas apskaičiuojamas skirtingais metodais:</w:t>
      </w:r>
    </w:p>
    <w:p w:rsidR="004B4371" w:rsidRPr="004B4371" w:rsidRDefault="004B4371" w:rsidP="004B4371">
      <w:pPr>
        <w:tabs>
          <w:tab w:val="left" w:pos="1134"/>
        </w:tabs>
        <w:suppressAutoHyphens/>
        <w:ind w:firstLine="993"/>
        <w:jc w:val="both"/>
        <w:rPr>
          <w:rFonts w:ascii="Cambria" w:hAnsi="Cambria"/>
          <w:sz w:val="22"/>
          <w:szCs w:val="22"/>
        </w:rPr>
      </w:pPr>
      <w:r w:rsidRPr="004B4371">
        <w:rPr>
          <w:rFonts w:ascii="Cambria" w:hAnsi="Cambria"/>
          <w:sz w:val="22"/>
          <w:szCs w:val="22"/>
        </w:rPr>
        <w:t>Siūlomo objekto T</w:t>
      </w:r>
      <w:r w:rsidRPr="004B4371">
        <w:rPr>
          <w:rFonts w:ascii="Cambria" w:hAnsi="Cambria"/>
          <w:sz w:val="22"/>
          <w:szCs w:val="22"/>
          <w:vertAlign w:val="subscript"/>
        </w:rPr>
        <w:t>1</w:t>
      </w:r>
      <w:r w:rsidRPr="004B4371">
        <w:rPr>
          <w:rFonts w:ascii="Cambria" w:hAnsi="Cambria"/>
          <w:sz w:val="22"/>
          <w:szCs w:val="22"/>
        </w:rPr>
        <w:t>, T</w:t>
      </w:r>
      <w:r w:rsidRPr="004B4371">
        <w:rPr>
          <w:rFonts w:ascii="Cambria" w:hAnsi="Cambria"/>
          <w:sz w:val="22"/>
          <w:szCs w:val="22"/>
          <w:vertAlign w:val="subscript"/>
        </w:rPr>
        <w:t xml:space="preserve">2 </w:t>
      </w:r>
      <w:r w:rsidRPr="004B4371">
        <w:rPr>
          <w:rFonts w:ascii="Cambria" w:hAnsi="Cambria"/>
          <w:sz w:val="22"/>
          <w:szCs w:val="22"/>
        </w:rPr>
        <w:t>techniniai parametrai aprašomi palyginamuoju interpoliaciniu vertinimo būdu, todėl parametro įvertinimas apskaičiuojamas pagal metodiką:</w:t>
      </w:r>
    </w:p>
    <w:p w:rsidR="004B4371" w:rsidRPr="004B4371" w:rsidRDefault="004B4371" w:rsidP="004B4371">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993"/>
        <w:jc w:val="both"/>
        <w:rPr>
          <w:rFonts w:ascii="Cambria" w:eastAsia="Arial Unicode MS" w:hAnsi="Cambria"/>
          <w:bdr w:val="nil"/>
        </w:rPr>
      </w:pPr>
      <w:r w:rsidRPr="004B4371">
        <w:rPr>
          <w:rFonts w:ascii="Cambria" w:eastAsia="Arial Unicode MS" w:hAnsi="Cambria"/>
          <w:bdr w:val="nil"/>
        </w:rPr>
        <w:t>Jei siūlomas objektas turi parametro T</w:t>
      </w:r>
      <w:r w:rsidRPr="004B4371">
        <w:rPr>
          <w:rFonts w:ascii="Cambria" w:eastAsia="Arial Unicode MS" w:hAnsi="Cambria"/>
          <w:bdr w:val="nil"/>
          <w:vertAlign w:val="subscript"/>
        </w:rPr>
        <w:t>1</w:t>
      </w:r>
      <w:r w:rsidRPr="004B4371">
        <w:rPr>
          <w:rFonts w:ascii="Cambria" w:eastAsia="Arial Unicode MS" w:hAnsi="Cambria"/>
          <w:bdr w:val="nil"/>
        </w:rPr>
        <w:t>, T</w:t>
      </w:r>
      <w:r w:rsidRPr="004B4371">
        <w:rPr>
          <w:rFonts w:ascii="Cambria" w:eastAsia="Arial Unicode MS" w:hAnsi="Cambria"/>
          <w:bdr w:val="nil"/>
          <w:vertAlign w:val="subscript"/>
        </w:rPr>
        <w:t>2</w:t>
      </w:r>
      <w:r w:rsidRPr="004B4371">
        <w:rPr>
          <w:rFonts w:ascii="Cambria" w:eastAsia="Arial Unicode MS" w:hAnsi="Cambria"/>
          <w:bdr w:val="nil"/>
        </w:rPr>
        <w:t xml:space="preserve"> didžiausią skaitinę vertę (T</w:t>
      </w:r>
      <w:r w:rsidRPr="004B4371">
        <w:rPr>
          <w:rFonts w:ascii="Cambria" w:eastAsia="Arial Unicode MS" w:hAnsi="Cambria"/>
          <w:bdr w:val="nil"/>
          <w:vertAlign w:val="subscript"/>
        </w:rPr>
        <w:t>max</w:t>
      </w:r>
      <w:r w:rsidRPr="004B4371">
        <w:rPr>
          <w:rFonts w:ascii="Cambria" w:eastAsia="Arial Unicode MS" w:hAnsi="Cambria"/>
          <w:bdr w:val="nil"/>
        </w:rPr>
        <w:t>) gauna maksimalų balų skaičių pagal lyginamąjį svorį: T</w:t>
      </w:r>
      <w:r w:rsidRPr="004B4371">
        <w:rPr>
          <w:rFonts w:ascii="Cambria" w:eastAsia="Arial Unicode MS" w:hAnsi="Cambria"/>
          <w:bdr w:val="nil"/>
          <w:vertAlign w:val="subscript"/>
        </w:rPr>
        <w:t>1</w:t>
      </w:r>
      <w:r w:rsidRPr="004B4371">
        <w:rPr>
          <w:rFonts w:ascii="Cambria" w:eastAsia="Arial Unicode MS" w:hAnsi="Cambria"/>
          <w:bdr w:val="nil"/>
        </w:rPr>
        <w:t xml:space="preserve"> = L</w:t>
      </w:r>
      <w:r w:rsidRPr="004B4371">
        <w:rPr>
          <w:rFonts w:ascii="Cambria" w:eastAsia="Arial Unicode MS" w:hAnsi="Cambria"/>
          <w:bdr w:val="nil"/>
          <w:vertAlign w:val="subscript"/>
        </w:rPr>
        <w:t>1</w:t>
      </w:r>
      <w:r w:rsidRPr="004B4371">
        <w:rPr>
          <w:rFonts w:ascii="Cambria" w:eastAsia="Arial Unicode MS" w:hAnsi="Cambria"/>
          <w:bdr w:val="nil"/>
        </w:rPr>
        <w:t xml:space="preserve"> = 0,20; T</w:t>
      </w:r>
      <w:r w:rsidRPr="004B4371">
        <w:rPr>
          <w:rFonts w:ascii="Cambria" w:eastAsia="Arial Unicode MS" w:hAnsi="Cambria"/>
          <w:bdr w:val="nil"/>
          <w:vertAlign w:val="subscript"/>
        </w:rPr>
        <w:t>2</w:t>
      </w:r>
      <w:r w:rsidRPr="004B4371">
        <w:rPr>
          <w:rFonts w:ascii="Cambria" w:eastAsia="Arial Unicode MS" w:hAnsi="Cambria"/>
          <w:bdr w:val="nil"/>
        </w:rPr>
        <w:t xml:space="preserve"> = L</w:t>
      </w:r>
      <w:r w:rsidRPr="004B4371">
        <w:rPr>
          <w:rFonts w:ascii="Cambria" w:eastAsia="Arial Unicode MS" w:hAnsi="Cambria"/>
          <w:bdr w:val="nil"/>
          <w:vertAlign w:val="subscript"/>
        </w:rPr>
        <w:t>2</w:t>
      </w:r>
      <w:r w:rsidRPr="004B4371">
        <w:rPr>
          <w:rFonts w:ascii="Cambria" w:eastAsia="Arial Unicode MS" w:hAnsi="Cambria"/>
          <w:bdr w:val="nil"/>
        </w:rPr>
        <w:t xml:space="preserve"> = 0,40. Mažiausią parametrų T</w:t>
      </w:r>
      <w:r w:rsidRPr="004B4371">
        <w:rPr>
          <w:rFonts w:ascii="Cambria" w:eastAsia="Arial Unicode MS" w:hAnsi="Cambria"/>
          <w:bdr w:val="nil"/>
          <w:vertAlign w:val="subscript"/>
        </w:rPr>
        <w:t>1</w:t>
      </w:r>
      <w:r w:rsidRPr="004B4371">
        <w:rPr>
          <w:rFonts w:ascii="Cambria" w:eastAsia="Arial Unicode MS" w:hAnsi="Cambria"/>
          <w:bdr w:val="nil"/>
        </w:rPr>
        <w:t>, T</w:t>
      </w:r>
      <w:r w:rsidRPr="004B4371">
        <w:rPr>
          <w:rFonts w:ascii="Cambria" w:eastAsia="Arial Unicode MS" w:hAnsi="Cambria"/>
          <w:bdr w:val="nil"/>
          <w:vertAlign w:val="subscript"/>
        </w:rPr>
        <w:t>2</w:t>
      </w:r>
      <w:r w:rsidRPr="004B4371">
        <w:rPr>
          <w:rFonts w:ascii="Cambria" w:eastAsia="Arial Unicode MS" w:hAnsi="Cambria"/>
          <w:bdr w:val="nil"/>
        </w:rPr>
        <w:t xml:space="preserve"> skaitinę vertę (T</w:t>
      </w:r>
      <w:r w:rsidRPr="004B4371">
        <w:rPr>
          <w:rFonts w:ascii="Cambria" w:eastAsia="Arial Unicode MS" w:hAnsi="Cambria"/>
          <w:bdr w:val="nil"/>
          <w:vertAlign w:val="subscript"/>
        </w:rPr>
        <w:t>min</w:t>
      </w:r>
      <w:r w:rsidRPr="004B4371">
        <w:rPr>
          <w:rFonts w:ascii="Cambria" w:eastAsia="Arial Unicode MS" w:hAnsi="Cambria"/>
          <w:bdr w:val="nil"/>
        </w:rPr>
        <w:t>) turintis objektas gauna 0 balų: T</w:t>
      </w:r>
      <w:r w:rsidRPr="004B4371">
        <w:rPr>
          <w:rFonts w:ascii="Cambria" w:eastAsia="Arial Unicode MS" w:hAnsi="Cambria"/>
          <w:bdr w:val="nil"/>
          <w:vertAlign w:val="subscript"/>
        </w:rPr>
        <w:t>1</w:t>
      </w:r>
      <w:r w:rsidRPr="004B4371">
        <w:rPr>
          <w:rFonts w:ascii="Cambria" w:eastAsia="Arial Unicode MS" w:hAnsi="Cambria"/>
          <w:bdr w:val="nil"/>
        </w:rPr>
        <w:t xml:space="preserve"> = L</w:t>
      </w:r>
      <w:r w:rsidRPr="004B4371">
        <w:rPr>
          <w:rFonts w:ascii="Cambria" w:eastAsia="Arial Unicode MS" w:hAnsi="Cambria"/>
          <w:bdr w:val="nil"/>
          <w:vertAlign w:val="subscript"/>
        </w:rPr>
        <w:t>1</w:t>
      </w:r>
      <w:r w:rsidRPr="004B4371">
        <w:rPr>
          <w:rFonts w:ascii="Cambria" w:eastAsia="Arial Unicode MS" w:hAnsi="Cambria"/>
          <w:bdr w:val="nil"/>
        </w:rPr>
        <w:t xml:space="preserve"> = 0; T</w:t>
      </w:r>
      <w:r w:rsidRPr="004B4371">
        <w:rPr>
          <w:rFonts w:ascii="Cambria" w:eastAsia="Arial Unicode MS" w:hAnsi="Cambria"/>
          <w:bdr w:val="nil"/>
          <w:vertAlign w:val="subscript"/>
        </w:rPr>
        <w:t>2</w:t>
      </w:r>
      <w:r w:rsidRPr="004B4371">
        <w:rPr>
          <w:rFonts w:ascii="Cambria" w:eastAsia="Arial Unicode MS" w:hAnsi="Cambria"/>
          <w:bdr w:val="nil"/>
        </w:rPr>
        <w:t xml:space="preserve"> = L</w:t>
      </w:r>
      <w:r w:rsidRPr="004B4371">
        <w:rPr>
          <w:rFonts w:ascii="Cambria" w:eastAsia="Arial Unicode MS" w:hAnsi="Cambria"/>
          <w:bdr w:val="nil"/>
          <w:vertAlign w:val="subscript"/>
        </w:rPr>
        <w:t>2</w:t>
      </w:r>
      <w:r w:rsidRPr="004B4371">
        <w:rPr>
          <w:rFonts w:ascii="Cambria" w:eastAsia="Arial Unicode MS" w:hAnsi="Cambria"/>
          <w:bdr w:val="nil"/>
        </w:rPr>
        <w:t xml:space="preserve"> = 0. </w:t>
      </w:r>
    </w:p>
    <w:p w:rsidR="004B4371" w:rsidRPr="004B4371" w:rsidRDefault="004B4371" w:rsidP="004B4371">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993"/>
        <w:jc w:val="both"/>
        <w:rPr>
          <w:rFonts w:ascii="Cambria" w:eastAsia="Arial Unicode MS" w:hAnsi="Cambria"/>
          <w:bdr w:val="nil"/>
        </w:rPr>
      </w:pPr>
      <w:r w:rsidRPr="004B4371">
        <w:rPr>
          <w:rFonts w:ascii="Cambria" w:eastAsia="Arial Unicode MS" w:hAnsi="Cambria"/>
          <w:bdr w:val="nil"/>
        </w:rPr>
        <w:t>Visais kitais atvejais vertinamo objekto (T</w:t>
      </w:r>
      <w:r w:rsidRPr="004B4371">
        <w:rPr>
          <w:rFonts w:ascii="Cambria" w:eastAsia="Arial Unicode MS" w:hAnsi="Cambria"/>
          <w:bdr w:val="nil"/>
          <w:vertAlign w:val="subscript"/>
        </w:rPr>
        <w:t>v</w:t>
      </w:r>
      <w:r w:rsidRPr="004B4371">
        <w:rPr>
          <w:rFonts w:ascii="Cambria" w:eastAsia="Arial Unicode MS" w:hAnsi="Cambria"/>
          <w:bdr w:val="nil"/>
        </w:rPr>
        <w:t>) parametro įvertinimas skaičiuojamas pagal formulę:</w:t>
      </w:r>
    </w:p>
    <w:p w:rsidR="004B4371" w:rsidRPr="004B4371" w:rsidRDefault="004B4371" w:rsidP="004B4371">
      <w:pPr>
        <w:tabs>
          <w:tab w:val="left" w:pos="1134"/>
        </w:tabs>
        <w:suppressAutoHyphens/>
        <w:jc w:val="both"/>
        <w:rPr>
          <w:rFonts w:ascii="Cambria" w:hAnsi="Cambria"/>
          <w:sz w:val="22"/>
          <w:szCs w:val="22"/>
        </w:rPr>
      </w:pPr>
    </w:p>
    <w:p w:rsidR="004B4371" w:rsidRPr="004B4371" w:rsidRDefault="00324902" w:rsidP="004B4371">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4B4371" w:rsidRPr="004B4371" w:rsidRDefault="004B4371" w:rsidP="004B4371">
      <w:pPr>
        <w:tabs>
          <w:tab w:val="left" w:pos="1134"/>
        </w:tabs>
        <w:suppressAutoHyphens/>
        <w:jc w:val="both"/>
        <w:rPr>
          <w:rFonts w:ascii="Cambria" w:hAnsi="Cambria"/>
          <w:sz w:val="22"/>
          <w:szCs w:val="22"/>
        </w:rPr>
      </w:pPr>
    </w:p>
    <w:p w:rsidR="004B4371" w:rsidRPr="004B4371" w:rsidRDefault="004B4371" w:rsidP="004B4371">
      <w:pPr>
        <w:tabs>
          <w:tab w:val="left" w:pos="1560"/>
        </w:tabs>
        <w:suppressAutoHyphens/>
        <w:ind w:firstLine="993"/>
        <w:jc w:val="both"/>
        <w:rPr>
          <w:rFonts w:ascii="Cambria" w:hAnsi="Cambria"/>
          <w:sz w:val="22"/>
          <w:szCs w:val="22"/>
        </w:rPr>
      </w:pPr>
      <w:r w:rsidRPr="004B4371">
        <w:rPr>
          <w:rFonts w:ascii="Cambria" w:hAnsi="Cambria"/>
          <w:color w:val="000000" w:themeColor="text1"/>
          <w:sz w:val="22"/>
          <w:szCs w:val="22"/>
          <w:bdr w:val="none" w:sz="0" w:space="0" w:color="auto" w:frame="1"/>
        </w:rPr>
        <w:lastRenderedPageBreak/>
        <w:t>Siūlomo objekto T</w:t>
      </w:r>
      <w:r w:rsidRPr="004B4371">
        <w:rPr>
          <w:rFonts w:ascii="Cambria" w:hAnsi="Cambria"/>
          <w:color w:val="000000" w:themeColor="text1"/>
          <w:sz w:val="22"/>
          <w:szCs w:val="22"/>
          <w:bdr w:val="none" w:sz="0" w:space="0" w:color="auto" w:frame="1"/>
          <w:vertAlign w:val="subscript"/>
        </w:rPr>
        <w:t>3</w:t>
      </w:r>
      <w:r w:rsidRPr="004B4371">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4B4371" w:rsidRPr="004B4371" w:rsidRDefault="004B4371" w:rsidP="004B4371">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4B4371">
        <w:rPr>
          <w:rFonts w:ascii="Cambria" w:hAnsi="Cambria"/>
          <w:color w:val="000000" w:themeColor="text1"/>
          <w:bdr w:val="none" w:sz="0" w:space="0" w:color="auto" w:frame="1"/>
        </w:rPr>
        <w:t>Jei siūlomas objektas turi nurodytą pranašumą: T</w:t>
      </w:r>
      <w:r w:rsidRPr="004B4371">
        <w:rPr>
          <w:rFonts w:ascii="Cambria" w:hAnsi="Cambria"/>
          <w:color w:val="000000" w:themeColor="text1"/>
          <w:bdr w:val="none" w:sz="0" w:space="0" w:color="auto" w:frame="1"/>
          <w:vertAlign w:val="subscript"/>
        </w:rPr>
        <w:t>3</w:t>
      </w:r>
      <w:r w:rsidRPr="004B4371">
        <w:rPr>
          <w:rFonts w:ascii="Cambria" w:hAnsi="Cambria"/>
          <w:color w:val="000000" w:themeColor="text1"/>
          <w:bdr w:val="none" w:sz="0" w:space="0" w:color="auto" w:frame="1"/>
        </w:rPr>
        <w:t xml:space="preserve"> = L</w:t>
      </w:r>
      <w:r w:rsidRPr="004B4371">
        <w:rPr>
          <w:rFonts w:ascii="Cambria" w:hAnsi="Cambria"/>
          <w:color w:val="000000" w:themeColor="text1"/>
          <w:bdr w:val="none" w:sz="0" w:space="0" w:color="auto" w:frame="1"/>
          <w:vertAlign w:val="subscript"/>
        </w:rPr>
        <w:t xml:space="preserve">3 </w:t>
      </w:r>
      <w:r w:rsidRPr="004B4371">
        <w:rPr>
          <w:rFonts w:ascii="Cambria" w:hAnsi="Cambria"/>
          <w:color w:val="000000" w:themeColor="text1"/>
          <w:bdr w:val="none" w:sz="0" w:space="0" w:color="auto" w:frame="1"/>
        </w:rPr>
        <w:t>= 0,20; T</w:t>
      </w:r>
      <w:r w:rsidRPr="004B4371">
        <w:rPr>
          <w:rFonts w:ascii="Cambria" w:hAnsi="Cambria"/>
          <w:color w:val="000000" w:themeColor="text1"/>
          <w:bdr w:val="none" w:sz="0" w:space="0" w:color="auto" w:frame="1"/>
          <w:vertAlign w:val="subscript"/>
        </w:rPr>
        <w:t>4</w:t>
      </w:r>
      <w:r w:rsidRPr="004B4371">
        <w:rPr>
          <w:rFonts w:ascii="Cambria" w:hAnsi="Cambria"/>
          <w:color w:val="000000" w:themeColor="text1"/>
          <w:bdr w:val="none" w:sz="0" w:space="0" w:color="auto" w:frame="1"/>
        </w:rPr>
        <w:t xml:space="preserve"> = L</w:t>
      </w:r>
      <w:r w:rsidRPr="004B4371">
        <w:rPr>
          <w:rFonts w:ascii="Cambria" w:hAnsi="Cambria"/>
          <w:color w:val="000000" w:themeColor="text1"/>
          <w:bdr w:val="none" w:sz="0" w:space="0" w:color="auto" w:frame="1"/>
          <w:vertAlign w:val="subscript"/>
        </w:rPr>
        <w:t xml:space="preserve">4 </w:t>
      </w:r>
      <w:r w:rsidRPr="004B4371">
        <w:rPr>
          <w:rFonts w:ascii="Cambria" w:hAnsi="Cambria"/>
          <w:color w:val="000000" w:themeColor="text1"/>
          <w:bdr w:val="none" w:sz="0" w:space="0" w:color="auto" w:frame="1"/>
        </w:rPr>
        <w:t>= 0,20.</w:t>
      </w:r>
    </w:p>
    <w:p w:rsidR="004B4371" w:rsidRPr="004B4371" w:rsidRDefault="004B4371" w:rsidP="004B4371">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4B4371">
        <w:rPr>
          <w:rFonts w:ascii="Cambria" w:hAnsi="Cambria"/>
          <w:color w:val="000000" w:themeColor="text1"/>
          <w:bdr w:val="none" w:sz="0" w:space="0" w:color="auto" w:frame="1"/>
        </w:rPr>
        <w:t>Jei siūlomas objektas neturi nurodyto pranašumo: T</w:t>
      </w:r>
      <w:r w:rsidRPr="004B4371">
        <w:rPr>
          <w:rFonts w:ascii="Cambria" w:hAnsi="Cambria"/>
          <w:color w:val="000000" w:themeColor="text1"/>
          <w:bdr w:val="none" w:sz="0" w:space="0" w:color="auto" w:frame="1"/>
          <w:vertAlign w:val="subscript"/>
        </w:rPr>
        <w:t>3</w:t>
      </w:r>
      <w:r w:rsidRPr="004B4371">
        <w:rPr>
          <w:rFonts w:ascii="Cambria" w:hAnsi="Cambria"/>
          <w:color w:val="000000" w:themeColor="text1"/>
          <w:bdr w:val="none" w:sz="0" w:space="0" w:color="auto" w:frame="1"/>
        </w:rPr>
        <w:t xml:space="preserve"> = L</w:t>
      </w:r>
      <w:r w:rsidRPr="004B4371">
        <w:rPr>
          <w:rFonts w:ascii="Cambria" w:hAnsi="Cambria"/>
          <w:color w:val="000000" w:themeColor="text1"/>
          <w:bdr w:val="none" w:sz="0" w:space="0" w:color="auto" w:frame="1"/>
          <w:vertAlign w:val="subscript"/>
        </w:rPr>
        <w:t xml:space="preserve">3 </w:t>
      </w:r>
      <w:r w:rsidRPr="004B4371">
        <w:rPr>
          <w:rFonts w:ascii="Cambria" w:hAnsi="Cambria"/>
          <w:color w:val="000000" w:themeColor="text1"/>
          <w:bdr w:val="none" w:sz="0" w:space="0" w:color="auto" w:frame="1"/>
        </w:rPr>
        <w:t>= 0; T</w:t>
      </w:r>
      <w:r w:rsidRPr="004B4371">
        <w:rPr>
          <w:rFonts w:ascii="Cambria" w:hAnsi="Cambria"/>
          <w:color w:val="000000" w:themeColor="text1"/>
          <w:bdr w:val="none" w:sz="0" w:space="0" w:color="auto" w:frame="1"/>
          <w:vertAlign w:val="subscript"/>
        </w:rPr>
        <w:t>4</w:t>
      </w:r>
      <w:r w:rsidRPr="004B4371">
        <w:rPr>
          <w:rFonts w:ascii="Cambria" w:hAnsi="Cambria"/>
          <w:color w:val="000000" w:themeColor="text1"/>
          <w:bdr w:val="none" w:sz="0" w:space="0" w:color="auto" w:frame="1"/>
        </w:rPr>
        <w:t xml:space="preserve"> = L</w:t>
      </w:r>
      <w:r w:rsidRPr="004B4371">
        <w:rPr>
          <w:rFonts w:ascii="Cambria" w:hAnsi="Cambria"/>
          <w:color w:val="000000" w:themeColor="text1"/>
          <w:bdr w:val="none" w:sz="0" w:space="0" w:color="auto" w:frame="1"/>
          <w:vertAlign w:val="subscript"/>
        </w:rPr>
        <w:t xml:space="preserve">4 </w:t>
      </w:r>
      <w:r w:rsidRPr="004B4371">
        <w:rPr>
          <w:rFonts w:ascii="Cambria" w:hAnsi="Cambria"/>
          <w:color w:val="000000" w:themeColor="text1"/>
          <w:bdr w:val="none" w:sz="0" w:space="0" w:color="auto" w:frame="1"/>
        </w:rPr>
        <w:t>= 0.</w:t>
      </w:r>
    </w:p>
    <w:p w:rsidR="004B4371" w:rsidRPr="004B4371" w:rsidRDefault="004B4371" w:rsidP="004B4371">
      <w:pPr>
        <w:shd w:val="clear" w:color="auto" w:fill="FFFFFF"/>
        <w:jc w:val="both"/>
        <w:rPr>
          <w:rFonts w:ascii="Cambria" w:hAnsi="Cambria"/>
          <w:color w:val="000000" w:themeColor="text1"/>
          <w:sz w:val="22"/>
          <w:szCs w:val="22"/>
          <w:bdr w:val="none" w:sz="0" w:space="0" w:color="auto" w:frame="1"/>
        </w:rPr>
      </w:pPr>
    </w:p>
    <w:p w:rsidR="004B4371" w:rsidRPr="004B4371" w:rsidRDefault="004B4371" w:rsidP="004B4371">
      <w:pPr>
        <w:tabs>
          <w:tab w:val="left" w:pos="851"/>
        </w:tabs>
        <w:suppressAutoHyphens/>
        <w:ind w:firstLine="993"/>
        <w:jc w:val="both"/>
        <w:rPr>
          <w:rFonts w:ascii="Cambria" w:hAnsi="Cambria"/>
          <w:sz w:val="22"/>
          <w:szCs w:val="22"/>
        </w:rPr>
      </w:pPr>
      <w:r w:rsidRPr="004B4371">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4B4371" w:rsidRPr="004B4371" w:rsidRDefault="004B4371" w:rsidP="004B4371">
      <w:pPr>
        <w:tabs>
          <w:tab w:val="left" w:pos="851"/>
        </w:tabs>
        <w:suppressAutoHyphens/>
        <w:ind w:left="360"/>
        <w:rPr>
          <w:rFonts w:ascii="Cambria" w:hAnsi="Cambria"/>
          <w:sz w:val="22"/>
          <w:szCs w:val="22"/>
        </w:rPr>
      </w:pPr>
    </w:p>
    <w:p w:rsidR="004B4371" w:rsidRPr="004B4371" w:rsidRDefault="004B4371" w:rsidP="004B4371">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4</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4B4371" w:rsidRPr="004B4371" w:rsidRDefault="004B4371" w:rsidP="004B4371">
      <w:pPr>
        <w:jc w:val="both"/>
        <w:rPr>
          <w:rFonts w:ascii="Cambria" w:hAnsi="Cambria"/>
          <w:sz w:val="22"/>
          <w:szCs w:val="22"/>
        </w:rPr>
      </w:pPr>
    </w:p>
    <w:p w:rsidR="004B4371" w:rsidRPr="004B4371" w:rsidRDefault="004B4371" w:rsidP="004B4371">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4B4371">
        <w:rPr>
          <w:rFonts w:ascii="Cambria" w:eastAsia="Arial Unicode MS" w:hAnsi="Cambria"/>
          <w:b/>
          <w:bCs/>
          <w:caps/>
          <w:spacing w:val="4"/>
          <w:bdr w:val="nil"/>
        </w:rPr>
        <w:t xml:space="preserve">Informavimas APIE VERTINIMO REZULTATUS </w:t>
      </w:r>
    </w:p>
    <w:p w:rsidR="004B4371" w:rsidRPr="004B4371" w:rsidRDefault="004B4371" w:rsidP="004B4371">
      <w:pPr>
        <w:tabs>
          <w:tab w:val="left" w:pos="851"/>
        </w:tabs>
        <w:suppressAutoHyphens/>
        <w:jc w:val="both"/>
        <w:rPr>
          <w:rFonts w:ascii="Cambria" w:hAnsi="Cambria"/>
          <w:vanish/>
          <w:sz w:val="22"/>
          <w:szCs w:val="22"/>
        </w:rPr>
      </w:pPr>
    </w:p>
    <w:p w:rsidR="004B4371" w:rsidRPr="004B4371" w:rsidRDefault="004B4371" w:rsidP="004B4371">
      <w:pPr>
        <w:tabs>
          <w:tab w:val="left" w:pos="851"/>
        </w:tabs>
        <w:suppressAutoHyphens/>
        <w:ind w:firstLine="567"/>
        <w:jc w:val="both"/>
        <w:rPr>
          <w:rFonts w:ascii="Cambria" w:hAnsi="Cambria"/>
          <w:sz w:val="22"/>
          <w:szCs w:val="22"/>
        </w:rPr>
      </w:pPr>
      <w:r w:rsidRPr="004B4371">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4B4371" w:rsidRPr="004B4371" w:rsidRDefault="004B4371" w:rsidP="004B4371">
      <w:pPr>
        <w:tabs>
          <w:tab w:val="left" w:pos="851"/>
        </w:tabs>
        <w:suppressAutoHyphens/>
        <w:ind w:firstLine="567"/>
        <w:jc w:val="both"/>
        <w:rPr>
          <w:rFonts w:ascii="Cambria" w:hAnsi="Cambria"/>
          <w:sz w:val="22"/>
          <w:szCs w:val="22"/>
        </w:rPr>
      </w:pPr>
      <w:r w:rsidRPr="004B4371">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E05C12" w:rsidRPr="00E05C12" w:rsidRDefault="00E05C12" w:rsidP="00E05C12">
      <w:pPr>
        <w:pStyle w:val="Heading"/>
        <w:jc w:val="both"/>
        <w:rPr>
          <w:rFonts w:ascii="Cambria" w:hAnsi="Cambria"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E05C12" w:rsidRDefault="00E05C12" w:rsidP="00557244">
      <w:pPr>
        <w:pStyle w:val="Body2"/>
        <w:tabs>
          <w:tab w:val="left" w:pos="567"/>
        </w:tabs>
        <w:spacing w:after="0"/>
        <w:ind w:firstLine="709"/>
        <w:rPr>
          <w:rFonts w:asciiTheme="majorHAnsi" w:hAnsiTheme="majorHAnsi"/>
        </w:rPr>
      </w:pPr>
    </w:p>
    <w:p w:rsidR="004B4371" w:rsidRPr="003714C3" w:rsidRDefault="004B4371" w:rsidP="00557244">
      <w:pPr>
        <w:pStyle w:val="Body2"/>
        <w:tabs>
          <w:tab w:val="left" w:pos="567"/>
        </w:tabs>
        <w:spacing w:after="0"/>
        <w:ind w:firstLine="709"/>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31CE0" w:rsidRDefault="00B31C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4B4371">
        <w:rPr>
          <w:rFonts w:asciiTheme="majorHAnsi" w:hAnsiTheme="majorHAnsi"/>
          <w:b/>
          <w:bCs/>
          <w:sz w:val="22"/>
          <w:szCs w:val="22"/>
          <w:lang w:val="lt-LT"/>
        </w:rPr>
        <w:t>HOLTERIO MONITORAVIMO SISTEMOS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4B4371" w:rsidRPr="003714C3" w:rsidTr="000C60F6">
        <w:trPr>
          <w:trHeight w:val="510"/>
        </w:trPr>
        <w:tc>
          <w:tcPr>
            <w:tcW w:w="568" w:type="dxa"/>
            <w:vAlign w:val="center"/>
          </w:tcPr>
          <w:p w:rsidR="004B4371" w:rsidRPr="003F0374" w:rsidRDefault="004B4371" w:rsidP="004B437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4B4371" w:rsidRPr="004B4371" w:rsidRDefault="004B4371" w:rsidP="004B4371">
            <w:pPr>
              <w:tabs>
                <w:tab w:val="left" w:pos="14175"/>
              </w:tabs>
              <w:ind w:right="-86"/>
              <w:rPr>
                <w:rFonts w:ascii="Cambria" w:hAnsi="Cambria"/>
                <w:sz w:val="22"/>
                <w:szCs w:val="22"/>
                <w:lang w:bidi="lt-LT"/>
              </w:rPr>
            </w:pPr>
            <w:r w:rsidRPr="004B4371">
              <w:rPr>
                <w:rFonts w:ascii="Cambria" w:hAnsi="Cambria"/>
                <w:sz w:val="22"/>
                <w:szCs w:val="22"/>
                <w:lang w:bidi="lt-LT"/>
              </w:rPr>
              <w:t xml:space="preserve">Įrangai suteikiama ilgesnė negu 24 mėn. garantija. </w:t>
            </w:r>
          </w:p>
          <w:p w:rsidR="004B4371" w:rsidRPr="004B4371" w:rsidRDefault="004B4371" w:rsidP="004B4371">
            <w:pPr>
              <w:tabs>
                <w:tab w:val="left" w:pos="14175"/>
              </w:tabs>
              <w:ind w:right="-86"/>
              <w:rPr>
                <w:rFonts w:ascii="Cambria" w:hAnsi="Cambria"/>
                <w:sz w:val="22"/>
                <w:szCs w:val="22"/>
                <w:lang w:bidi="lt-LT"/>
              </w:rPr>
            </w:pPr>
          </w:p>
          <w:p w:rsidR="004B4371" w:rsidRPr="004B4371" w:rsidRDefault="004B4371" w:rsidP="004B4371">
            <w:pPr>
              <w:tabs>
                <w:tab w:val="left" w:pos="14175"/>
              </w:tabs>
              <w:ind w:right="55"/>
              <w:rPr>
                <w:rFonts w:ascii="Cambria" w:hAnsi="Cambria"/>
                <w:i/>
                <w:sz w:val="22"/>
                <w:szCs w:val="22"/>
              </w:rPr>
            </w:pPr>
            <w:r w:rsidRPr="004B4371">
              <w:rPr>
                <w:rFonts w:ascii="Cambria" w:hAnsi="Cambria"/>
                <w:i/>
                <w:sz w:val="22"/>
                <w:szCs w:val="22"/>
                <w:lang w:bidi="lt-LT"/>
              </w:rPr>
              <w:t>Pastaba: Balas skiriamas už kiekvienus papildomus 12 mėn.</w:t>
            </w:r>
          </w:p>
        </w:tc>
        <w:tc>
          <w:tcPr>
            <w:tcW w:w="2126"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4B4371" w:rsidRPr="003714C3" w:rsidTr="000C60F6">
        <w:trPr>
          <w:trHeight w:val="510"/>
        </w:trPr>
        <w:tc>
          <w:tcPr>
            <w:tcW w:w="568" w:type="dxa"/>
            <w:vAlign w:val="center"/>
          </w:tcPr>
          <w:p w:rsidR="004B4371" w:rsidRPr="003F0374" w:rsidRDefault="004B4371" w:rsidP="004B4371">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4B4371" w:rsidRPr="004B4371" w:rsidRDefault="004B4371" w:rsidP="004B4371">
            <w:pPr>
              <w:ind w:right="-86"/>
              <w:rPr>
                <w:rFonts w:ascii="Cambria" w:hAnsi="Cambria"/>
                <w:sz w:val="22"/>
                <w:szCs w:val="22"/>
              </w:rPr>
            </w:pPr>
            <w:r w:rsidRPr="004B4371">
              <w:rPr>
                <w:rFonts w:ascii="Cambria" w:hAnsi="Cambria"/>
                <w:sz w:val="22"/>
                <w:szCs w:val="22"/>
                <w:lang w:bidi="lt-LT"/>
              </w:rPr>
              <w:t>Didžiausias diskretizavimo dažnis.</w:t>
            </w:r>
          </w:p>
        </w:tc>
        <w:tc>
          <w:tcPr>
            <w:tcW w:w="2126"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4B4371" w:rsidRPr="003714C3" w:rsidTr="000C60F6">
        <w:trPr>
          <w:trHeight w:val="510"/>
        </w:trPr>
        <w:tc>
          <w:tcPr>
            <w:tcW w:w="568" w:type="dxa"/>
            <w:vAlign w:val="center"/>
          </w:tcPr>
          <w:p w:rsidR="004B4371" w:rsidRPr="003F0374" w:rsidRDefault="004B4371" w:rsidP="004B437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4B4371" w:rsidRPr="004B4371" w:rsidRDefault="004B4371" w:rsidP="004B4371">
            <w:pPr>
              <w:pStyle w:val="prastasis1"/>
              <w:tabs>
                <w:tab w:val="left" w:pos="14175"/>
              </w:tabs>
              <w:spacing w:after="0" w:line="240" w:lineRule="auto"/>
              <w:rPr>
                <w:rFonts w:ascii="Cambria" w:hAnsi="Cambria"/>
                <w:sz w:val="22"/>
                <w:szCs w:val="22"/>
                <w:lang w:val="lt-LT"/>
              </w:rPr>
            </w:pPr>
            <w:r w:rsidRPr="004B4371">
              <w:rPr>
                <w:rFonts w:ascii="Cambria" w:hAnsi="Cambria"/>
                <w:sz w:val="22"/>
                <w:szCs w:val="22"/>
                <w:lang w:val="lt-LT" w:bidi="lt-LT"/>
              </w:rPr>
              <w:t>Yra galimybė įsigyti EKG kabelį, kuriuo registruojama ≥ 12 EKG derivacijų.</w:t>
            </w:r>
          </w:p>
        </w:tc>
        <w:tc>
          <w:tcPr>
            <w:tcW w:w="2126"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4B4371" w:rsidRPr="003714C3" w:rsidTr="000C60F6">
        <w:trPr>
          <w:trHeight w:val="510"/>
        </w:trPr>
        <w:tc>
          <w:tcPr>
            <w:tcW w:w="568" w:type="dxa"/>
            <w:vAlign w:val="center"/>
          </w:tcPr>
          <w:p w:rsidR="004B4371" w:rsidRPr="003F0374" w:rsidRDefault="004B4371" w:rsidP="004B4371">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4B4371" w:rsidRPr="004B4371" w:rsidRDefault="004B4371" w:rsidP="004B4371">
            <w:pPr>
              <w:pStyle w:val="prastasis1"/>
              <w:tabs>
                <w:tab w:val="left" w:pos="14175"/>
              </w:tabs>
              <w:spacing w:after="0" w:line="240" w:lineRule="auto"/>
              <w:rPr>
                <w:rFonts w:ascii="Cambria" w:hAnsi="Cambria"/>
                <w:sz w:val="22"/>
                <w:szCs w:val="22"/>
                <w:lang w:val="lt-LT" w:bidi="lt-LT"/>
              </w:rPr>
            </w:pPr>
            <w:r w:rsidRPr="004B4371">
              <w:rPr>
                <w:rFonts w:ascii="Cambria" w:hAnsi="Cambria"/>
                <w:sz w:val="22"/>
                <w:szCs w:val="22"/>
                <w:lang w:val="lt-LT" w:bidi="lt-LT"/>
              </w:rPr>
              <w:t>Yra galimybė prijungti ≥ 12 EKG derivacijų registratorių prie siūlomos sistemos.</w:t>
            </w:r>
          </w:p>
        </w:tc>
        <w:tc>
          <w:tcPr>
            <w:tcW w:w="2126"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B4371" w:rsidRPr="003714C3" w:rsidRDefault="004B4371" w:rsidP="004B437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CB65A8">
              <w:rPr>
                <w:rFonts w:asciiTheme="majorHAnsi" w:hAnsiTheme="majorHAnsi"/>
                <w:b/>
                <w:color w:val="FF0000"/>
                <w:sz w:val="22"/>
                <w:szCs w:val="22"/>
                <w:highlight w:val="cyan"/>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CB65A8">
                    <w:rPr>
                      <w:rFonts w:asciiTheme="majorHAnsi" w:hAnsiTheme="majorHAnsi"/>
                      <w:sz w:val="21"/>
                      <w:szCs w:val="21"/>
                      <w:highlight w:val="cya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902" w:rsidRDefault="00324902" w:rsidP="00922417">
      <w:r>
        <w:separator/>
      </w:r>
    </w:p>
  </w:endnote>
  <w:endnote w:type="continuationSeparator" w:id="0">
    <w:p w:rsidR="00324902" w:rsidRDefault="0032490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73F" w:rsidRDefault="00EB373F">
    <w:pPr>
      <w:pStyle w:val="Porat"/>
      <w:jc w:val="right"/>
    </w:pPr>
  </w:p>
  <w:p w:rsidR="00EB373F" w:rsidRDefault="00EB373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73F" w:rsidRDefault="00EB373F">
    <w:pPr>
      <w:pStyle w:val="Porat"/>
      <w:jc w:val="right"/>
    </w:pPr>
  </w:p>
  <w:p w:rsidR="00EB373F" w:rsidRDefault="00EB37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902" w:rsidRDefault="00324902" w:rsidP="00922417">
      <w:r>
        <w:separator/>
      </w:r>
    </w:p>
  </w:footnote>
  <w:footnote w:type="continuationSeparator" w:id="0">
    <w:p w:rsidR="00324902" w:rsidRDefault="00324902" w:rsidP="00922417">
      <w:r>
        <w:continuationSeparator/>
      </w:r>
    </w:p>
  </w:footnote>
  <w:footnote w:id="1">
    <w:p w:rsidR="00EB373F" w:rsidRPr="00C54A7B" w:rsidRDefault="00EB373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373F" w:rsidRPr="00C54A7B" w:rsidRDefault="00EB373F" w:rsidP="00401D35">
      <w:pPr>
        <w:pStyle w:val="Puslapioinaostekstas"/>
        <w:numPr>
          <w:ilvl w:val="0"/>
          <w:numId w:val="6"/>
        </w:numPr>
        <w:rPr>
          <w:rFonts w:eastAsia="Yu Mincho"/>
          <w:i/>
          <w:iCs/>
        </w:rPr>
      </w:pPr>
      <w:r w:rsidRPr="00C54A7B">
        <w:rPr>
          <w:rFonts w:eastAsia="Yu Mincho"/>
          <w:i/>
          <w:iCs/>
        </w:rPr>
        <w:t xml:space="preserve">priesaikos deklaracija; </w:t>
      </w:r>
    </w:p>
    <w:p w:rsidR="00EB373F" w:rsidRDefault="00EB373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B373F" w:rsidRPr="00551FCA" w:rsidRDefault="00EB373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033920"/>
    <w:multiLevelType w:val="hybridMultilevel"/>
    <w:tmpl w:val="1EE0D238"/>
    <w:lvl w:ilvl="0" w:tplc="B34C07F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6"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1"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14"/>
  </w:num>
  <w:num w:numId="5">
    <w:abstractNumId w:val="22"/>
  </w:num>
  <w:num w:numId="6">
    <w:abstractNumId w:val="23"/>
  </w:num>
  <w:num w:numId="7">
    <w:abstractNumId w:val="6"/>
  </w:num>
  <w:num w:numId="8">
    <w:abstractNumId w:val="24"/>
  </w:num>
  <w:num w:numId="9">
    <w:abstractNumId w:val="16"/>
  </w:num>
  <w:num w:numId="10">
    <w:abstractNumId w:val="25"/>
  </w:num>
  <w:num w:numId="11">
    <w:abstractNumId w:val="5"/>
  </w:num>
  <w:num w:numId="12">
    <w:abstractNumId w:val="15"/>
  </w:num>
  <w:num w:numId="13">
    <w:abstractNumId w:val="31"/>
  </w:num>
  <w:num w:numId="14">
    <w:abstractNumId w:val="2"/>
  </w:num>
  <w:num w:numId="15">
    <w:abstractNumId w:val="19"/>
  </w:num>
  <w:num w:numId="16">
    <w:abstractNumId w:val="3"/>
  </w:num>
  <w:num w:numId="17">
    <w:abstractNumId w:val="21"/>
  </w:num>
  <w:num w:numId="18">
    <w:abstractNumId w:val="29"/>
  </w:num>
  <w:num w:numId="19">
    <w:abstractNumId w:val="9"/>
  </w:num>
  <w:num w:numId="20">
    <w:abstractNumId w:val="7"/>
  </w:num>
  <w:num w:numId="21">
    <w:abstractNumId w:val="17"/>
  </w:num>
  <w:num w:numId="22">
    <w:abstractNumId w:val="26"/>
  </w:num>
  <w:num w:numId="23">
    <w:abstractNumId w:val="12"/>
  </w:num>
  <w:num w:numId="24">
    <w:abstractNumId w:val="4"/>
  </w:num>
  <w:num w:numId="25">
    <w:abstractNumId w:val="18"/>
  </w:num>
  <w:num w:numId="26">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1"/>
  </w:num>
  <w:num w:numId="30">
    <w:abstractNumId w:val="0"/>
  </w:num>
  <w:num w:numId="31">
    <w:abstractNumId w:val="20"/>
  </w:num>
  <w:num w:numId="32">
    <w:abstractNumId w:val="13"/>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65E"/>
    <w:rsid w:val="00067A83"/>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32D9"/>
    <w:rsid w:val="00115243"/>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0ADD"/>
    <w:rsid w:val="00182E23"/>
    <w:rsid w:val="0018451D"/>
    <w:rsid w:val="001859B3"/>
    <w:rsid w:val="00185AA9"/>
    <w:rsid w:val="00186735"/>
    <w:rsid w:val="00186FB4"/>
    <w:rsid w:val="00190814"/>
    <w:rsid w:val="001909D8"/>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251F"/>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6554"/>
    <w:rsid w:val="003074F3"/>
    <w:rsid w:val="003108F5"/>
    <w:rsid w:val="00313E1F"/>
    <w:rsid w:val="00315EF6"/>
    <w:rsid w:val="00317115"/>
    <w:rsid w:val="003209EA"/>
    <w:rsid w:val="0032448C"/>
    <w:rsid w:val="00324902"/>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800"/>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B4371"/>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4EA4"/>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3050"/>
    <w:rsid w:val="005E63AF"/>
    <w:rsid w:val="005F2D90"/>
    <w:rsid w:val="005F63F3"/>
    <w:rsid w:val="005F6913"/>
    <w:rsid w:val="005F7879"/>
    <w:rsid w:val="006006D8"/>
    <w:rsid w:val="00604518"/>
    <w:rsid w:val="0061025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5D9"/>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0EC6"/>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E73DF"/>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CE0"/>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57838"/>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351"/>
    <w:rsid w:val="00BE67E8"/>
    <w:rsid w:val="00BE7587"/>
    <w:rsid w:val="00BF0C13"/>
    <w:rsid w:val="00BF43CF"/>
    <w:rsid w:val="00C00564"/>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67F1F"/>
    <w:rsid w:val="00C743C1"/>
    <w:rsid w:val="00C776C7"/>
    <w:rsid w:val="00C83FEC"/>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B65A8"/>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05C12"/>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6EB2"/>
    <w:rsid w:val="00E8791C"/>
    <w:rsid w:val="00E87AA2"/>
    <w:rsid w:val="00E908DB"/>
    <w:rsid w:val="00E9333F"/>
    <w:rsid w:val="00E958C2"/>
    <w:rsid w:val="00E9785F"/>
    <w:rsid w:val="00EA2E6F"/>
    <w:rsid w:val="00EA435E"/>
    <w:rsid w:val="00EB30B9"/>
    <w:rsid w:val="00EB3212"/>
    <w:rsid w:val="00EB373F"/>
    <w:rsid w:val="00EB3E70"/>
    <w:rsid w:val="00EB4E51"/>
    <w:rsid w:val="00EB4EB4"/>
    <w:rsid w:val="00EB5B1E"/>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44C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aliases w:val="5 pt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D055B-E040-422B-A274-7A1421FE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25</Pages>
  <Words>47868</Words>
  <Characters>27286</Characters>
  <Application>Microsoft Office Word</Application>
  <DocSecurity>0</DocSecurity>
  <Lines>227</Lines>
  <Paragraphs>150</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262</cp:revision>
  <cp:lastPrinted>2024-03-22T12:28:00Z</cp:lastPrinted>
  <dcterms:created xsi:type="dcterms:W3CDTF">2023-11-14T08:29:00Z</dcterms:created>
  <dcterms:modified xsi:type="dcterms:W3CDTF">2026-06-03T12:17:00Z</dcterms:modified>
</cp:coreProperties>
</file>