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B758" w14:textId="5EA6C8AB" w:rsidR="00C35403" w:rsidRPr="00086A85" w:rsidRDefault="00C35403" w:rsidP="00C35403">
      <w:pPr>
        <w:tabs>
          <w:tab w:val="left" w:pos="8137"/>
        </w:tabs>
        <w:spacing w:after="0" w:line="240" w:lineRule="auto"/>
        <w:jc w:val="right"/>
        <w:rPr>
          <w:rFonts w:ascii="Arial" w:eastAsia="Calibri" w:hAnsi="Arial" w:cs="Arial"/>
          <w:bCs/>
          <w:i/>
          <w:iCs/>
          <w:color w:val="000000" w:themeColor="text1"/>
          <w:lang w:val="en-GB"/>
        </w:rPr>
      </w:pPr>
      <w:r w:rsidRPr="00086A85">
        <w:rPr>
          <w:rFonts w:ascii="Arial" w:eastAsia="Calibri" w:hAnsi="Arial" w:cs="Arial"/>
          <w:bCs/>
          <w:i/>
          <w:iCs/>
          <w:color w:val="000000" w:themeColor="text1"/>
          <w:lang w:val="en-GB"/>
        </w:rPr>
        <w:t>Annex No. 1 to the specific procurement carried out under the dynamic purchasing system</w:t>
      </w:r>
      <w:r w:rsidRPr="00086A85">
        <w:rPr>
          <w:rFonts w:ascii="Arial" w:eastAsia="Calibri" w:hAnsi="Arial" w:cs="Arial"/>
          <w:bCs/>
          <w:i/>
          <w:iCs/>
          <w:color w:val="000000" w:themeColor="text1"/>
          <w:lang w:val="en-GB"/>
        </w:rPr>
        <w:t xml:space="preserve"> </w:t>
      </w:r>
      <w:r w:rsidRPr="00086A85">
        <w:rPr>
          <w:rFonts w:ascii="Arial" w:eastAsia="Calibri" w:hAnsi="Arial" w:cs="Arial"/>
          <w:bCs/>
          <w:i/>
          <w:iCs/>
          <w:color w:val="000000" w:themeColor="text1"/>
          <w:lang w:val="en-GB"/>
        </w:rPr>
        <w:t>„Te</w:t>
      </w:r>
      <w:r w:rsidRPr="00086A85">
        <w:rPr>
          <w:rFonts w:ascii="Arial" w:eastAsia="Calibri" w:hAnsi="Arial" w:cs="Arial"/>
          <w:bCs/>
          <w:i/>
          <w:iCs/>
          <w:color w:val="000000" w:themeColor="text1"/>
          <w:lang w:val="en-GB"/>
        </w:rPr>
        <w:t xml:space="preserve">chnical </w:t>
      </w:r>
      <w:proofErr w:type="gramStart"/>
      <w:r w:rsidRPr="00086A85">
        <w:rPr>
          <w:rFonts w:ascii="Arial" w:eastAsia="Calibri" w:hAnsi="Arial" w:cs="Arial"/>
          <w:bCs/>
          <w:i/>
          <w:iCs/>
          <w:color w:val="000000" w:themeColor="text1"/>
          <w:lang w:val="en-GB"/>
        </w:rPr>
        <w:t>specification</w:t>
      </w:r>
      <w:r w:rsidRPr="00086A85">
        <w:rPr>
          <w:rFonts w:ascii="Arial" w:eastAsia="Calibri" w:hAnsi="Arial" w:cs="Arial"/>
          <w:bCs/>
          <w:i/>
          <w:iCs/>
          <w:color w:val="000000" w:themeColor="text1"/>
          <w:lang w:val="en-GB"/>
        </w:rPr>
        <w:t>“</w:t>
      </w:r>
      <w:proofErr w:type="gramEnd"/>
    </w:p>
    <w:p w14:paraId="6B01A014" w14:textId="77777777" w:rsidR="00C35403" w:rsidRPr="00086A85" w:rsidRDefault="00C35403" w:rsidP="00C35403">
      <w:pPr>
        <w:tabs>
          <w:tab w:val="left" w:pos="8137"/>
        </w:tabs>
        <w:spacing w:after="0" w:line="240" w:lineRule="auto"/>
        <w:jc w:val="center"/>
        <w:rPr>
          <w:rFonts w:ascii="Arial" w:eastAsia="Calibri" w:hAnsi="Arial" w:cs="Arial"/>
          <w:b/>
          <w:bCs/>
          <w:lang w:val="en-GB"/>
        </w:rPr>
      </w:pPr>
      <w:r w:rsidRPr="00086A85">
        <w:rPr>
          <w:rFonts w:ascii="Arial" w:eastAsia="Calibri" w:hAnsi="Arial" w:cs="Arial"/>
          <w:b/>
          <w:bCs/>
          <w:noProof/>
          <w:lang w:val="en-GB"/>
        </w:rPr>
        <w:drawing>
          <wp:inline distT="0" distB="0" distL="0" distR="0" wp14:anchorId="2E954D53" wp14:editId="30C42F10">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86A85">
        <w:rPr>
          <w:rFonts w:ascii="Arial" w:hAnsi="Arial" w:cs="Arial"/>
          <w:color w:val="000000"/>
          <w:shd w:val="clear" w:color="auto" w:fill="FFFFFF"/>
          <w:lang w:val="en-GB"/>
        </w:rPr>
        <w:br/>
      </w:r>
    </w:p>
    <w:p w14:paraId="66A236C0" w14:textId="4D745F07" w:rsidR="00C35403" w:rsidRPr="00086A85" w:rsidRDefault="00C35403" w:rsidP="00C35403">
      <w:pPr>
        <w:tabs>
          <w:tab w:val="left" w:pos="284"/>
        </w:tabs>
        <w:spacing w:after="0" w:line="240" w:lineRule="auto"/>
        <w:ind w:firstLine="851"/>
        <w:jc w:val="center"/>
        <w:rPr>
          <w:rFonts w:ascii="Arial" w:eastAsia="Calibri" w:hAnsi="Arial" w:cs="Arial"/>
          <w:b/>
          <w:bCs/>
          <w:lang w:val="en-GB"/>
        </w:rPr>
      </w:pPr>
      <w:r w:rsidRPr="00086A85">
        <w:rPr>
          <w:rFonts w:ascii="Arial" w:eastAsia="Calibri" w:hAnsi="Arial" w:cs="Arial"/>
          <w:b/>
          <w:bCs/>
          <w:lang w:val="en-GB"/>
        </w:rPr>
        <w:t>TECHNICAL SPECIFICATION</w:t>
      </w:r>
    </w:p>
    <w:p w14:paraId="046E7E97" w14:textId="77777777" w:rsidR="00C35403" w:rsidRPr="00086A85" w:rsidRDefault="00C35403" w:rsidP="00C35403">
      <w:pPr>
        <w:tabs>
          <w:tab w:val="left" w:pos="284"/>
        </w:tabs>
        <w:spacing w:after="0" w:line="240" w:lineRule="auto"/>
        <w:ind w:firstLine="851"/>
        <w:jc w:val="center"/>
        <w:rPr>
          <w:rFonts w:ascii="Arial" w:eastAsia="Calibri" w:hAnsi="Arial" w:cs="Arial"/>
          <w:b/>
          <w:bCs/>
          <w:lang w:val="en-GB"/>
        </w:rPr>
      </w:pPr>
    </w:p>
    <w:p w14:paraId="781B5530" w14:textId="5D0D4260" w:rsidR="00C35403" w:rsidRPr="00086A85" w:rsidRDefault="00C35403" w:rsidP="00C35403">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lang w:val="en-GB"/>
        </w:rPr>
      </w:pPr>
      <w:r w:rsidRPr="00086A85">
        <w:rPr>
          <w:rFonts w:ascii="Arial" w:eastAsia="Calibri" w:hAnsi="Arial" w:cs="Arial"/>
          <w:b/>
          <w:lang w:val="en-GB"/>
        </w:rPr>
        <w:t>DEFINITIONS AND ABBREVIATIONS / GENERAL INFORMATION</w:t>
      </w:r>
    </w:p>
    <w:p w14:paraId="66A4EFD5" w14:textId="77777777" w:rsidR="00C35403" w:rsidRPr="00086A85" w:rsidRDefault="00C35403" w:rsidP="00C35403">
      <w:pPr>
        <w:numPr>
          <w:ilvl w:val="1"/>
          <w:numId w:val="1"/>
        </w:numPr>
        <w:tabs>
          <w:tab w:val="left" w:pos="567"/>
          <w:tab w:val="left" w:pos="851"/>
        </w:tabs>
        <w:spacing w:after="0" w:line="240" w:lineRule="auto"/>
        <w:ind w:left="0" w:firstLine="0"/>
        <w:jc w:val="both"/>
        <w:rPr>
          <w:rFonts w:ascii="Arial" w:eastAsia="Calibri" w:hAnsi="Arial" w:cs="Arial"/>
          <w:lang w:val="en-GB"/>
        </w:rPr>
      </w:pPr>
      <w:r w:rsidRPr="00086A85">
        <w:rPr>
          <w:rFonts w:ascii="Arial" w:eastAsia="Calibri" w:hAnsi="Arial" w:cs="Arial"/>
          <w:b/>
          <w:lang w:val="en-GB"/>
        </w:rPr>
        <w:t>Buyer / Contracting Authority – Vilnius University.</w:t>
      </w:r>
    </w:p>
    <w:p w14:paraId="5280CE83" w14:textId="77777777" w:rsidR="00C35403" w:rsidRPr="00086A85" w:rsidRDefault="00C35403" w:rsidP="00C35403">
      <w:pPr>
        <w:numPr>
          <w:ilvl w:val="1"/>
          <w:numId w:val="1"/>
        </w:numPr>
        <w:tabs>
          <w:tab w:val="left" w:pos="567"/>
          <w:tab w:val="left" w:pos="851"/>
        </w:tabs>
        <w:spacing w:after="0" w:line="240" w:lineRule="auto"/>
        <w:ind w:left="0" w:firstLine="0"/>
        <w:jc w:val="both"/>
        <w:rPr>
          <w:rFonts w:ascii="Arial" w:eastAsia="Calibri" w:hAnsi="Arial" w:cs="Arial"/>
          <w:lang w:val="en-GB"/>
        </w:rPr>
      </w:pPr>
      <w:r w:rsidRPr="00086A85">
        <w:rPr>
          <w:rFonts w:ascii="Arial" w:eastAsia="Calibri" w:hAnsi="Arial" w:cs="Arial"/>
          <w:b/>
          <w:bCs/>
          <w:lang w:val="en-GB"/>
        </w:rPr>
        <w:t xml:space="preserve">Supplier </w:t>
      </w:r>
      <w:r w:rsidRPr="00086A85">
        <w:rPr>
          <w:rFonts w:ascii="Arial" w:eastAsia="Calibri" w:hAnsi="Arial" w:cs="Arial"/>
          <w:lang w:val="en-GB"/>
        </w:rPr>
        <w:t>– an economic operator: a natural person, private or public legal entity, another organisation or its division, or a group of such persons, including temporary associations of economic operators, with whom the Buyer will conclude the Procurement Contract</w:t>
      </w:r>
    </w:p>
    <w:p w14:paraId="4E93572E" w14:textId="77777777" w:rsidR="00C35403" w:rsidRPr="00086A85" w:rsidRDefault="00C35403" w:rsidP="00C35403">
      <w:pPr>
        <w:numPr>
          <w:ilvl w:val="1"/>
          <w:numId w:val="1"/>
        </w:numPr>
        <w:tabs>
          <w:tab w:val="left" w:pos="567"/>
          <w:tab w:val="left" w:pos="851"/>
        </w:tabs>
        <w:spacing w:after="0" w:line="240" w:lineRule="auto"/>
        <w:ind w:left="0" w:firstLine="0"/>
        <w:jc w:val="both"/>
        <w:rPr>
          <w:rFonts w:ascii="Arial" w:eastAsia="Calibri" w:hAnsi="Arial" w:cs="Arial"/>
          <w:lang w:val="en-GB"/>
        </w:rPr>
      </w:pPr>
      <w:r w:rsidRPr="00086A85">
        <w:rPr>
          <w:rFonts w:ascii="Arial" w:eastAsia="Calibri" w:hAnsi="Arial" w:cs="Arial"/>
          <w:b/>
          <w:lang w:val="en-GB"/>
        </w:rPr>
        <w:t xml:space="preserve">Contract </w:t>
      </w:r>
      <w:r w:rsidRPr="00086A85">
        <w:rPr>
          <w:rFonts w:ascii="Arial" w:eastAsia="Calibri" w:hAnsi="Arial" w:cs="Arial"/>
          <w:bCs/>
          <w:lang w:val="en-GB"/>
        </w:rPr>
        <w:t>– the Procurement Contract concluded between the Supplier and the Buyer for the object of this Procurement</w:t>
      </w:r>
    </w:p>
    <w:p w14:paraId="5C918187" w14:textId="03CE97DD" w:rsidR="00C35403" w:rsidRPr="00086A85" w:rsidRDefault="00C35403" w:rsidP="00C35403">
      <w:pPr>
        <w:numPr>
          <w:ilvl w:val="1"/>
          <w:numId w:val="1"/>
        </w:numPr>
        <w:tabs>
          <w:tab w:val="left" w:pos="567"/>
          <w:tab w:val="left" w:pos="851"/>
        </w:tabs>
        <w:spacing w:after="0" w:line="240" w:lineRule="auto"/>
        <w:ind w:left="0" w:firstLine="0"/>
        <w:jc w:val="both"/>
        <w:rPr>
          <w:rFonts w:ascii="Arial" w:eastAsia="Calibri" w:hAnsi="Arial" w:cs="Arial"/>
          <w:b/>
          <w:lang w:val="en-GB"/>
        </w:rPr>
      </w:pPr>
      <w:r w:rsidRPr="00086A85">
        <w:rPr>
          <w:rFonts w:ascii="Arial" w:eastAsia="Calibri" w:hAnsi="Arial" w:cs="Arial"/>
          <w:b/>
          <w:lang w:val="en-GB"/>
        </w:rPr>
        <w:t xml:space="preserve">Project </w:t>
      </w:r>
      <w:r w:rsidRPr="00086A85">
        <w:rPr>
          <w:rFonts w:ascii="Arial" w:eastAsia="Calibri" w:hAnsi="Arial" w:cs="Arial"/>
          <w:bCs/>
          <w:lang w:val="en-GB"/>
        </w:rPr>
        <w:t>–</w:t>
      </w:r>
      <w:r w:rsidRPr="00086A85">
        <w:rPr>
          <w:rFonts w:ascii="Arial" w:eastAsia="Calibri" w:hAnsi="Arial" w:cs="Arial"/>
          <w:b/>
          <w:lang w:val="en-GB"/>
        </w:rPr>
        <w:t xml:space="preserve"> </w:t>
      </w:r>
      <w:r w:rsidRPr="00086A85">
        <w:rPr>
          <w:rFonts w:ascii="Arial" w:eastAsia="Calibri" w:hAnsi="Arial" w:cs="Arial"/>
          <w:bCs/>
          <w:lang w:val="en-GB"/>
        </w:rPr>
        <w:t>Vilnius University, seeking to implement project No. NORDFORSK</w:t>
      </w:r>
      <w:r w:rsidRPr="00086A85">
        <w:rPr>
          <w:rFonts w:ascii="Cambria Math" w:eastAsia="Calibri" w:hAnsi="Cambria Math" w:cs="Cambria Math"/>
          <w:bCs/>
          <w:lang w:val="en-GB"/>
        </w:rPr>
        <w:t>‑</w:t>
      </w:r>
      <w:r w:rsidRPr="00086A85">
        <w:rPr>
          <w:rFonts w:ascii="Arial" w:eastAsia="Calibri" w:hAnsi="Arial" w:cs="Arial"/>
          <w:bCs/>
          <w:lang w:val="en-GB"/>
        </w:rPr>
        <w:t>26</w:t>
      </w:r>
      <w:r w:rsidRPr="00086A85">
        <w:rPr>
          <w:rFonts w:ascii="Cambria Math" w:eastAsia="Calibri" w:hAnsi="Cambria Math" w:cs="Cambria Math"/>
          <w:bCs/>
          <w:lang w:val="en-GB"/>
        </w:rPr>
        <w:t>‑</w:t>
      </w:r>
      <w:r w:rsidRPr="00086A85">
        <w:rPr>
          <w:rFonts w:ascii="Arial" w:eastAsia="Calibri" w:hAnsi="Arial" w:cs="Arial"/>
          <w:bCs/>
          <w:lang w:val="en-GB"/>
        </w:rPr>
        <w:t>7 “Responsible Deployment of AI for Protein</w:t>
      </w:r>
      <w:r w:rsidRPr="00086A85">
        <w:rPr>
          <w:rFonts w:ascii="Cambria Math" w:eastAsia="Calibri" w:hAnsi="Cambria Math" w:cs="Cambria Math"/>
          <w:bCs/>
          <w:lang w:val="en-GB"/>
        </w:rPr>
        <w:t>‑</w:t>
      </w:r>
      <w:r w:rsidRPr="00086A85">
        <w:rPr>
          <w:rFonts w:ascii="Arial" w:eastAsia="Calibri" w:hAnsi="Arial" w:cs="Arial"/>
          <w:bCs/>
          <w:lang w:val="en-GB"/>
        </w:rPr>
        <w:t>Ligand Energies”, intends to purchase the goods specified below.</w:t>
      </w:r>
    </w:p>
    <w:p w14:paraId="55230403" w14:textId="240DC81B" w:rsidR="00C35403" w:rsidRPr="00086A85" w:rsidRDefault="00C35403" w:rsidP="00C35403">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lang w:val="en-GB"/>
        </w:rPr>
      </w:pPr>
      <w:r w:rsidRPr="00086A85">
        <w:rPr>
          <w:rFonts w:ascii="Arial" w:eastAsia="Calibri" w:hAnsi="Arial" w:cs="Arial"/>
          <w:b/>
          <w:lang w:val="en-GB"/>
        </w:rPr>
        <w:t>PROCUREMENT OBJECT</w:t>
      </w:r>
    </w:p>
    <w:p w14:paraId="59148167" w14:textId="77777777" w:rsidR="00C35403" w:rsidRPr="00086A85" w:rsidRDefault="00C35403" w:rsidP="00C35403">
      <w:pPr>
        <w:pStyle w:val="ListParagraph"/>
        <w:numPr>
          <w:ilvl w:val="1"/>
          <w:numId w:val="2"/>
        </w:numPr>
        <w:tabs>
          <w:tab w:val="left" w:pos="567"/>
        </w:tabs>
        <w:spacing w:after="0" w:line="240" w:lineRule="auto"/>
        <w:ind w:left="0" w:firstLine="0"/>
        <w:jc w:val="both"/>
        <w:rPr>
          <w:rFonts w:ascii="Arial" w:hAnsi="Arial" w:cs="Arial"/>
          <w:lang w:val="en-GB"/>
        </w:rPr>
      </w:pPr>
      <w:r w:rsidRPr="00086A85">
        <w:rPr>
          <w:rFonts w:ascii="Arial" w:hAnsi="Arial" w:cs="Arial"/>
          <w:lang w:val="en-GB"/>
        </w:rPr>
        <w:t>The procurement object is a real</w:t>
      </w:r>
      <w:r w:rsidRPr="00086A85">
        <w:rPr>
          <w:rFonts w:ascii="Cambria Math" w:hAnsi="Cambria Math" w:cs="Cambria Math"/>
          <w:lang w:val="en-GB"/>
        </w:rPr>
        <w:t>‑</w:t>
      </w:r>
      <w:r w:rsidRPr="00086A85">
        <w:rPr>
          <w:rFonts w:ascii="Arial" w:hAnsi="Arial" w:cs="Arial"/>
          <w:lang w:val="en-GB"/>
        </w:rPr>
        <w:t>time multiparametric surface plasmon resonance instrument (hereinafter – the goods).</w:t>
      </w:r>
    </w:p>
    <w:p w14:paraId="758D1B3F" w14:textId="77777777" w:rsidR="00C35403" w:rsidRPr="00086A85" w:rsidRDefault="00C35403" w:rsidP="00C35403">
      <w:pPr>
        <w:pStyle w:val="ListParagraph"/>
        <w:numPr>
          <w:ilvl w:val="1"/>
          <w:numId w:val="2"/>
        </w:numPr>
        <w:tabs>
          <w:tab w:val="left" w:pos="567"/>
        </w:tabs>
        <w:spacing w:after="0" w:line="240" w:lineRule="auto"/>
        <w:ind w:left="0" w:firstLine="0"/>
        <w:jc w:val="both"/>
        <w:rPr>
          <w:rFonts w:ascii="Arial" w:hAnsi="Arial" w:cs="Arial"/>
          <w:lang w:val="en-GB"/>
        </w:rPr>
      </w:pPr>
      <w:r w:rsidRPr="00086A85">
        <w:rPr>
          <w:rFonts w:ascii="Arial" w:hAnsi="Arial" w:cs="Arial"/>
          <w:lang w:val="en-GB"/>
        </w:rPr>
        <w:t xml:space="preserve">The procurement object is not divided into </w:t>
      </w:r>
      <w:proofErr w:type="gramStart"/>
      <w:r w:rsidRPr="00086A85">
        <w:rPr>
          <w:rFonts w:ascii="Arial" w:hAnsi="Arial" w:cs="Arial"/>
          <w:lang w:val="en-GB"/>
        </w:rPr>
        <w:t>lots,</w:t>
      </w:r>
      <w:proofErr w:type="gramEnd"/>
      <w:r w:rsidRPr="00086A85">
        <w:rPr>
          <w:rFonts w:ascii="Arial" w:hAnsi="Arial" w:cs="Arial"/>
          <w:lang w:val="en-GB"/>
        </w:rPr>
        <w:t xml:space="preserve"> therefore the Supplier must submit a proposal for the entire scope and/or quantity of the procurement object indicated below.</w:t>
      </w:r>
    </w:p>
    <w:p w14:paraId="27FAF6FF" w14:textId="77777777" w:rsidR="00C35403" w:rsidRPr="00086A85" w:rsidRDefault="00C35403" w:rsidP="00C35403">
      <w:pPr>
        <w:pStyle w:val="ListParagraph"/>
        <w:numPr>
          <w:ilvl w:val="1"/>
          <w:numId w:val="2"/>
        </w:numPr>
        <w:tabs>
          <w:tab w:val="left" w:pos="567"/>
        </w:tabs>
        <w:spacing w:after="0" w:line="240" w:lineRule="auto"/>
        <w:ind w:left="0" w:firstLine="0"/>
        <w:jc w:val="both"/>
        <w:rPr>
          <w:rFonts w:ascii="Arial" w:hAnsi="Arial" w:cs="Arial"/>
          <w:i/>
          <w:color w:val="FF0000"/>
          <w:lang w:val="en-GB"/>
        </w:rPr>
      </w:pPr>
      <w:r w:rsidRPr="00086A85">
        <w:rPr>
          <w:rFonts w:ascii="Arial" w:hAnsi="Arial" w:cs="Arial"/>
          <w:lang w:val="en-GB"/>
        </w:rPr>
        <w:t xml:space="preserve">Delivery location – Vilnius University Life Sciences </w:t>
      </w:r>
      <w:proofErr w:type="spellStart"/>
      <w:r w:rsidRPr="00086A85">
        <w:rPr>
          <w:rFonts w:ascii="Arial" w:hAnsi="Arial" w:cs="Arial"/>
          <w:lang w:val="en-GB"/>
        </w:rPr>
        <w:t>Center</w:t>
      </w:r>
      <w:proofErr w:type="spellEnd"/>
      <w:r w:rsidRPr="00086A85">
        <w:rPr>
          <w:rFonts w:ascii="Arial" w:hAnsi="Arial" w:cs="Arial"/>
          <w:lang w:val="en-GB"/>
        </w:rPr>
        <w:t xml:space="preserve">, </w:t>
      </w:r>
      <w:proofErr w:type="spellStart"/>
      <w:r w:rsidRPr="00086A85">
        <w:rPr>
          <w:rFonts w:ascii="Arial" w:hAnsi="Arial" w:cs="Arial"/>
          <w:lang w:val="en-GB"/>
        </w:rPr>
        <w:t>Saulėtekio</w:t>
      </w:r>
      <w:proofErr w:type="spellEnd"/>
      <w:r w:rsidRPr="00086A85">
        <w:rPr>
          <w:rFonts w:ascii="Arial" w:hAnsi="Arial" w:cs="Arial"/>
          <w:lang w:val="en-GB"/>
        </w:rPr>
        <w:t xml:space="preserve"> al. 7, LT</w:t>
      </w:r>
      <w:r w:rsidRPr="00086A85">
        <w:rPr>
          <w:rFonts w:ascii="Cambria Math" w:hAnsi="Cambria Math" w:cs="Cambria Math"/>
          <w:lang w:val="en-GB"/>
        </w:rPr>
        <w:t>‑</w:t>
      </w:r>
      <w:r w:rsidRPr="00086A85">
        <w:rPr>
          <w:rFonts w:ascii="Arial" w:hAnsi="Arial" w:cs="Arial"/>
          <w:lang w:val="en-GB"/>
        </w:rPr>
        <w:t>01257, Vilnius, Lithuania.</w:t>
      </w:r>
    </w:p>
    <w:p w14:paraId="52794D80" w14:textId="5B7CC189" w:rsidR="00C35403" w:rsidRPr="00086A85" w:rsidRDefault="00C35403" w:rsidP="00C35403">
      <w:pPr>
        <w:pStyle w:val="ListParagraph"/>
        <w:numPr>
          <w:ilvl w:val="1"/>
          <w:numId w:val="2"/>
        </w:numPr>
        <w:tabs>
          <w:tab w:val="left" w:pos="567"/>
        </w:tabs>
        <w:spacing w:after="0" w:line="240" w:lineRule="auto"/>
        <w:ind w:left="0" w:firstLine="0"/>
        <w:jc w:val="both"/>
        <w:rPr>
          <w:rFonts w:ascii="Arial" w:hAnsi="Arial" w:cs="Arial"/>
          <w:iCs/>
          <w:lang w:val="en-GB"/>
        </w:rPr>
      </w:pPr>
      <w:r w:rsidRPr="00086A85">
        <w:rPr>
          <w:rFonts w:ascii="Arial" w:hAnsi="Arial" w:cs="Arial"/>
          <w:iCs/>
          <w:lang w:val="en-GB"/>
        </w:rPr>
        <w:t>Quantities of goods:</w:t>
      </w:r>
    </w:p>
    <w:p w14:paraId="129F1A98" w14:textId="593DAF65" w:rsidR="00C35403" w:rsidRPr="00086A85" w:rsidRDefault="00C35403" w:rsidP="00C35403">
      <w:pPr>
        <w:spacing w:after="0" w:line="240" w:lineRule="auto"/>
        <w:jc w:val="right"/>
        <w:rPr>
          <w:rFonts w:ascii="Arial" w:hAnsi="Arial" w:cs="Arial"/>
          <w:b/>
          <w:lang w:val="en-GB"/>
        </w:rPr>
      </w:pPr>
      <w:r w:rsidRPr="00086A85">
        <w:rPr>
          <w:rFonts w:ascii="Arial" w:hAnsi="Arial" w:cs="Arial"/>
          <w:b/>
          <w:lang w:val="en-GB"/>
        </w:rPr>
        <w:t xml:space="preserve">Table 1. </w:t>
      </w:r>
    </w:p>
    <w:tbl>
      <w:tblPr>
        <w:tblStyle w:val="TableGrid"/>
        <w:tblW w:w="5000" w:type="pct"/>
        <w:jc w:val="center"/>
        <w:tblLook w:val="04A0" w:firstRow="1" w:lastRow="0" w:firstColumn="1" w:lastColumn="0" w:noHBand="0" w:noVBand="1"/>
      </w:tblPr>
      <w:tblGrid>
        <w:gridCol w:w="980"/>
        <w:gridCol w:w="2256"/>
        <w:gridCol w:w="1234"/>
        <w:gridCol w:w="1378"/>
        <w:gridCol w:w="1329"/>
        <w:gridCol w:w="2173"/>
      </w:tblGrid>
      <w:tr w:rsidR="00C35403" w:rsidRPr="00086A85" w14:paraId="41932DF1" w14:textId="77777777" w:rsidTr="0077607D">
        <w:trPr>
          <w:trHeight w:val="20"/>
          <w:jc w:val="center"/>
        </w:trPr>
        <w:tc>
          <w:tcPr>
            <w:tcW w:w="980" w:type="dxa"/>
            <w:vMerge w:val="restart"/>
            <w:vAlign w:val="center"/>
          </w:tcPr>
          <w:p w14:paraId="7CCBECB1" w14:textId="2E4F9CE1" w:rsidR="00C35403" w:rsidRPr="00086A85" w:rsidRDefault="00C35403" w:rsidP="0077607D">
            <w:pPr>
              <w:jc w:val="center"/>
              <w:rPr>
                <w:rFonts w:ascii="Arial" w:hAnsi="Arial" w:cs="Arial"/>
                <w:b/>
                <w:sz w:val="22"/>
                <w:szCs w:val="22"/>
                <w:lang w:val="en-GB"/>
              </w:rPr>
            </w:pPr>
            <w:r w:rsidRPr="00086A85">
              <w:rPr>
                <w:rFonts w:ascii="Arial" w:hAnsi="Arial" w:cs="Arial"/>
                <w:b/>
                <w:sz w:val="22"/>
                <w:szCs w:val="22"/>
                <w:lang w:val="en-GB"/>
              </w:rPr>
              <w:t>Item</w:t>
            </w:r>
            <w:r w:rsidRPr="00086A85">
              <w:rPr>
                <w:rFonts w:ascii="Arial" w:hAnsi="Arial" w:cs="Arial"/>
                <w:b/>
                <w:sz w:val="22"/>
                <w:szCs w:val="22"/>
                <w:lang w:val="en-GB"/>
              </w:rPr>
              <w:t>. N</w:t>
            </w:r>
            <w:r w:rsidRPr="00086A85">
              <w:rPr>
                <w:rFonts w:ascii="Arial" w:hAnsi="Arial" w:cs="Arial"/>
                <w:b/>
                <w:sz w:val="22"/>
                <w:szCs w:val="22"/>
                <w:lang w:val="en-GB"/>
              </w:rPr>
              <w:t>2</w:t>
            </w:r>
            <w:r w:rsidRPr="00086A85">
              <w:rPr>
                <w:rFonts w:ascii="Arial" w:hAnsi="Arial" w:cs="Arial"/>
                <w:b/>
                <w:sz w:val="22"/>
                <w:szCs w:val="22"/>
                <w:lang w:val="en-GB"/>
              </w:rPr>
              <w:t>.</w:t>
            </w:r>
          </w:p>
        </w:tc>
        <w:tc>
          <w:tcPr>
            <w:tcW w:w="2256" w:type="dxa"/>
            <w:vMerge w:val="restart"/>
            <w:vAlign w:val="center"/>
          </w:tcPr>
          <w:p w14:paraId="36443A56" w14:textId="70D55922" w:rsidR="00C35403" w:rsidRPr="00086A85" w:rsidRDefault="00C35403" w:rsidP="0077607D">
            <w:pPr>
              <w:jc w:val="center"/>
              <w:rPr>
                <w:rFonts w:ascii="Arial" w:hAnsi="Arial" w:cs="Arial"/>
                <w:b/>
                <w:sz w:val="22"/>
                <w:szCs w:val="22"/>
                <w:lang w:val="en-GB"/>
              </w:rPr>
            </w:pPr>
            <w:r w:rsidRPr="00086A85">
              <w:rPr>
                <w:rFonts w:ascii="Arial" w:hAnsi="Arial" w:cs="Arial"/>
                <w:b/>
                <w:sz w:val="22"/>
                <w:szCs w:val="22"/>
                <w:lang w:val="en-GB"/>
              </w:rPr>
              <w:t>Name of goods</w:t>
            </w:r>
          </w:p>
        </w:tc>
        <w:tc>
          <w:tcPr>
            <w:tcW w:w="1234" w:type="dxa"/>
            <w:vMerge w:val="restart"/>
            <w:vAlign w:val="center"/>
          </w:tcPr>
          <w:p w14:paraId="727ECEC7" w14:textId="60180702" w:rsidR="00C35403" w:rsidRPr="00086A85" w:rsidRDefault="00C35403" w:rsidP="0077607D">
            <w:pPr>
              <w:jc w:val="center"/>
              <w:rPr>
                <w:rFonts w:ascii="Arial" w:hAnsi="Arial" w:cs="Arial"/>
                <w:b/>
                <w:sz w:val="22"/>
                <w:szCs w:val="22"/>
                <w:lang w:val="en-GB"/>
              </w:rPr>
            </w:pPr>
            <w:r w:rsidRPr="00086A85">
              <w:rPr>
                <w:rFonts w:ascii="Arial" w:hAnsi="Arial" w:cs="Arial"/>
                <w:b/>
                <w:sz w:val="22"/>
                <w:szCs w:val="22"/>
                <w:lang w:val="en-GB"/>
              </w:rPr>
              <w:t>Quantity and unit</w:t>
            </w:r>
          </w:p>
        </w:tc>
        <w:tc>
          <w:tcPr>
            <w:tcW w:w="2707" w:type="dxa"/>
            <w:gridSpan w:val="2"/>
            <w:tcBorders>
              <w:bottom w:val="single" w:sz="4" w:space="0" w:color="auto"/>
            </w:tcBorders>
            <w:vAlign w:val="center"/>
          </w:tcPr>
          <w:p w14:paraId="05CFAAD2" w14:textId="6B490955" w:rsidR="00C35403" w:rsidRPr="00086A85" w:rsidRDefault="00C35403" w:rsidP="0077607D">
            <w:pPr>
              <w:jc w:val="center"/>
              <w:rPr>
                <w:rFonts w:ascii="Arial" w:hAnsi="Arial" w:cs="Arial"/>
                <w:b/>
                <w:sz w:val="22"/>
                <w:szCs w:val="22"/>
                <w:lang w:val="en-GB"/>
              </w:rPr>
            </w:pPr>
            <w:r w:rsidRPr="00086A85">
              <w:rPr>
                <w:rFonts w:ascii="Arial" w:hAnsi="Arial" w:cs="Arial"/>
                <w:b/>
                <w:sz w:val="22"/>
                <w:szCs w:val="22"/>
                <w:lang w:val="en-GB"/>
              </w:rPr>
              <w:t>Orders placed</w:t>
            </w:r>
          </w:p>
        </w:tc>
        <w:tc>
          <w:tcPr>
            <w:tcW w:w="2173" w:type="dxa"/>
            <w:vMerge w:val="restart"/>
            <w:vAlign w:val="center"/>
          </w:tcPr>
          <w:p w14:paraId="0AD8FDF4" w14:textId="3412A4B7" w:rsidR="00C35403" w:rsidRPr="00086A85" w:rsidRDefault="00086A85" w:rsidP="0077607D">
            <w:pPr>
              <w:jc w:val="center"/>
              <w:rPr>
                <w:rFonts w:ascii="Arial" w:hAnsi="Arial" w:cs="Arial"/>
                <w:b/>
                <w:sz w:val="22"/>
                <w:szCs w:val="22"/>
                <w:lang w:val="en-GB"/>
              </w:rPr>
            </w:pPr>
            <w:r w:rsidRPr="00086A85">
              <w:rPr>
                <w:rFonts w:ascii="Arial" w:hAnsi="Arial" w:cs="Arial"/>
                <w:b/>
                <w:sz w:val="22"/>
                <w:szCs w:val="22"/>
                <w:lang w:val="en-GB"/>
              </w:rPr>
              <w:t>Delivery deadline from Contract effective date (calendar days)</w:t>
            </w:r>
          </w:p>
        </w:tc>
      </w:tr>
      <w:tr w:rsidR="00C35403" w:rsidRPr="00086A85" w14:paraId="3FE7E139" w14:textId="77777777" w:rsidTr="0077607D">
        <w:trPr>
          <w:trHeight w:val="2044"/>
          <w:jc w:val="center"/>
        </w:trPr>
        <w:tc>
          <w:tcPr>
            <w:tcW w:w="980" w:type="dxa"/>
            <w:vMerge/>
            <w:vAlign w:val="center"/>
          </w:tcPr>
          <w:p w14:paraId="46564826" w14:textId="77777777" w:rsidR="00C35403" w:rsidRPr="00086A85" w:rsidRDefault="00C35403" w:rsidP="0077607D">
            <w:pPr>
              <w:jc w:val="center"/>
              <w:rPr>
                <w:rFonts w:ascii="Arial" w:hAnsi="Arial" w:cs="Arial"/>
                <w:sz w:val="22"/>
                <w:szCs w:val="22"/>
                <w:lang w:val="en-GB"/>
              </w:rPr>
            </w:pPr>
          </w:p>
        </w:tc>
        <w:tc>
          <w:tcPr>
            <w:tcW w:w="2256" w:type="dxa"/>
            <w:vMerge/>
            <w:vAlign w:val="center"/>
          </w:tcPr>
          <w:p w14:paraId="771AAC39" w14:textId="77777777" w:rsidR="00C35403" w:rsidRPr="00086A85" w:rsidRDefault="00C35403" w:rsidP="0077607D">
            <w:pPr>
              <w:jc w:val="center"/>
              <w:rPr>
                <w:rFonts w:ascii="Arial" w:hAnsi="Arial" w:cs="Arial"/>
                <w:sz w:val="22"/>
                <w:szCs w:val="22"/>
                <w:lang w:val="en-GB"/>
              </w:rPr>
            </w:pPr>
          </w:p>
        </w:tc>
        <w:tc>
          <w:tcPr>
            <w:tcW w:w="1234" w:type="dxa"/>
            <w:vMerge/>
            <w:vAlign w:val="center"/>
          </w:tcPr>
          <w:p w14:paraId="554DFF6A" w14:textId="77777777" w:rsidR="00C35403" w:rsidRPr="00086A85" w:rsidRDefault="00C35403" w:rsidP="0077607D">
            <w:pPr>
              <w:jc w:val="center"/>
              <w:rPr>
                <w:rFonts w:ascii="Arial" w:hAnsi="Arial" w:cs="Arial"/>
                <w:sz w:val="22"/>
                <w:szCs w:val="22"/>
                <w:lang w:val="en-GB"/>
              </w:rPr>
            </w:pPr>
          </w:p>
        </w:tc>
        <w:tc>
          <w:tcPr>
            <w:tcW w:w="1378" w:type="dxa"/>
            <w:tcBorders>
              <w:top w:val="single" w:sz="4" w:space="0" w:color="auto"/>
              <w:right w:val="single" w:sz="4" w:space="0" w:color="auto"/>
            </w:tcBorders>
            <w:vAlign w:val="center"/>
          </w:tcPr>
          <w:p w14:paraId="2C4C7753" w14:textId="2BB1CC83" w:rsidR="00C35403" w:rsidRPr="00086A85" w:rsidRDefault="00086A85" w:rsidP="0077607D">
            <w:pPr>
              <w:jc w:val="center"/>
              <w:rPr>
                <w:rFonts w:ascii="Arial" w:hAnsi="Arial" w:cs="Arial"/>
                <w:b/>
                <w:sz w:val="22"/>
                <w:szCs w:val="22"/>
                <w:lang w:val="en-GB"/>
              </w:rPr>
            </w:pPr>
            <w:r w:rsidRPr="00086A85">
              <w:rPr>
                <w:rFonts w:ascii="Arial" w:hAnsi="Arial" w:cs="Arial"/>
                <w:b/>
                <w:sz w:val="22"/>
                <w:szCs w:val="22"/>
                <w:lang w:val="en-GB"/>
              </w:rPr>
              <w:t>Yes</w:t>
            </w:r>
          </w:p>
        </w:tc>
        <w:tc>
          <w:tcPr>
            <w:tcW w:w="1329" w:type="dxa"/>
            <w:tcBorders>
              <w:top w:val="single" w:sz="4" w:space="0" w:color="auto"/>
              <w:left w:val="single" w:sz="4" w:space="0" w:color="auto"/>
            </w:tcBorders>
            <w:vAlign w:val="center"/>
          </w:tcPr>
          <w:p w14:paraId="0C8A81A0" w14:textId="7AAD5B7B" w:rsidR="00C35403" w:rsidRPr="00086A85" w:rsidRDefault="00C35403" w:rsidP="0077607D">
            <w:pPr>
              <w:jc w:val="center"/>
              <w:rPr>
                <w:rFonts w:ascii="Arial" w:hAnsi="Arial" w:cs="Arial"/>
                <w:b/>
                <w:sz w:val="22"/>
                <w:szCs w:val="22"/>
                <w:lang w:val="en-GB"/>
              </w:rPr>
            </w:pPr>
            <w:r w:rsidRPr="00086A85">
              <w:rPr>
                <w:rFonts w:ascii="Arial" w:hAnsi="Arial" w:cs="Arial"/>
                <w:b/>
                <w:sz w:val="22"/>
                <w:szCs w:val="22"/>
                <w:lang w:val="en-GB"/>
              </w:rPr>
              <w:t>N</w:t>
            </w:r>
            <w:r w:rsidR="00086A85" w:rsidRPr="00086A85">
              <w:rPr>
                <w:rFonts w:ascii="Arial" w:hAnsi="Arial" w:cs="Arial"/>
                <w:b/>
                <w:sz w:val="22"/>
                <w:szCs w:val="22"/>
                <w:lang w:val="en-GB"/>
              </w:rPr>
              <w:t>o</w:t>
            </w:r>
          </w:p>
        </w:tc>
        <w:tc>
          <w:tcPr>
            <w:tcW w:w="2173" w:type="dxa"/>
            <w:vMerge/>
            <w:vAlign w:val="center"/>
          </w:tcPr>
          <w:p w14:paraId="389B7BC4" w14:textId="77777777" w:rsidR="00C35403" w:rsidRPr="00086A85" w:rsidRDefault="00C35403" w:rsidP="0077607D">
            <w:pPr>
              <w:jc w:val="center"/>
              <w:rPr>
                <w:rFonts w:ascii="Arial" w:hAnsi="Arial" w:cs="Arial"/>
                <w:sz w:val="22"/>
                <w:szCs w:val="22"/>
                <w:lang w:val="en-GB"/>
              </w:rPr>
            </w:pPr>
          </w:p>
        </w:tc>
      </w:tr>
      <w:tr w:rsidR="00C35403" w:rsidRPr="00086A85" w14:paraId="427F234E" w14:textId="77777777" w:rsidTr="0077607D">
        <w:trPr>
          <w:trHeight w:val="20"/>
          <w:jc w:val="center"/>
        </w:trPr>
        <w:tc>
          <w:tcPr>
            <w:tcW w:w="980" w:type="dxa"/>
          </w:tcPr>
          <w:p w14:paraId="3DB82B70" w14:textId="77777777" w:rsidR="00C35403" w:rsidRPr="00086A85" w:rsidRDefault="00C35403" w:rsidP="0077607D">
            <w:pPr>
              <w:ind w:firstLine="313"/>
              <w:rPr>
                <w:rFonts w:ascii="Arial" w:hAnsi="Arial" w:cs="Arial"/>
                <w:sz w:val="22"/>
                <w:szCs w:val="22"/>
                <w:lang w:val="en-GB"/>
              </w:rPr>
            </w:pPr>
            <w:r w:rsidRPr="00086A85">
              <w:rPr>
                <w:rFonts w:ascii="Arial" w:hAnsi="Arial" w:cs="Arial"/>
                <w:sz w:val="22"/>
                <w:szCs w:val="22"/>
                <w:lang w:val="en-GB"/>
              </w:rPr>
              <w:t>1.</w:t>
            </w:r>
          </w:p>
        </w:tc>
        <w:tc>
          <w:tcPr>
            <w:tcW w:w="2256" w:type="dxa"/>
            <w:vAlign w:val="center"/>
          </w:tcPr>
          <w:p w14:paraId="5D673875" w14:textId="66CD2B10" w:rsidR="00C35403" w:rsidRPr="00086A85" w:rsidRDefault="00C35403" w:rsidP="0077607D">
            <w:pPr>
              <w:ind w:hanging="38"/>
              <w:jc w:val="center"/>
              <w:rPr>
                <w:rFonts w:ascii="Arial" w:hAnsi="Arial" w:cs="Arial"/>
                <w:i/>
                <w:iCs/>
                <w:color w:val="FF0000"/>
                <w:sz w:val="22"/>
                <w:szCs w:val="22"/>
                <w:highlight w:val="yellow"/>
                <w:lang w:val="en-GB"/>
              </w:rPr>
            </w:pPr>
            <w:r w:rsidRPr="00086A85">
              <w:rPr>
                <w:rFonts w:ascii="Arial" w:hAnsi="Arial" w:cs="Arial"/>
                <w:color w:val="000000"/>
                <w:sz w:val="22"/>
                <w:szCs w:val="22"/>
                <w:lang w:val="en-GB"/>
              </w:rPr>
              <w:t>Real-time and label-free Multi-Parametric Surface Plasmon Resonance instrument</w:t>
            </w:r>
          </w:p>
        </w:tc>
        <w:tc>
          <w:tcPr>
            <w:tcW w:w="1234" w:type="dxa"/>
            <w:vAlign w:val="center"/>
          </w:tcPr>
          <w:p w14:paraId="5BEDD95D" w14:textId="6205E8BC" w:rsidR="00C35403" w:rsidRPr="00086A85" w:rsidRDefault="00C35403" w:rsidP="0077607D">
            <w:pPr>
              <w:ind w:hanging="16"/>
              <w:jc w:val="center"/>
              <w:rPr>
                <w:rFonts w:ascii="Arial" w:hAnsi="Arial" w:cs="Arial"/>
                <w:i/>
                <w:iCs/>
                <w:color w:val="FF0000"/>
                <w:sz w:val="22"/>
                <w:szCs w:val="22"/>
                <w:lang w:val="en-GB"/>
              </w:rPr>
            </w:pPr>
            <w:r w:rsidRPr="00086A85">
              <w:rPr>
                <w:rFonts w:ascii="Arial" w:hAnsi="Arial" w:cs="Arial"/>
                <w:i/>
                <w:iCs/>
                <w:color w:val="FF0000"/>
                <w:sz w:val="22"/>
                <w:szCs w:val="22"/>
                <w:lang w:val="en-GB"/>
              </w:rPr>
              <w:t xml:space="preserve"> </w:t>
            </w:r>
            <w:r w:rsidRPr="00086A85">
              <w:rPr>
                <w:rFonts w:ascii="Arial" w:hAnsi="Arial" w:cs="Arial"/>
                <w:i/>
                <w:iCs/>
                <w:sz w:val="22"/>
                <w:szCs w:val="22"/>
                <w:lang w:val="en-GB"/>
              </w:rPr>
              <w:t xml:space="preserve">1 </w:t>
            </w:r>
            <w:r w:rsidRPr="00086A85">
              <w:rPr>
                <w:rFonts w:ascii="Arial" w:hAnsi="Arial" w:cs="Arial"/>
                <w:i/>
                <w:iCs/>
                <w:sz w:val="22"/>
                <w:szCs w:val="22"/>
                <w:lang w:val="en-GB"/>
              </w:rPr>
              <w:t>unit</w:t>
            </w:r>
            <w:r w:rsidRPr="00086A85">
              <w:rPr>
                <w:rFonts w:ascii="Arial" w:hAnsi="Arial" w:cs="Arial"/>
                <w:i/>
                <w:iCs/>
                <w:sz w:val="22"/>
                <w:szCs w:val="22"/>
                <w:lang w:val="en-GB"/>
              </w:rPr>
              <w:t xml:space="preserve">. </w:t>
            </w:r>
          </w:p>
        </w:tc>
        <w:sdt>
          <w:sdtPr>
            <w:rPr>
              <w:rFonts w:ascii="Arial" w:hAnsi="Arial" w:cs="Arial"/>
              <w:sz w:val="22"/>
              <w:szCs w:val="22"/>
              <w:lang w:val="en-GB"/>
            </w:rPr>
            <w:id w:val="-1892409944"/>
          </w:sdtPr>
          <w:sdtContent>
            <w:tc>
              <w:tcPr>
                <w:tcW w:w="1378" w:type="dxa"/>
                <w:tcBorders>
                  <w:right w:val="single" w:sz="4" w:space="0" w:color="auto"/>
                </w:tcBorders>
                <w:vAlign w:val="center"/>
              </w:tcPr>
              <w:p w14:paraId="4EB89E19" w14:textId="77777777" w:rsidR="00C35403" w:rsidRPr="00086A85" w:rsidRDefault="00C35403" w:rsidP="0077607D">
                <w:pPr>
                  <w:jc w:val="center"/>
                  <w:rPr>
                    <w:rFonts w:ascii="Arial" w:hAnsi="Arial" w:cs="Arial"/>
                    <w:sz w:val="22"/>
                    <w:szCs w:val="22"/>
                    <w:lang w:val="en-GB"/>
                  </w:rPr>
                </w:pPr>
                <w:r w:rsidRPr="00086A85">
                  <w:rPr>
                    <w:rFonts w:ascii="Segoe UI Symbol" w:eastAsia="MS Gothic" w:hAnsi="Segoe UI Symbol" w:cs="Segoe UI Symbol"/>
                    <w:sz w:val="22"/>
                    <w:szCs w:val="22"/>
                    <w:lang w:val="en-GB"/>
                  </w:rPr>
                  <w:t>☐</w:t>
                </w:r>
              </w:p>
            </w:tc>
          </w:sdtContent>
        </w:sdt>
        <w:sdt>
          <w:sdtPr>
            <w:rPr>
              <w:rFonts w:ascii="Arial" w:hAnsi="Arial" w:cs="Arial"/>
              <w:sz w:val="22"/>
              <w:szCs w:val="22"/>
              <w:lang w:val="en-GB"/>
            </w:rPr>
            <w:id w:val="713783549"/>
          </w:sdtPr>
          <w:sdtContent>
            <w:tc>
              <w:tcPr>
                <w:tcW w:w="1329" w:type="dxa"/>
                <w:tcBorders>
                  <w:left w:val="single" w:sz="4" w:space="0" w:color="auto"/>
                </w:tcBorders>
                <w:vAlign w:val="center"/>
              </w:tcPr>
              <w:p w14:paraId="1B9612B4" w14:textId="77777777" w:rsidR="00C35403" w:rsidRPr="00086A85" w:rsidRDefault="00C35403" w:rsidP="0077607D">
                <w:pPr>
                  <w:jc w:val="center"/>
                  <w:rPr>
                    <w:rFonts w:ascii="Arial" w:hAnsi="Arial" w:cs="Arial"/>
                    <w:sz w:val="22"/>
                    <w:szCs w:val="22"/>
                    <w:lang w:val="en-GB"/>
                  </w:rPr>
                </w:pPr>
                <w:r w:rsidRPr="00086A85">
                  <w:rPr>
                    <w:rFonts w:ascii="Segoe UI Symbol" w:eastAsia="MS Gothic" w:hAnsi="Segoe UI Symbol" w:cs="Segoe UI Symbol"/>
                    <w:sz w:val="22"/>
                    <w:szCs w:val="22"/>
                    <w:lang w:val="en-GB"/>
                  </w:rPr>
                  <w:t>☒</w:t>
                </w:r>
              </w:p>
            </w:tc>
          </w:sdtContent>
        </w:sdt>
        <w:tc>
          <w:tcPr>
            <w:tcW w:w="2173" w:type="dxa"/>
            <w:vAlign w:val="center"/>
          </w:tcPr>
          <w:p w14:paraId="67585343" w14:textId="68805288" w:rsidR="00C35403" w:rsidRPr="00086A85" w:rsidRDefault="00086A85" w:rsidP="00C35403">
            <w:pPr>
              <w:pStyle w:val="ListParagraph"/>
              <w:numPr>
                <w:ilvl w:val="0"/>
                <w:numId w:val="5"/>
              </w:numPr>
              <w:jc w:val="center"/>
              <w:rPr>
                <w:rFonts w:ascii="Arial" w:hAnsi="Arial" w:cs="Arial"/>
                <w:i/>
                <w:iCs/>
                <w:color w:val="FF0000"/>
                <w:sz w:val="22"/>
                <w:szCs w:val="22"/>
                <w:lang w:val="en-GB"/>
              </w:rPr>
            </w:pPr>
            <w:r w:rsidRPr="00086A85">
              <w:rPr>
                <w:rFonts w:ascii="Arial" w:hAnsi="Arial" w:cs="Arial"/>
                <w:i/>
                <w:iCs/>
                <w:sz w:val="22"/>
                <w:szCs w:val="22"/>
                <w:lang w:val="en-GB"/>
              </w:rPr>
              <w:t>calendar days</w:t>
            </w:r>
          </w:p>
        </w:tc>
      </w:tr>
    </w:tbl>
    <w:p w14:paraId="227A4BBE" w14:textId="77777777" w:rsidR="00C35403" w:rsidRPr="00086A85" w:rsidRDefault="00C35403" w:rsidP="00C35403">
      <w:pPr>
        <w:spacing w:after="0" w:line="240" w:lineRule="auto"/>
        <w:ind w:firstLine="851"/>
        <w:jc w:val="both"/>
        <w:rPr>
          <w:rFonts w:ascii="Arial" w:hAnsi="Arial" w:cs="Arial"/>
          <w:lang w:val="en-GB"/>
        </w:rPr>
      </w:pPr>
    </w:p>
    <w:p w14:paraId="68C926D6" w14:textId="77777777" w:rsidR="00086A85" w:rsidRPr="00086A85" w:rsidRDefault="00086A85" w:rsidP="00086A85">
      <w:pPr>
        <w:tabs>
          <w:tab w:val="left" w:pos="709"/>
        </w:tabs>
        <w:spacing w:after="0" w:line="240" w:lineRule="auto"/>
        <w:contextualSpacing/>
        <w:rPr>
          <w:rFonts w:ascii="Arial" w:hAnsi="Arial" w:cs="Arial"/>
          <w:lang w:val="en-GB"/>
        </w:rPr>
      </w:pPr>
      <w:r w:rsidRPr="00086A85">
        <w:rPr>
          <w:rFonts w:ascii="Arial" w:hAnsi="Arial" w:cs="Arial"/>
          <w:lang w:val="en-GB"/>
        </w:rPr>
        <w:t>2.5. The quantity and/or scope of goods specified in the table above is final and will not change during the performance of the Contract.</w:t>
      </w:r>
    </w:p>
    <w:p w14:paraId="07E3D0AA" w14:textId="77777777" w:rsidR="00086A85" w:rsidRPr="00086A85" w:rsidRDefault="00086A85" w:rsidP="00086A85">
      <w:pPr>
        <w:tabs>
          <w:tab w:val="left" w:pos="709"/>
        </w:tabs>
        <w:spacing w:after="0" w:line="240" w:lineRule="auto"/>
        <w:contextualSpacing/>
        <w:rPr>
          <w:rFonts w:ascii="Arial" w:hAnsi="Arial" w:cs="Arial"/>
          <w:lang w:val="en-GB"/>
        </w:rPr>
      </w:pPr>
      <w:r w:rsidRPr="00086A85">
        <w:rPr>
          <w:rFonts w:ascii="Arial" w:hAnsi="Arial" w:cs="Arial"/>
          <w:lang w:val="en-GB"/>
        </w:rPr>
        <w:t xml:space="preserve">2.6. Order placement procedure:  </w:t>
      </w:r>
    </w:p>
    <w:p w14:paraId="11133E78" w14:textId="49C8B2F8" w:rsidR="00C35403" w:rsidRPr="00086A85" w:rsidRDefault="00086A85" w:rsidP="00086A85">
      <w:pPr>
        <w:tabs>
          <w:tab w:val="left" w:pos="709"/>
        </w:tabs>
        <w:spacing w:after="0" w:line="240" w:lineRule="auto"/>
        <w:contextualSpacing/>
        <w:rPr>
          <w:rFonts w:ascii="Arial" w:eastAsia="Calibri" w:hAnsi="Arial" w:cs="Arial"/>
          <w:b/>
          <w:lang w:val="en-GB"/>
        </w:rPr>
      </w:pPr>
      <w:r w:rsidRPr="00086A85">
        <w:rPr>
          <w:rFonts w:ascii="Arial" w:hAnsi="Arial" w:cs="Arial"/>
          <w:lang w:val="en-GB"/>
        </w:rPr>
        <w:t>2.6.1. No orders will be placed during the validity of the Contract. The goods must be delivered immediately after the Contract enters into force, within the deadline specified in Table 1.</w:t>
      </w:r>
    </w:p>
    <w:p w14:paraId="2A503179" w14:textId="5420DCEC" w:rsidR="00C35403" w:rsidRPr="00086A85" w:rsidRDefault="00086A85" w:rsidP="00C35403">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lang w:val="en-GB"/>
        </w:rPr>
      </w:pPr>
      <w:r w:rsidRPr="00086A85">
        <w:rPr>
          <w:rFonts w:ascii="Arial" w:eastAsia="Calibri" w:hAnsi="Arial" w:cs="Arial"/>
          <w:b/>
          <w:lang w:val="en-GB"/>
        </w:rPr>
        <w:lastRenderedPageBreak/>
        <w:t>REQUIREMENTS FOR THE GOODS</w:t>
      </w:r>
    </w:p>
    <w:p w14:paraId="73AAC492" w14:textId="77777777" w:rsidR="00086A85" w:rsidRPr="00086A85" w:rsidRDefault="00086A85" w:rsidP="00C35403">
      <w:pPr>
        <w:spacing w:after="0" w:line="240" w:lineRule="auto"/>
        <w:jc w:val="both"/>
        <w:rPr>
          <w:rFonts w:ascii="Arial" w:eastAsia="Calibri" w:hAnsi="Arial" w:cs="Arial"/>
          <w:lang w:val="en-GB"/>
        </w:rPr>
      </w:pPr>
      <w:r w:rsidRPr="00086A85">
        <w:rPr>
          <w:rFonts w:ascii="Arial" w:eastAsia="Calibri" w:hAnsi="Arial" w:cs="Arial"/>
        </w:rPr>
        <w:t xml:space="preserve">3.1. </w:t>
      </w:r>
      <w:proofErr w:type="spellStart"/>
      <w:r w:rsidRPr="00086A85">
        <w:rPr>
          <w:rFonts w:ascii="Arial" w:eastAsia="Calibri" w:hAnsi="Arial" w:cs="Arial"/>
        </w:rPr>
        <w:t>If</w:t>
      </w:r>
      <w:proofErr w:type="spellEnd"/>
      <w:r w:rsidRPr="00086A85">
        <w:rPr>
          <w:rFonts w:ascii="Arial" w:eastAsia="Calibri" w:hAnsi="Arial" w:cs="Arial"/>
        </w:rPr>
        <w:t xml:space="preserve"> </w:t>
      </w:r>
      <w:proofErr w:type="spellStart"/>
      <w:r w:rsidRPr="00086A85">
        <w:rPr>
          <w:rFonts w:ascii="Arial" w:eastAsia="Calibri" w:hAnsi="Arial" w:cs="Arial"/>
        </w:rPr>
        <w:t>specific</w:t>
      </w:r>
      <w:proofErr w:type="spellEnd"/>
      <w:r w:rsidRPr="00086A85">
        <w:rPr>
          <w:rFonts w:ascii="Arial" w:eastAsia="Calibri" w:hAnsi="Arial" w:cs="Arial"/>
        </w:rPr>
        <w:t xml:space="preserve"> </w:t>
      </w:r>
      <w:proofErr w:type="spellStart"/>
      <w:r w:rsidRPr="00086A85">
        <w:rPr>
          <w:rFonts w:ascii="Arial" w:eastAsia="Calibri" w:hAnsi="Arial" w:cs="Arial"/>
        </w:rPr>
        <w:t>models</w:t>
      </w:r>
      <w:proofErr w:type="spellEnd"/>
      <w:r w:rsidRPr="00086A85">
        <w:rPr>
          <w:rFonts w:ascii="Arial" w:eastAsia="Calibri" w:hAnsi="Arial" w:cs="Arial"/>
        </w:rPr>
        <w:t xml:space="preserve"> </w:t>
      </w:r>
      <w:proofErr w:type="spellStart"/>
      <w:r w:rsidRPr="00086A85">
        <w:rPr>
          <w:rFonts w:ascii="Arial" w:eastAsia="Calibri" w:hAnsi="Arial" w:cs="Arial"/>
        </w:rPr>
        <w:t>or</w:t>
      </w:r>
      <w:proofErr w:type="spellEnd"/>
      <w:r w:rsidRPr="00086A85">
        <w:rPr>
          <w:rFonts w:ascii="Arial" w:eastAsia="Calibri" w:hAnsi="Arial" w:cs="Arial"/>
        </w:rPr>
        <w:t xml:space="preserve"> </w:t>
      </w:r>
      <w:proofErr w:type="spellStart"/>
      <w:r w:rsidRPr="00086A85">
        <w:rPr>
          <w:rFonts w:ascii="Arial" w:eastAsia="Calibri" w:hAnsi="Arial" w:cs="Arial"/>
        </w:rPr>
        <w:t>sources</w:t>
      </w:r>
      <w:proofErr w:type="spellEnd"/>
      <w:r w:rsidRPr="00086A85">
        <w:rPr>
          <w:rFonts w:ascii="Arial" w:eastAsia="Calibri" w:hAnsi="Arial" w:cs="Arial"/>
        </w:rPr>
        <w:t xml:space="preserve">, </w:t>
      </w:r>
      <w:proofErr w:type="spellStart"/>
      <w:r w:rsidRPr="00086A85">
        <w:rPr>
          <w:rFonts w:ascii="Arial" w:eastAsia="Calibri" w:hAnsi="Arial" w:cs="Arial"/>
        </w:rPr>
        <w:t>specific</w:t>
      </w:r>
      <w:proofErr w:type="spellEnd"/>
      <w:r w:rsidRPr="00086A85">
        <w:rPr>
          <w:rFonts w:ascii="Arial" w:eastAsia="Calibri" w:hAnsi="Arial" w:cs="Arial"/>
        </w:rPr>
        <w:t xml:space="preserve"> </w:t>
      </w:r>
      <w:proofErr w:type="spellStart"/>
      <w:r w:rsidRPr="00086A85">
        <w:rPr>
          <w:rFonts w:ascii="Arial" w:eastAsia="Calibri" w:hAnsi="Arial" w:cs="Arial"/>
        </w:rPr>
        <w:t>processes</w:t>
      </w:r>
      <w:proofErr w:type="spellEnd"/>
      <w:r w:rsidRPr="00086A85">
        <w:rPr>
          <w:rFonts w:ascii="Arial" w:eastAsia="Calibri" w:hAnsi="Arial" w:cs="Arial"/>
        </w:rPr>
        <w:t xml:space="preserve"> </w:t>
      </w:r>
      <w:proofErr w:type="spellStart"/>
      <w:r w:rsidRPr="00086A85">
        <w:rPr>
          <w:rFonts w:ascii="Arial" w:eastAsia="Calibri" w:hAnsi="Arial" w:cs="Arial"/>
        </w:rPr>
        <w:t>or</w:t>
      </w:r>
      <w:proofErr w:type="spellEnd"/>
      <w:r w:rsidRPr="00086A85">
        <w:rPr>
          <w:rFonts w:ascii="Arial" w:eastAsia="Calibri" w:hAnsi="Arial" w:cs="Arial"/>
        </w:rPr>
        <w:t xml:space="preserve"> </w:t>
      </w:r>
      <w:proofErr w:type="spellStart"/>
      <w:r w:rsidRPr="00086A85">
        <w:rPr>
          <w:rFonts w:ascii="Arial" w:eastAsia="Calibri" w:hAnsi="Arial" w:cs="Arial"/>
        </w:rPr>
        <w:t>trademarks</w:t>
      </w:r>
      <w:proofErr w:type="spellEnd"/>
      <w:r w:rsidRPr="00086A85">
        <w:rPr>
          <w:rFonts w:ascii="Arial" w:eastAsia="Calibri" w:hAnsi="Arial" w:cs="Arial"/>
        </w:rPr>
        <w:t xml:space="preserve">, </w:t>
      </w:r>
      <w:proofErr w:type="spellStart"/>
      <w:r w:rsidRPr="00086A85">
        <w:rPr>
          <w:rFonts w:ascii="Arial" w:eastAsia="Calibri" w:hAnsi="Arial" w:cs="Arial"/>
        </w:rPr>
        <w:t>patents</w:t>
      </w:r>
      <w:proofErr w:type="spellEnd"/>
      <w:r w:rsidRPr="00086A85">
        <w:rPr>
          <w:rFonts w:ascii="Arial" w:eastAsia="Calibri" w:hAnsi="Arial" w:cs="Arial"/>
        </w:rPr>
        <w:t xml:space="preserve">, </w:t>
      </w:r>
      <w:proofErr w:type="spellStart"/>
      <w:r w:rsidRPr="00086A85">
        <w:rPr>
          <w:rFonts w:ascii="Arial" w:eastAsia="Calibri" w:hAnsi="Arial" w:cs="Arial"/>
        </w:rPr>
        <w:t>types</w:t>
      </w:r>
      <w:proofErr w:type="spellEnd"/>
      <w:r w:rsidRPr="00086A85">
        <w:rPr>
          <w:rFonts w:ascii="Arial" w:eastAsia="Calibri" w:hAnsi="Arial" w:cs="Arial"/>
        </w:rPr>
        <w:t xml:space="preserve">, </w:t>
      </w:r>
      <w:proofErr w:type="spellStart"/>
      <w:r w:rsidRPr="00086A85">
        <w:rPr>
          <w:rFonts w:ascii="Arial" w:eastAsia="Calibri" w:hAnsi="Arial" w:cs="Arial"/>
        </w:rPr>
        <w:t>specific</w:t>
      </w:r>
      <w:proofErr w:type="spellEnd"/>
      <w:r w:rsidRPr="00086A85">
        <w:rPr>
          <w:rFonts w:ascii="Arial" w:eastAsia="Calibri" w:hAnsi="Arial" w:cs="Arial"/>
        </w:rPr>
        <w:t xml:space="preserve"> </w:t>
      </w:r>
      <w:proofErr w:type="spellStart"/>
      <w:r w:rsidRPr="00086A85">
        <w:rPr>
          <w:rFonts w:ascii="Arial" w:eastAsia="Calibri" w:hAnsi="Arial" w:cs="Arial"/>
        </w:rPr>
        <w:t>origin</w:t>
      </w:r>
      <w:proofErr w:type="spellEnd"/>
      <w:r w:rsidRPr="00086A85">
        <w:rPr>
          <w:rFonts w:ascii="Arial" w:eastAsia="Calibri" w:hAnsi="Arial" w:cs="Arial"/>
        </w:rPr>
        <w:t xml:space="preserve"> </w:t>
      </w:r>
      <w:proofErr w:type="spellStart"/>
      <w:r w:rsidRPr="00086A85">
        <w:rPr>
          <w:rFonts w:ascii="Arial" w:eastAsia="Calibri" w:hAnsi="Arial" w:cs="Arial"/>
        </w:rPr>
        <w:t>or</w:t>
      </w:r>
      <w:proofErr w:type="spellEnd"/>
      <w:r w:rsidRPr="00086A85">
        <w:rPr>
          <w:rFonts w:ascii="Arial" w:eastAsia="Calibri" w:hAnsi="Arial" w:cs="Arial"/>
        </w:rPr>
        <w:t xml:space="preserve"> </w:t>
      </w:r>
      <w:proofErr w:type="spellStart"/>
      <w:r w:rsidRPr="00086A85">
        <w:rPr>
          <w:rFonts w:ascii="Arial" w:eastAsia="Calibri" w:hAnsi="Arial" w:cs="Arial"/>
        </w:rPr>
        <w:t>manufacture</w:t>
      </w:r>
      <w:proofErr w:type="spellEnd"/>
      <w:r w:rsidRPr="00086A85">
        <w:rPr>
          <w:rFonts w:ascii="Arial" w:eastAsia="Calibri" w:hAnsi="Arial" w:cs="Arial"/>
        </w:rPr>
        <w:t xml:space="preserve">, </w:t>
      </w:r>
      <w:proofErr w:type="spellStart"/>
      <w:r w:rsidRPr="00086A85">
        <w:rPr>
          <w:rFonts w:ascii="Arial" w:eastAsia="Calibri" w:hAnsi="Arial" w:cs="Arial"/>
        </w:rPr>
        <w:t>certificates</w:t>
      </w:r>
      <w:proofErr w:type="spellEnd"/>
      <w:r w:rsidRPr="00086A85">
        <w:rPr>
          <w:rFonts w:ascii="Arial" w:eastAsia="Calibri" w:hAnsi="Arial" w:cs="Arial"/>
        </w:rPr>
        <w:t xml:space="preserve">, </w:t>
      </w:r>
      <w:proofErr w:type="spellStart"/>
      <w:r w:rsidRPr="00086A85">
        <w:rPr>
          <w:rFonts w:ascii="Arial" w:eastAsia="Calibri" w:hAnsi="Arial" w:cs="Arial"/>
        </w:rPr>
        <w:t>standards</w:t>
      </w:r>
      <w:proofErr w:type="spellEnd"/>
      <w:r w:rsidRPr="00086A85">
        <w:rPr>
          <w:rFonts w:ascii="Arial" w:eastAsia="Calibri" w:hAnsi="Arial" w:cs="Arial"/>
        </w:rPr>
        <w:t xml:space="preserve">, etc., are </w:t>
      </w:r>
      <w:proofErr w:type="spellStart"/>
      <w:r w:rsidRPr="00086A85">
        <w:rPr>
          <w:rFonts w:ascii="Arial" w:eastAsia="Calibri" w:hAnsi="Arial" w:cs="Arial"/>
        </w:rPr>
        <w:t>used</w:t>
      </w:r>
      <w:proofErr w:type="spellEnd"/>
      <w:r w:rsidRPr="00086A85">
        <w:rPr>
          <w:rFonts w:ascii="Arial" w:eastAsia="Calibri" w:hAnsi="Arial" w:cs="Arial"/>
        </w:rPr>
        <w:t xml:space="preserve"> </w:t>
      </w:r>
      <w:proofErr w:type="spellStart"/>
      <w:r w:rsidRPr="00086A85">
        <w:rPr>
          <w:rFonts w:ascii="Arial" w:eastAsia="Calibri" w:hAnsi="Arial" w:cs="Arial"/>
        </w:rPr>
        <w:t>in</w:t>
      </w:r>
      <w:proofErr w:type="spellEnd"/>
      <w:r w:rsidRPr="00086A85">
        <w:rPr>
          <w:rFonts w:ascii="Arial" w:eastAsia="Calibri" w:hAnsi="Arial" w:cs="Arial"/>
        </w:rPr>
        <w:t xml:space="preserve"> </w:t>
      </w:r>
      <w:proofErr w:type="spellStart"/>
      <w:r w:rsidRPr="00086A85">
        <w:rPr>
          <w:rFonts w:ascii="Arial" w:eastAsia="Calibri" w:hAnsi="Arial" w:cs="Arial"/>
        </w:rPr>
        <w:t>this</w:t>
      </w:r>
      <w:proofErr w:type="spellEnd"/>
      <w:r w:rsidRPr="00086A85">
        <w:rPr>
          <w:rFonts w:ascii="Arial" w:eastAsia="Calibri" w:hAnsi="Arial" w:cs="Arial"/>
        </w:rPr>
        <w:t xml:space="preserve"> </w:t>
      </w:r>
      <w:proofErr w:type="spellStart"/>
      <w:r w:rsidRPr="00086A85">
        <w:rPr>
          <w:rFonts w:ascii="Arial" w:eastAsia="Calibri" w:hAnsi="Arial" w:cs="Arial"/>
        </w:rPr>
        <w:t>technical</w:t>
      </w:r>
      <w:proofErr w:type="spellEnd"/>
      <w:r w:rsidRPr="00086A85">
        <w:rPr>
          <w:rFonts w:ascii="Arial" w:eastAsia="Calibri" w:hAnsi="Arial" w:cs="Arial"/>
        </w:rPr>
        <w:t xml:space="preserve"> </w:t>
      </w:r>
      <w:proofErr w:type="spellStart"/>
      <w:r w:rsidRPr="00086A85">
        <w:rPr>
          <w:rFonts w:ascii="Arial" w:eastAsia="Calibri" w:hAnsi="Arial" w:cs="Arial"/>
        </w:rPr>
        <w:t>specification</w:t>
      </w:r>
      <w:proofErr w:type="spellEnd"/>
      <w:r w:rsidRPr="00086A85">
        <w:rPr>
          <w:rFonts w:ascii="Arial" w:eastAsia="Calibri" w:hAnsi="Arial" w:cs="Arial"/>
        </w:rPr>
        <w:t xml:space="preserve"> </w:t>
      </w:r>
      <w:proofErr w:type="spellStart"/>
      <w:r w:rsidRPr="00086A85">
        <w:rPr>
          <w:rFonts w:ascii="Arial" w:eastAsia="Calibri" w:hAnsi="Arial" w:cs="Arial"/>
        </w:rPr>
        <w:t>and</w:t>
      </w:r>
      <w:proofErr w:type="spellEnd"/>
      <w:r w:rsidRPr="00086A85">
        <w:rPr>
          <w:rFonts w:ascii="Arial" w:eastAsia="Calibri" w:hAnsi="Arial" w:cs="Arial"/>
        </w:rPr>
        <w:t>/</w:t>
      </w:r>
      <w:proofErr w:type="spellStart"/>
      <w:r w:rsidRPr="00086A85">
        <w:rPr>
          <w:rFonts w:ascii="Arial" w:eastAsia="Calibri" w:hAnsi="Arial" w:cs="Arial"/>
        </w:rPr>
        <w:t>or</w:t>
      </w:r>
      <w:proofErr w:type="spellEnd"/>
      <w:r w:rsidRPr="00086A85">
        <w:rPr>
          <w:rFonts w:ascii="Arial" w:eastAsia="Calibri" w:hAnsi="Arial" w:cs="Arial"/>
        </w:rPr>
        <w:t xml:space="preserve"> </w:t>
      </w:r>
      <w:proofErr w:type="spellStart"/>
      <w:r w:rsidRPr="00086A85">
        <w:rPr>
          <w:rFonts w:ascii="Arial" w:eastAsia="Calibri" w:hAnsi="Arial" w:cs="Arial"/>
        </w:rPr>
        <w:t>other</w:t>
      </w:r>
      <w:proofErr w:type="spellEnd"/>
      <w:r w:rsidRPr="00086A85">
        <w:rPr>
          <w:rFonts w:ascii="Arial" w:eastAsia="Calibri" w:hAnsi="Arial" w:cs="Arial"/>
        </w:rPr>
        <w:t xml:space="preserve"> </w:t>
      </w:r>
      <w:proofErr w:type="spellStart"/>
      <w:r w:rsidRPr="00086A85">
        <w:rPr>
          <w:rFonts w:ascii="Arial" w:eastAsia="Calibri" w:hAnsi="Arial" w:cs="Arial"/>
        </w:rPr>
        <w:t>procurement</w:t>
      </w:r>
      <w:proofErr w:type="spellEnd"/>
      <w:r w:rsidRPr="00086A85">
        <w:rPr>
          <w:rFonts w:ascii="Arial" w:eastAsia="Calibri" w:hAnsi="Arial" w:cs="Arial"/>
        </w:rPr>
        <w:t xml:space="preserve"> </w:t>
      </w:r>
      <w:proofErr w:type="spellStart"/>
      <w:r w:rsidRPr="00086A85">
        <w:rPr>
          <w:rFonts w:ascii="Arial" w:eastAsia="Calibri" w:hAnsi="Arial" w:cs="Arial"/>
        </w:rPr>
        <w:t>documents</w:t>
      </w:r>
      <w:proofErr w:type="spellEnd"/>
      <w:r w:rsidRPr="00086A85">
        <w:rPr>
          <w:rFonts w:ascii="Arial" w:eastAsia="Calibri" w:hAnsi="Arial" w:cs="Arial"/>
        </w:rPr>
        <w:t xml:space="preserve">, </w:t>
      </w:r>
      <w:proofErr w:type="spellStart"/>
      <w:r w:rsidRPr="00086A85">
        <w:rPr>
          <w:rFonts w:ascii="Arial" w:eastAsia="Calibri" w:hAnsi="Arial" w:cs="Arial"/>
        </w:rPr>
        <w:t>they</w:t>
      </w:r>
      <w:proofErr w:type="spellEnd"/>
      <w:r w:rsidRPr="00086A85">
        <w:rPr>
          <w:rFonts w:ascii="Arial" w:eastAsia="Calibri" w:hAnsi="Arial" w:cs="Arial"/>
        </w:rPr>
        <w:t xml:space="preserve"> </w:t>
      </w:r>
      <w:proofErr w:type="spellStart"/>
      <w:r w:rsidRPr="00086A85">
        <w:rPr>
          <w:rFonts w:ascii="Arial" w:eastAsia="Calibri" w:hAnsi="Arial" w:cs="Arial"/>
        </w:rPr>
        <w:t>may</w:t>
      </w:r>
      <w:proofErr w:type="spellEnd"/>
      <w:r w:rsidRPr="00086A85">
        <w:rPr>
          <w:rFonts w:ascii="Arial" w:eastAsia="Calibri" w:hAnsi="Arial" w:cs="Arial"/>
        </w:rPr>
        <w:t xml:space="preserve"> be </w:t>
      </w:r>
      <w:proofErr w:type="spellStart"/>
      <w:r w:rsidRPr="00086A85">
        <w:rPr>
          <w:rFonts w:ascii="Arial" w:eastAsia="Calibri" w:hAnsi="Arial" w:cs="Arial"/>
        </w:rPr>
        <w:t>replaced</w:t>
      </w:r>
      <w:proofErr w:type="spellEnd"/>
      <w:r w:rsidRPr="00086A85">
        <w:rPr>
          <w:rFonts w:ascii="Arial" w:eastAsia="Calibri" w:hAnsi="Arial" w:cs="Arial"/>
        </w:rPr>
        <w:t xml:space="preserve"> </w:t>
      </w:r>
      <w:proofErr w:type="spellStart"/>
      <w:r w:rsidRPr="00086A85">
        <w:rPr>
          <w:rFonts w:ascii="Arial" w:eastAsia="Calibri" w:hAnsi="Arial" w:cs="Arial"/>
        </w:rPr>
        <w:t>with</w:t>
      </w:r>
      <w:proofErr w:type="spellEnd"/>
      <w:r w:rsidRPr="00086A85">
        <w:rPr>
          <w:rFonts w:ascii="Arial" w:eastAsia="Calibri" w:hAnsi="Arial" w:cs="Arial"/>
        </w:rPr>
        <w:t xml:space="preserve"> </w:t>
      </w:r>
      <w:proofErr w:type="spellStart"/>
      <w:r w:rsidRPr="00086A85">
        <w:rPr>
          <w:rFonts w:ascii="Arial" w:eastAsia="Calibri" w:hAnsi="Arial" w:cs="Arial"/>
          <w:b/>
          <w:bCs/>
        </w:rPr>
        <w:t>equivalent</w:t>
      </w:r>
      <w:proofErr w:type="spellEnd"/>
      <w:r w:rsidRPr="00086A85">
        <w:rPr>
          <w:rFonts w:ascii="Arial" w:eastAsia="Calibri" w:hAnsi="Arial" w:cs="Arial"/>
        </w:rPr>
        <w:t xml:space="preserve"> </w:t>
      </w:r>
      <w:r w:rsidR="00C35403" w:rsidRPr="00086A85">
        <w:rPr>
          <w:rStyle w:val="FootnoteReference"/>
          <w:rFonts w:ascii="Arial" w:eastAsia="Calibri" w:hAnsi="Arial" w:cs="Arial"/>
          <w:lang w:val="en-GB"/>
        </w:rPr>
        <w:footnoteReference w:id="1"/>
      </w:r>
      <w:r w:rsidR="00C35403" w:rsidRPr="00086A85">
        <w:rPr>
          <w:rFonts w:ascii="Arial" w:eastAsia="Calibri" w:hAnsi="Arial" w:cs="Arial"/>
          <w:lang w:val="en-GB"/>
        </w:rPr>
        <w:t xml:space="preserve"> </w:t>
      </w:r>
      <w:r w:rsidRPr="00086A85">
        <w:rPr>
          <w:rFonts w:ascii="Arial" w:eastAsia="Calibri" w:hAnsi="Arial" w:cs="Arial"/>
          <w:lang w:val="en-GB"/>
        </w:rPr>
        <w:t>items. Proof of equivalence is the responsibility of the Supplier, and documents proving equivalence must be submitted together with the proposal.</w:t>
      </w:r>
      <w:r w:rsidRPr="00086A85">
        <w:rPr>
          <w:rFonts w:ascii="Arial" w:eastAsia="Calibri" w:hAnsi="Arial" w:cs="Arial"/>
          <w:lang w:val="en-GB"/>
        </w:rPr>
        <w:t xml:space="preserve"> </w:t>
      </w:r>
    </w:p>
    <w:p w14:paraId="0B36A742" w14:textId="6CB48372" w:rsidR="00C35403" w:rsidRPr="00086A85" w:rsidRDefault="00C35403" w:rsidP="00C35403">
      <w:pPr>
        <w:spacing w:after="0" w:line="240" w:lineRule="auto"/>
        <w:jc w:val="both"/>
        <w:rPr>
          <w:rFonts w:ascii="Arial" w:eastAsia="Calibri" w:hAnsi="Arial" w:cs="Arial"/>
          <w:lang w:val="en-GB"/>
        </w:rPr>
      </w:pPr>
      <w:r w:rsidRPr="00086A85">
        <w:rPr>
          <w:rFonts w:ascii="Arial" w:eastAsia="Calibri" w:hAnsi="Arial" w:cs="Arial"/>
          <w:lang w:val="en-GB"/>
        </w:rPr>
        <w:t xml:space="preserve">3.2. </w:t>
      </w:r>
      <w:r w:rsidR="00086A85" w:rsidRPr="00086A85">
        <w:rPr>
          <w:rFonts w:ascii="Arial" w:eastAsia="Calibri" w:hAnsi="Arial" w:cs="Arial"/>
          <w:lang w:val="en-GB"/>
        </w:rPr>
        <w:t>The technical specification sets out the minimum requirements for the goods. Each good must meet or exceed the minimum quality and technical requirements.</w:t>
      </w:r>
    </w:p>
    <w:p w14:paraId="4ABB4B38" w14:textId="41EAC94E" w:rsidR="00C35403" w:rsidRPr="00086A85" w:rsidRDefault="00C35403" w:rsidP="00C35403">
      <w:pPr>
        <w:spacing w:after="0" w:line="240" w:lineRule="auto"/>
        <w:jc w:val="both"/>
        <w:rPr>
          <w:rFonts w:ascii="Arial" w:eastAsia="Calibri" w:hAnsi="Arial" w:cs="Arial"/>
          <w:lang w:val="en-GB"/>
        </w:rPr>
      </w:pPr>
      <w:r w:rsidRPr="00086A85">
        <w:rPr>
          <w:rFonts w:ascii="Arial" w:eastAsia="Calibri" w:hAnsi="Arial" w:cs="Arial"/>
          <w:lang w:val="en-GB"/>
        </w:rPr>
        <w:t xml:space="preserve">3.3. </w:t>
      </w:r>
      <w:r w:rsidR="00086A85" w:rsidRPr="00086A85">
        <w:rPr>
          <w:rFonts w:ascii="Arial" w:eastAsia="Calibri" w:hAnsi="Arial" w:cs="Arial"/>
          <w:lang w:val="en-GB"/>
        </w:rPr>
        <w:t>Compliance with technical requirements:</w:t>
      </w:r>
    </w:p>
    <w:p w14:paraId="0E417EAF" w14:textId="51417B0F" w:rsidR="00C35403" w:rsidRPr="00086A85" w:rsidRDefault="00086A85" w:rsidP="00C35403">
      <w:pPr>
        <w:spacing w:after="0" w:line="240" w:lineRule="auto"/>
        <w:ind w:firstLine="851"/>
        <w:jc w:val="right"/>
        <w:rPr>
          <w:rFonts w:ascii="Arial" w:eastAsia="Calibri" w:hAnsi="Arial" w:cs="Arial"/>
          <w:b/>
          <w:lang w:val="en-GB"/>
        </w:rPr>
      </w:pPr>
      <w:r w:rsidRPr="00086A85">
        <w:rPr>
          <w:rFonts w:ascii="Arial" w:eastAsia="Calibri" w:hAnsi="Arial" w:cs="Arial"/>
          <w:b/>
          <w:lang w:val="en-GB"/>
        </w:rPr>
        <w:t>Table 2</w:t>
      </w:r>
      <w:r w:rsidR="00C35403" w:rsidRPr="00086A85">
        <w:rPr>
          <w:rFonts w:ascii="Arial" w:eastAsia="Calibri" w:hAnsi="Arial" w:cs="Arial"/>
          <w:b/>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24"/>
        <w:gridCol w:w="2927"/>
        <w:gridCol w:w="2928"/>
        <w:tblGridChange w:id="0">
          <w:tblGrid>
            <w:gridCol w:w="571"/>
            <w:gridCol w:w="2924"/>
            <w:gridCol w:w="2927"/>
            <w:gridCol w:w="2928"/>
          </w:tblGrid>
        </w:tblGridChange>
      </w:tblGrid>
      <w:tr w:rsidR="00C35403" w:rsidRPr="00086A85" w14:paraId="78E20532" w14:textId="77777777" w:rsidTr="0077607D">
        <w:trPr>
          <w:trHeight w:val="687"/>
        </w:trPr>
        <w:tc>
          <w:tcPr>
            <w:tcW w:w="3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6F3DF5" w14:textId="77777777" w:rsidR="00C35403" w:rsidRPr="00086A85" w:rsidRDefault="00C35403" w:rsidP="0077607D">
            <w:pPr>
              <w:tabs>
                <w:tab w:val="left" w:pos="567"/>
              </w:tabs>
              <w:jc w:val="center"/>
              <w:rPr>
                <w:rFonts w:ascii="Arial" w:hAnsi="Arial" w:cs="Arial"/>
                <w:b/>
                <w:color w:val="000000"/>
                <w:lang w:val="en-GB"/>
              </w:rPr>
            </w:pPr>
            <w:r w:rsidRPr="00086A85">
              <w:rPr>
                <w:rFonts w:ascii="Arial" w:hAnsi="Arial" w:cs="Arial"/>
                <w:b/>
                <w:color w:val="000000"/>
                <w:lang w:val="en-GB"/>
              </w:rPr>
              <w:t>No.</w:t>
            </w:r>
          </w:p>
        </w:tc>
        <w:tc>
          <w:tcPr>
            <w:tcW w:w="15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8DCC2" w14:textId="77777777" w:rsidR="00C35403" w:rsidRPr="00086A85" w:rsidRDefault="00C35403" w:rsidP="0077607D">
            <w:pPr>
              <w:jc w:val="center"/>
              <w:rPr>
                <w:rFonts w:ascii="Arial" w:hAnsi="Arial" w:cs="Arial"/>
                <w:b/>
                <w:color w:val="000000"/>
                <w:lang w:val="en-GB"/>
              </w:rPr>
            </w:pPr>
            <w:r w:rsidRPr="00086A85">
              <w:rPr>
                <w:rFonts w:ascii="Arial" w:hAnsi="Arial" w:cs="Arial"/>
                <w:b/>
                <w:color w:val="000000"/>
                <w:lang w:val="en-GB"/>
              </w:rPr>
              <w:t>Parameter</w:t>
            </w:r>
          </w:p>
        </w:tc>
        <w:tc>
          <w:tcPr>
            <w:tcW w:w="1565" w:type="pct"/>
            <w:tcBorders>
              <w:top w:val="single" w:sz="4" w:space="0" w:color="auto"/>
              <w:left w:val="single" w:sz="4" w:space="0" w:color="auto"/>
              <w:bottom w:val="single" w:sz="4" w:space="0" w:color="auto"/>
              <w:right w:val="single" w:sz="4" w:space="0" w:color="auto"/>
            </w:tcBorders>
            <w:shd w:val="clear" w:color="auto" w:fill="FFFFFF"/>
            <w:vAlign w:val="center"/>
          </w:tcPr>
          <w:p w14:paraId="6B29E8F3" w14:textId="77777777" w:rsidR="00C35403" w:rsidRPr="00086A85" w:rsidRDefault="00C35403" w:rsidP="0077607D">
            <w:pPr>
              <w:spacing w:after="0" w:line="240" w:lineRule="auto"/>
              <w:jc w:val="center"/>
              <w:rPr>
                <w:rFonts w:ascii="Arial" w:hAnsi="Arial" w:cs="Arial"/>
                <w:b/>
                <w:color w:val="000000"/>
                <w:lang w:val="en-GB"/>
              </w:rPr>
            </w:pPr>
            <w:r w:rsidRPr="00086A85">
              <w:rPr>
                <w:rFonts w:ascii="Arial" w:hAnsi="Arial" w:cs="Arial"/>
                <w:b/>
                <w:color w:val="000000"/>
                <w:lang w:val="en-GB"/>
              </w:rPr>
              <w:t>Required value</w:t>
            </w:r>
            <w:r w:rsidRPr="00086A85">
              <w:rPr>
                <w:rFonts w:ascii="Arial" w:hAnsi="Arial" w:cs="Arial"/>
                <w:bCs/>
                <w:i/>
                <w:iCs/>
                <w:color w:val="000000"/>
                <w:lang w:val="en-GB"/>
              </w:rPr>
              <w:t xml:space="preserve"> </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14:paraId="41DA9063" w14:textId="77777777" w:rsidR="00C35403" w:rsidRPr="00086A85" w:rsidRDefault="00C35403" w:rsidP="0077607D">
            <w:pPr>
              <w:spacing w:after="0" w:line="240" w:lineRule="auto"/>
              <w:jc w:val="center"/>
              <w:rPr>
                <w:rFonts w:ascii="Arial" w:hAnsi="Arial" w:cs="Arial"/>
                <w:bCs/>
                <w:i/>
                <w:iCs/>
                <w:color w:val="000000"/>
                <w:lang w:val="en-GB"/>
              </w:rPr>
            </w:pPr>
            <w:r w:rsidRPr="00086A85">
              <w:rPr>
                <w:rFonts w:ascii="Arial" w:hAnsi="Arial" w:cs="Arial"/>
                <w:b/>
                <w:color w:val="000000"/>
                <w:lang w:val="en-GB"/>
              </w:rPr>
              <w:t>Meets requirement</w:t>
            </w:r>
            <w:r w:rsidRPr="00086A85">
              <w:rPr>
                <w:rFonts w:ascii="Arial" w:hAnsi="Arial" w:cs="Arial"/>
                <w:bCs/>
                <w:i/>
                <w:iCs/>
                <w:color w:val="000000"/>
                <w:lang w:val="en-GB"/>
              </w:rPr>
              <w:t xml:space="preserve"> (filled out by supplier)</w:t>
            </w:r>
          </w:p>
        </w:tc>
      </w:tr>
      <w:tr w:rsidR="00C35403" w:rsidRPr="00086A85" w14:paraId="7DA143E4" w14:textId="77777777" w:rsidTr="0077607D">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EE4A33" w14:textId="77777777" w:rsidR="00C35403" w:rsidRPr="00086A85" w:rsidRDefault="00C35403" w:rsidP="0077607D">
            <w:pPr>
              <w:jc w:val="center"/>
              <w:rPr>
                <w:rFonts w:ascii="Arial" w:hAnsi="Arial" w:cs="Arial"/>
                <w:b/>
                <w:color w:val="000000" w:themeColor="text1"/>
                <w:lang w:val="en-GB" w:eastAsia="lt-LT"/>
              </w:rPr>
            </w:pPr>
            <w:r w:rsidRPr="00086A85">
              <w:rPr>
                <w:rFonts w:ascii="Arial" w:hAnsi="Arial" w:cs="Arial"/>
                <w:b/>
                <w:bCs/>
                <w:color w:val="000000" w:themeColor="text1"/>
                <w:lang w:val="en-GB"/>
              </w:rPr>
              <w:t>Real-time and label-free Multi-Parametric Surface Plasmon Resonance instrument</w:t>
            </w:r>
          </w:p>
        </w:tc>
      </w:tr>
      <w:tr w:rsidR="00086A85" w:rsidRPr="00086A85" w14:paraId="1B3883FD"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2EB678F7"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w:t>
            </w:r>
          </w:p>
        </w:tc>
        <w:tc>
          <w:tcPr>
            <w:tcW w:w="1564" w:type="pct"/>
            <w:tcBorders>
              <w:top w:val="single" w:sz="4" w:space="0" w:color="auto"/>
              <w:left w:val="single" w:sz="4" w:space="0" w:color="auto"/>
              <w:bottom w:val="single" w:sz="4" w:space="0" w:color="auto"/>
              <w:right w:val="single" w:sz="4" w:space="0" w:color="auto"/>
            </w:tcBorders>
          </w:tcPr>
          <w:p w14:paraId="294B6E61" w14:textId="77777777" w:rsidR="00C35403" w:rsidRPr="00086A85" w:rsidRDefault="00C35403" w:rsidP="0077607D">
            <w:pPr>
              <w:rPr>
                <w:rFonts w:ascii="Arial" w:hAnsi="Arial" w:cs="Arial"/>
                <w:lang w:val="en-GB"/>
              </w:rPr>
            </w:pPr>
            <w:r w:rsidRPr="00086A85">
              <w:rPr>
                <w:rFonts w:ascii="Arial" w:hAnsi="Arial" w:cs="Arial"/>
                <w:lang w:val="en-GB"/>
              </w:rPr>
              <w:t>Manufacturer and model</w:t>
            </w:r>
          </w:p>
        </w:tc>
        <w:tc>
          <w:tcPr>
            <w:tcW w:w="1565" w:type="pct"/>
            <w:tcBorders>
              <w:top w:val="single" w:sz="4" w:space="0" w:color="auto"/>
              <w:left w:val="single" w:sz="4" w:space="0" w:color="auto"/>
              <w:bottom w:val="single" w:sz="4" w:space="0" w:color="auto"/>
              <w:right w:val="single" w:sz="4" w:space="0" w:color="auto"/>
            </w:tcBorders>
          </w:tcPr>
          <w:p w14:paraId="4DD64020" w14:textId="77777777" w:rsidR="00C35403" w:rsidRPr="00086A85" w:rsidRDefault="00C35403" w:rsidP="0077607D">
            <w:pPr>
              <w:rPr>
                <w:rFonts w:ascii="Arial" w:hAnsi="Arial" w:cs="Arial"/>
                <w:i/>
                <w:iCs/>
                <w:lang w:val="en-GB"/>
              </w:rPr>
            </w:pPr>
            <w:r w:rsidRPr="00086A85">
              <w:rPr>
                <w:rFonts w:ascii="Arial" w:hAnsi="Arial" w:cs="Arial"/>
                <w:i/>
                <w:iCs/>
                <w:lang w:val="en-GB"/>
              </w:rPr>
              <w:t>Mandatory</w:t>
            </w:r>
          </w:p>
        </w:tc>
        <w:tc>
          <w:tcPr>
            <w:tcW w:w="1566" w:type="pct"/>
            <w:tcBorders>
              <w:top w:val="single" w:sz="4" w:space="0" w:color="auto"/>
              <w:left w:val="single" w:sz="4" w:space="0" w:color="auto"/>
              <w:bottom w:val="single" w:sz="4" w:space="0" w:color="auto"/>
              <w:right w:val="single" w:sz="4" w:space="0" w:color="auto"/>
            </w:tcBorders>
          </w:tcPr>
          <w:p w14:paraId="2F66F101" w14:textId="77777777" w:rsidR="00C35403" w:rsidRPr="00086A85" w:rsidRDefault="00C35403" w:rsidP="0077607D">
            <w:pPr>
              <w:rPr>
                <w:rFonts w:ascii="Arial" w:hAnsi="Arial" w:cs="Arial"/>
                <w:color w:val="000000"/>
                <w:lang w:val="en-GB"/>
              </w:rPr>
            </w:pPr>
          </w:p>
        </w:tc>
      </w:tr>
      <w:tr w:rsidR="00086A85" w:rsidRPr="00086A85" w14:paraId="7C9EB8A6"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622C4578"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2.</w:t>
            </w:r>
          </w:p>
        </w:tc>
        <w:tc>
          <w:tcPr>
            <w:tcW w:w="1564" w:type="pct"/>
            <w:tcBorders>
              <w:top w:val="single" w:sz="4" w:space="0" w:color="auto"/>
              <w:left w:val="single" w:sz="4" w:space="0" w:color="auto"/>
              <w:bottom w:val="single" w:sz="4" w:space="0" w:color="auto"/>
              <w:right w:val="single" w:sz="4" w:space="0" w:color="auto"/>
            </w:tcBorders>
          </w:tcPr>
          <w:p w14:paraId="5771EE26" w14:textId="77777777" w:rsidR="00C35403" w:rsidRPr="00086A85" w:rsidRDefault="00C35403" w:rsidP="0077607D">
            <w:pPr>
              <w:rPr>
                <w:rFonts w:ascii="Arial" w:hAnsi="Arial" w:cs="Arial"/>
                <w:lang w:val="en-GB"/>
              </w:rPr>
            </w:pPr>
            <w:r w:rsidRPr="00086A85">
              <w:rPr>
                <w:rFonts w:ascii="Arial" w:hAnsi="Arial" w:cs="Arial"/>
                <w:lang w:val="en-GB"/>
              </w:rPr>
              <w:t>Type</w:t>
            </w:r>
          </w:p>
        </w:tc>
        <w:tc>
          <w:tcPr>
            <w:tcW w:w="1565" w:type="pct"/>
            <w:tcBorders>
              <w:top w:val="single" w:sz="4" w:space="0" w:color="auto"/>
              <w:left w:val="single" w:sz="4" w:space="0" w:color="auto"/>
              <w:bottom w:val="single" w:sz="4" w:space="0" w:color="auto"/>
              <w:right w:val="single" w:sz="4" w:space="0" w:color="auto"/>
            </w:tcBorders>
          </w:tcPr>
          <w:p w14:paraId="48CA14AD" w14:textId="77777777" w:rsidR="00C35403" w:rsidRPr="00086A85" w:rsidRDefault="00C35403" w:rsidP="0077607D">
            <w:pPr>
              <w:rPr>
                <w:rFonts w:ascii="Arial" w:hAnsi="Arial" w:cs="Arial"/>
                <w:color w:val="000000" w:themeColor="text1"/>
                <w:lang w:val="en-GB"/>
              </w:rPr>
            </w:pPr>
            <w:r w:rsidRPr="00086A85">
              <w:rPr>
                <w:rFonts w:ascii="Arial" w:hAnsi="Arial" w:cs="Arial"/>
                <w:color w:val="000000" w:themeColor="text1"/>
                <w:lang w:val="en-GB"/>
              </w:rPr>
              <w:t xml:space="preserve">Real-time and label-free </w:t>
            </w:r>
            <w:r w:rsidRPr="00086A85">
              <w:rPr>
                <w:rFonts w:ascii="Arial" w:eastAsia="Times New Roman" w:hAnsi="Arial" w:cs="Arial"/>
                <w:lang w:val="en-GB"/>
              </w:rPr>
              <w:t xml:space="preserve">Multi-Parametric Surface Plasmon Resonance </w:t>
            </w:r>
          </w:p>
        </w:tc>
        <w:tc>
          <w:tcPr>
            <w:tcW w:w="1566" w:type="pct"/>
            <w:tcBorders>
              <w:top w:val="single" w:sz="4" w:space="0" w:color="auto"/>
              <w:left w:val="single" w:sz="4" w:space="0" w:color="auto"/>
              <w:bottom w:val="single" w:sz="4" w:space="0" w:color="auto"/>
              <w:right w:val="single" w:sz="4" w:space="0" w:color="auto"/>
            </w:tcBorders>
          </w:tcPr>
          <w:p w14:paraId="0B8807C5" w14:textId="77777777" w:rsidR="00C35403" w:rsidRPr="00086A85" w:rsidRDefault="00C35403" w:rsidP="0077607D">
            <w:pPr>
              <w:rPr>
                <w:rFonts w:ascii="Arial" w:hAnsi="Arial" w:cs="Arial"/>
                <w:color w:val="000000"/>
                <w:lang w:val="en-GB"/>
              </w:rPr>
            </w:pPr>
          </w:p>
        </w:tc>
      </w:tr>
      <w:tr w:rsidR="00086A85" w:rsidRPr="00086A85" w14:paraId="56F0D7DB"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701EBF53"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3.</w:t>
            </w:r>
          </w:p>
        </w:tc>
        <w:tc>
          <w:tcPr>
            <w:tcW w:w="1564" w:type="pct"/>
            <w:tcBorders>
              <w:top w:val="single" w:sz="4" w:space="0" w:color="auto"/>
              <w:left w:val="single" w:sz="4" w:space="0" w:color="auto"/>
              <w:bottom w:val="single" w:sz="4" w:space="0" w:color="auto"/>
              <w:right w:val="single" w:sz="4" w:space="0" w:color="auto"/>
            </w:tcBorders>
          </w:tcPr>
          <w:p w14:paraId="669EB947" w14:textId="77777777" w:rsidR="00C35403" w:rsidRPr="00086A85" w:rsidRDefault="00C35403" w:rsidP="0077607D">
            <w:pPr>
              <w:rPr>
                <w:rFonts w:ascii="Arial" w:hAnsi="Arial" w:cs="Arial"/>
                <w:lang w:val="en-GB"/>
              </w:rPr>
            </w:pPr>
            <w:r w:rsidRPr="00086A85">
              <w:rPr>
                <w:rFonts w:ascii="Arial" w:hAnsi="Arial" w:cs="Arial"/>
                <w:lang w:val="en-GB"/>
              </w:rPr>
              <w:t>Sensitivity</w:t>
            </w:r>
          </w:p>
        </w:tc>
        <w:tc>
          <w:tcPr>
            <w:tcW w:w="1565" w:type="pct"/>
            <w:tcBorders>
              <w:top w:val="single" w:sz="4" w:space="0" w:color="auto"/>
              <w:left w:val="single" w:sz="4" w:space="0" w:color="auto"/>
              <w:bottom w:val="single" w:sz="4" w:space="0" w:color="auto"/>
              <w:right w:val="single" w:sz="4" w:space="0" w:color="auto"/>
            </w:tcBorders>
          </w:tcPr>
          <w:p w14:paraId="7236C8CF"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Minimal size of detectable molecule is lower than 100 Da</w:t>
            </w:r>
          </w:p>
        </w:tc>
        <w:tc>
          <w:tcPr>
            <w:tcW w:w="1566" w:type="pct"/>
            <w:tcBorders>
              <w:top w:val="single" w:sz="4" w:space="0" w:color="auto"/>
              <w:left w:val="single" w:sz="4" w:space="0" w:color="auto"/>
              <w:bottom w:val="single" w:sz="4" w:space="0" w:color="auto"/>
              <w:right w:val="single" w:sz="4" w:space="0" w:color="auto"/>
            </w:tcBorders>
          </w:tcPr>
          <w:p w14:paraId="3AC29C3E" w14:textId="77777777" w:rsidR="00C35403" w:rsidRPr="00086A85" w:rsidRDefault="00C35403" w:rsidP="0077607D">
            <w:pPr>
              <w:rPr>
                <w:rFonts w:ascii="Arial" w:hAnsi="Arial" w:cs="Arial"/>
                <w:color w:val="000000"/>
                <w:lang w:val="en-GB"/>
              </w:rPr>
            </w:pPr>
          </w:p>
        </w:tc>
      </w:tr>
      <w:tr w:rsidR="00086A85" w:rsidRPr="00086A85" w14:paraId="25BFB3A4"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7095C486"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4.</w:t>
            </w:r>
          </w:p>
        </w:tc>
        <w:tc>
          <w:tcPr>
            <w:tcW w:w="1564" w:type="pct"/>
            <w:tcBorders>
              <w:top w:val="single" w:sz="4" w:space="0" w:color="auto"/>
              <w:left w:val="single" w:sz="4" w:space="0" w:color="auto"/>
              <w:bottom w:val="single" w:sz="4" w:space="0" w:color="auto"/>
              <w:right w:val="single" w:sz="4" w:space="0" w:color="auto"/>
            </w:tcBorders>
          </w:tcPr>
          <w:p w14:paraId="3CA12BF6" w14:textId="77777777" w:rsidR="00C35403" w:rsidRPr="00086A85" w:rsidRDefault="00C35403" w:rsidP="0077607D">
            <w:pPr>
              <w:rPr>
                <w:rFonts w:ascii="Arial" w:hAnsi="Arial" w:cs="Arial"/>
                <w:lang w:val="en-GB"/>
              </w:rPr>
            </w:pPr>
            <w:r w:rsidRPr="00086A85">
              <w:rPr>
                <w:rFonts w:ascii="Arial" w:hAnsi="Arial" w:cs="Arial"/>
                <w:lang w:val="en-GB"/>
              </w:rPr>
              <w:t>Noise</w:t>
            </w:r>
          </w:p>
        </w:tc>
        <w:tc>
          <w:tcPr>
            <w:tcW w:w="1565" w:type="pct"/>
            <w:tcBorders>
              <w:top w:val="single" w:sz="4" w:space="0" w:color="auto"/>
              <w:left w:val="single" w:sz="4" w:space="0" w:color="auto"/>
              <w:bottom w:val="single" w:sz="4" w:space="0" w:color="auto"/>
              <w:right w:val="single" w:sz="4" w:space="0" w:color="auto"/>
            </w:tcBorders>
          </w:tcPr>
          <w:p w14:paraId="0E2049C5" w14:textId="77777777" w:rsidR="00C35403" w:rsidRPr="00086A85" w:rsidRDefault="00C35403" w:rsidP="0077607D">
            <w:pPr>
              <w:rPr>
                <w:rFonts w:ascii="Arial" w:hAnsi="Arial" w:cs="Arial"/>
                <w:lang w:val="en-GB"/>
              </w:rPr>
            </w:pPr>
            <w:r w:rsidRPr="00086A85">
              <w:rPr>
                <w:rFonts w:ascii="Arial" w:hAnsi="Arial" w:cs="Arial"/>
                <w:lang w:val="en-GB"/>
              </w:rPr>
              <w:t xml:space="preserve">Long term baseline drift (over extended period, several hours) is less than 1 </w:t>
            </w:r>
            <w:proofErr w:type="spellStart"/>
            <w:r w:rsidRPr="00086A85">
              <w:rPr>
                <w:rFonts w:ascii="Arial" w:hAnsi="Arial" w:cs="Arial"/>
                <w:lang w:val="en-GB"/>
              </w:rPr>
              <w:t>μRIU</w:t>
            </w:r>
            <w:proofErr w:type="spellEnd"/>
            <w:r w:rsidRPr="00086A85">
              <w:rPr>
                <w:rFonts w:ascii="Arial" w:hAnsi="Arial" w:cs="Arial"/>
                <w:lang w:val="en-GB"/>
              </w:rPr>
              <w:t>/min.</w:t>
            </w:r>
          </w:p>
        </w:tc>
        <w:tc>
          <w:tcPr>
            <w:tcW w:w="1566" w:type="pct"/>
            <w:tcBorders>
              <w:top w:val="single" w:sz="4" w:space="0" w:color="auto"/>
              <w:left w:val="single" w:sz="4" w:space="0" w:color="auto"/>
              <w:bottom w:val="single" w:sz="4" w:space="0" w:color="auto"/>
              <w:right w:val="single" w:sz="4" w:space="0" w:color="auto"/>
            </w:tcBorders>
          </w:tcPr>
          <w:p w14:paraId="07BAD666" w14:textId="77777777" w:rsidR="00C35403" w:rsidRPr="00086A85" w:rsidRDefault="00C35403" w:rsidP="0077607D">
            <w:pPr>
              <w:rPr>
                <w:rFonts w:ascii="Arial" w:hAnsi="Arial" w:cs="Arial"/>
                <w:color w:val="000000"/>
                <w:lang w:val="en-GB"/>
              </w:rPr>
            </w:pPr>
          </w:p>
        </w:tc>
      </w:tr>
      <w:tr w:rsidR="00086A85" w:rsidRPr="00086A85" w14:paraId="68877984"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465B50FA"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5.</w:t>
            </w:r>
          </w:p>
        </w:tc>
        <w:tc>
          <w:tcPr>
            <w:tcW w:w="1564" w:type="pct"/>
            <w:tcBorders>
              <w:top w:val="single" w:sz="4" w:space="0" w:color="auto"/>
              <w:left w:val="single" w:sz="4" w:space="0" w:color="auto"/>
              <w:bottom w:val="single" w:sz="4" w:space="0" w:color="auto"/>
              <w:right w:val="single" w:sz="4" w:space="0" w:color="auto"/>
            </w:tcBorders>
          </w:tcPr>
          <w:p w14:paraId="383E5BB7" w14:textId="77777777" w:rsidR="00C35403" w:rsidRPr="00086A85" w:rsidRDefault="00C35403" w:rsidP="0077607D">
            <w:pPr>
              <w:rPr>
                <w:rFonts w:ascii="Arial" w:hAnsi="Arial" w:cs="Arial"/>
                <w:lang w:val="en-GB"/>
              </w:rPr>
            </w:pPr>
            <w:r w:rsidRPr="00086A85">
              <w:rPr>
                <w:rFonts w:ascii="Arial" w:hAnsi="Arial" w:cs="Arial"/>
                <w:lang w:val="en-GB"/>
              </w:rPr>
              <w:t>Detection method</w:t>
            </w:r>
          </w:p>
        </w:tc>
        <w:tc>
          <w:tcPr>
            <w:tcW w:w="1565" w:type="pct"/>
            <w:tcBorders>
              <w:top w:val="single" w:sz="4" w:space="0" w:color="auto"/>
              <w:left w:val="single" w:sz="4" w:space="0" w:color="auto"/>
              <w:bottom w:val="single" w:sz="4" w:space="0" w:color="auto"/>
              <w:right w:val="single" w:sz="4" w:space="0" w:color="auto"/>
            </w:tcBorders>
          </w:tcPr>
          <w:p w14:paraId="4B514D9A" w14:textId="77777777" w:rsidR="00C35403" w:rsidRPr="00086A85" w:rsidRDefault="00C35403" w:rsidP="0077607D">
            <w:pPr>
              <w:rPr>
                <w:rFonts w:ascii="Arial" w:hAnsi="Arial" w:cs="Arial"/>
                <w:lang w:val="en-GB"/>
              </w:rPr>
            </w:pPr>
            <w:r w:rsidRPr="00086A85">
              <w:rPr>
                <w:rFonts w:ascii="Arial" w:hAnsi="Arial" w:cs="Arial"/>
                <w:lang w:val="en-GB"/>
              </w:rPr>
              <w:t xml:space="preserve">The instrument has to be based on Multi-Parametric Surface Plasmon Resonance method and </w:t>
            </w:r>
            <w:r w:rsidRPr="00086A85">
              <w:rPr>
                <w:rFonts w:ascii="Arial" w:hAnsi="Arial" w:cs="Arial"/>
                <w:lang w:val="en-GB"/>
              </w:rPr>
              <w:lastRenderedPageBreak/>
              <w:t xml:space="preserve">use true goniometric detection principle or equivalent. </w:t>
            </w:r>
          </w:p>
        </w:tc>
        <w:tc>
          <w:tcPr>
            <w:tcW w:w="1566" w:type="pct"/>
            <w:tcBorders>
              <w:top w:val="single" w:sz="4" w:space="0" w:color="auto"/>
              <w:left w:val="single" w:sz="4" w:space="0" w:color="auto"/>
              <w:bottom w:val="single" w:sz="4" w:space="0" w:color="auto"/>
              <w:right w:val="single" w:sz="4" w:space="0" w:color="auto"/>
            </w:tcBorders>
          </w:tcPr>
          <w:p w14:paraId="091AE9C9" w14:textId="77777777" w:rsidR="00C35403" w:rsidRPr="00086A85" w:rsidRDefault="00C35403" w:rsidP="0077607D">
            <w:pPr>
              <w:rPr>
                <w:rFonts w:ascii="Arial" w:hAnsi="Arial" w:cs="Arial"/>
                <w:color w:val="000000"/>
                <w:lang w:val="en-GB"/>
              </w:rPr>
            </w:pPr>
          </w:p>
        </w:tc>
      </w:tr>
      <w:tr w:rsidR="00086A85" w:rsidRPr="00086A85" w14:paraId="38A1E80E"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304DB151"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6.</w:t>
            </w:r>
          </w:p>
        </w:tc>
        <w:tc>
          <w:tcPr>
            <w:tcW w:w="1564" w:type="pct"/>
            <w:tcBorders>
              <w:top w:val="single" w:sz="4" w:space="0" w:color="auto"/>
              <w:left w:val="single" w:sz="4" w:space="0" w:color="auto"/>
              <w:bottom w:val="single" w:sz="4" w:space="0" w:color="auto"/>
              <w:right w:val="single" w:sz="4" w:space="0" w:color="auto"/>
            </w:tcBorders>
          </w:tcPr>
          <w:p w14:paraId="2F984DA3" w14:textId="77777777" w:rsidR="00C35403" w:rsidRPr="00086A85" w:rsidRDefault="00C35403" w:rsidP="0077607D">
            <w:pPr>
              <w:rPr>
                <w:rFonts w:ascii="Arial" w:hAnsi="Arial" w:cs="Arial"/>
                <w:lang w:val="en-GB"/>
              </w:rPr>
            </w:pPr>
            <w:r w:rsidRPr="00086A85">
              <w:rPr>
                <w:rFonts w:ascii="Arial" w:hAnsi="Arial" w:cs="Arial"/>
                <w:lang w:val="en-GB"/>
              </w:rPr>
              <w:t>Option to detect bulk effect</w:t>
            </w:r>
          </w:p>
        </w:tc>
        <w:tc>
          <w:tcPr>
            <w:tcW w:w="1565" w:type="pct"/>
            <w:tcBorders>
              <w:top w:val="single" w:sz="4" w:space="0" w:color="auto"/>
              <w:left w:val="single" w:sz="4" w:space="0" w:color="auto"/>
              <w:bottom w:val="single" w:sz="4" w:space="0" w:color="auto"/>
              <w:right w:val="single" w:sz="4" w:space="0" w:color="auto"/>
            </w:tcBorders>
          </w:tcPr>
          <w:p w14:paraId="00E73E8F" w14:textId="77777777" w:rsidR="00C35403" w:rsidRPr="00086A85" w:rsidRDefault="00C35403" w:rsidP="0077607D">
            <w:pPr>
              <w:rPr>
                <w:rFonts w:ascii="Arial" w:hAnsi="Arial" w:cs="Arial"/>
                <w:lang w:val="en-GB"/>
              </w:rPr>
            </w:pPr>
            <w:r w:rsidRPr="00086A85">
              <w:rPr>
                <w:rFonts w:ascii="Arial" w:hAnsi="Arial" w:cs="Arial"/>
                <w:lang w:val="en-GB"/>
              </w:rPr>
              <w:t>The instrument should enable the measurement of the bulk effect in the same fluidic channel as the measurement of the sample</w:t>
            </w:r>
          </w:p>
        </w:tc>
        <w:tc>
          <w:tcPr>
            <w:tcW w:w="1566" w:type="pct"/>
            <w:tcBorders>
              <w:top w:val="single" w:sz="4" w:space="0" w:color="auto"/>
              <w:left w:val="single" w:sz="4" w:space="0" w:color="auto"/>
              <w:bottom w:val="single" w:sz="4" w:space="0" w:color="auto"/>
              <w:right w:val="single" w:sz="4" w:space="0" w:color="auto"/>
            </w:tcBorders>
          </w:tcPr>
          <w:p w14:paraId="4257AD58" w14:textId="77777777" w:rsidR="00C35403" w:rsidRPr="00086A85" w:rsidRDefault="00C35403" w:rsidP="0077607D">
            <w:pPr>
              <w:rPr>
                <w:rFonts w:ascii="Arial" w:hAnsi="Arial" w:cs="Arial"/>
                <w:color w:val="000000"/>
                <w:lang w:val="en-GB"/>
              </w:rPr>
            </w:pPr>
          </w:p>
        </w:tc>
      </w:tr>
      <w:tr w:rsidR="00086A85" w:rsidRPr="00086A85" w14:paraId="2793F58D"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36503348"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7.</w:t>
            </w:r>
          </w:p>
        </w:tc>
        <w:tc>
          <w:tcPr>
            <w:tcW w:w="1564" w:type="pct"/>
            <w:tcBorders>
              <w:top w:val="single" w:sz="4" w:space="0" w:color="auto"/>
              <w:left w:val="single" w:sz="4" w:space="0" w:color="auto"/>
              <w:bottom w:val="single" w:sz="4" w:space="0" w:color="auto"/>
              <w:right w:val="single" w:sz="4" w:space="0" w:color="auto"/>
            </w:tcBorders>
          </w:tcPr>
          <w:p w14:paraId="3DCC34F6" w14:textId="77777777" w:rsidR="00C35403" w:rsidRPr="00086A85" w:rsidRDefault="00C35403" w:rsidP="0077607D">
            <w:pPr>
              <w:rPr>
                <w:rFonts w:ascii="Arial" w:hAnsi="Arial" w:cs="Arial"/>
                <w:lang w:val="en-GB"/>
              </w:rPr>
            </w:pPr>
            <w:r w:rsidRPr="00086A85">
              <w:rPr>
                <w:rFonts w:ascii="Arial" w:hAnsi="Arial" w:cs="Arial"/>
                <w:lang w:val="en-GB"/>
              </w:rPr>
              <w:t>Autosampler</w:t>
            </w:r>
          </w:p>
        </w:tc>
        <w:tc>
          <w:tcPr>
            <w:tcW w:w="1565" w:type="pct"/>
            <w:tcBorders>
              <w:top w:val="single" w:sz="4" w:space="0" w:color="auto"/>
              <w:left w:val="single" w:sz="4" w:space="0" w:color="auto"/>
              <w:bottom w:val="single" w:sz="4" w:space="0" w:color="auto"/>
              <w:right w:val="single" w:sz="4" w:space="0" w:color="auto"/>
            </w:tcBorders>
          </w:tcPr>
          <w:p w14:paraId="5E18991B" w14:textId="77777777" w:rsidR="00C35403" w:rsidRPr="00086A85" w:rsidRDefault="00C35403" w:rsidP="0077607D">
            <w:pPr>
              <w:rPr>
                <w:rFonts w:ascii="Arial" w:hAnsi="Arial" w:cs="Arial"/>
                <w:lang w:val="en-GB"/>
              </w:rPr>
            </w:pPr>
            <w:r w:rsidRPr="00086A85">
              <w:rPr>
                <w:rFonts w:ascii="Arial" w:hAnsi="Arial" w:cs="Arial"/>
                <w:lang w:val="en-GB"/>
              </w:rPr>
              <w:t>The instrument should have a built-in autosampler for at least 6 samples, including a degasser and syringe pumps or equivalent technical solution</w:t>
            </w:r>
          </w:p>
        </w:tc>
        <w:tc>
          <w:tcPr>
            <w:tcW w:w="1566" w:type="pct"/>
            <w:tcBorders>
              <w:top w:val="single" w:sz="4" w:space="0" w:color="auto"/>
              <w:left w:val="single" w:sz="4" w:space="0" w:color="auto"/>
              <w:bottom w:val="single" w:sz="4" w:space="0" w:color="auto"/>
              <w:right w:val="single" w:sz="4" w:space="0" w:color="auto"/>
            </w:tcBorders>
          </w:tcPr>
          <w:p w14:paraId="70B6958B" w14:textId="77777777" w:rsidR="00C35403" w:rsidRPr="00086A85" w:rsidRDefault="00C35403" w:rsidP="0077607D">
            <w:pPr>
              <w:rPr>
                <w:rFonts w:ascii="Arial" w:hAnsi="Arial" w:cs="Arial"/>
                <w:color w:val="000000"/>
                <w:lang w:val="en-GB"/>
              </w:rPr>
            </w:pPr>
          </w:p>
        </w:tc>
      </w:tr>
      <w:tr w:rsidR="00086A85" w:rsidRPr="00086A85" w14:paraId="12443148"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723FE608"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8.</w:t>
            </w:r>
          </w:p>
        </w:tc>
        <w:tc>
          <w:tcPr>
            <w:tcW w:w="1564" w:type="pct"/>
            <w:tcBorders>
              <w:top w:val="single" w:sz="4" w:space="0" w:color="auto"/>
              <w:left w:val="single" w:sz="4" w:space="0" w:color="auto"/>
              <w:bottom w:val="single" w:sz="4" w:space="0" w:color="auto"/>
              <w:right w:val="single" w:sz="4" w:space="0" w:color="auto"/>
            </w:tcBorders>
          </w:tcPr>
          <w:p w14:paraId="1868A982" w14:textId="77777777" w:rsidR="00C35403" w:rsidRPr="00086A85" w:rsidRDefault="00C35403" w:rsidP="0077607D">
            <w:pPr>
              <w:rPr>
                <w:rFonts w:ascii="Arial" w:hAnsi="Arial" w:cs="Arial"/>
                <w:lang w:val="en-GB"/>
              </w:rPr>
            </w:pPr>
            <w:r w:rsidRPr="00086A85">
              <w:rPr>
                <w:rFonts w:ascii="Arial" w:hAnsi="Arial" w:cs="Arial"/>
                <w:lang w:val="en-GB"/>
              </w:rPr>
              <w:t>Prism</w:t>
            </w:r>
          </w:p>
        </w:tc>
        <w:tc>
          <w:tcPr>
            <w:tcW w:w="1565" w:type="pct"/>
            <w:tcBorders>
              <w:top w:val="single" w:sz="4" w:space="0" w:color="auto"/>
              <w:left w:val="single" w:sz="4" w:space="0" w:color="auto"/>
              <w:bottom w:val="single" w:sz="4" w:space="0" w:color="auto"/>
              <w:right w:val="single" w:sz="4" w:space="0" w:color="auto"/>
            </w:tcBorders>
          </w:tcPr>
          <w:p w14:paraId="023BA996" w14:textId="77777777" w:rsidR="00C35403" w:rsidRPr="00086A85" w:rsidRDefault="00C35403" w:rsidP="0077607D">
            <w:pPr>
              <w:rPr>
                <w:rFonts w:ascii="Arial" w:hAnsi="Arial" w:cs="Arial"/>
                <w:lang w:val="en-GB"/>
              </w:rPr>
            </w:pPr>
            <w:r w:rsidRPr="00086A85">
              <w:rPr>
                <w:rFonts w:ascii="Arial" w:eastAsia="Times New Roman" w:hAnsi="Arial" w:cs="Arial"/>
                <w:lang w:val="en-GB"/>
              </w:rPr>
              <w:t>The instrument should have a prism with an index-matching elastomer</w:t>
            </w:r>
          </w:p>
        </w:tc>
        <w:tc>
          <w:tcPr>
            <w:tcW w:w="1566" w:type="pct"/>
            <w:tcBorders>
              <w:top w:val="single" w:sz="4" w:space="0" w:color="auto"/>
              <w:left w:val="single" w:sz="4" w:space="0" w:color="auto"/>
              <w:bottom w:val="single" w:sz="4" w:space="0" w:color="auto"/>
              <w:right w:val="single" w:sz="4" w:space="0" w:color="auto"/>
            </w:tcBorders>
          </w:tcPr>
          <w:p w14:paraId="45E58C4D" w14:textId="77777777" w:rsidR="00C35403" w:rsidRPr="00086A85" w:rsidRDefault="00C35403" w:rsidP="0077607D">
            <w:pPr>
              <w:rPr>
                <w:rFonts w:ascii="Arial" w:hAnsi="Arial" w:cs="Arial"/>
                <w:color w:val="000000"/>
                <w:lang w:val="en-GB"/>
              </w:rPr>
            </w:pPr>
          </w:p>
        </w:tc>
      </w:tr>
      <w:tr w:rsidR="00086A85" w:rsidRPr="00086A85" w14:paraId="2A2B5B00"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5D235053"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9.</w:t>
            </w:r>
          </w:p>
        </w:tc>
        <w:tc>
          <w:tcPr>
            <w:tcW w:w="1564" w:type="pct"/>
            <w:tcBorders>
              <w:top w:val="single" w:sz="4" w:space="0" w:color="auto"/>
              <w:left w:val="single" w:sz="4" w:space="0" w:color="auto"/>
              <w:bottom w:val="single" w:sz="4" w:space="0" w:color="auto"/>
              <w:right w:val="single" w:sz="4" w:space="0" w:color="auto"/>
            </w:tcBorders>
          </w:tcPr>
          <w:p w14:paraId="2ECD70B2" w14:textId="77777777" w:rsidR="00C35403" w:rsidRPr="00086A85" w:rsidRDefault="00C35403" w:rsidP="0077607D">
            <w:pPr>
              <w:rPr>
                <w:rFonts w:ascii="Arial" w:hAnsi="Arial" w:cs="Arial"/>
                <w:lang w:val="en-GB"/>
              </w:rPr>
            </w:pPr>
            <w:r w:rsidRPr="00086A85">
              <w:rPr>
                <w:rFonts w:ascii="Arial" w:hAnsi="Arial" w:cs="Arial"/>
                <w:lang w:val="en-GB"/>
              </w:rPr>
              <w:t>SPR scan angular range</w:t>
            </w:r>
          </w:p>
        </w:tc>
        <w:tc>
          <w:tcPr>
            <w:tcW w:w="1565" w:type="pct"/>
            <w:tcBorders>
              <w:top w:val="single" w:sz="4" w:space="0" w:color="auto"/>
              <w:left w:val="single" w:sz="4" w:space="0" w:color="auto"/>
              <w:bottom w:val="single" w:sz="4" w:space="0" w:color="auto"/>
              <w:right w:val="single" w:sz="4" w:space="0" w:color="auto"/>
            </w:tcBorders>
          </w:tcPr>
          <w:p w14:paraId="1A692FC3" w14:textId="77777777" w:rsidR="00C35403" w:rsidRPr="00086A85" w:rsidRDefault="00C35403" w:rsidP="0077607D">
            <w:pPr>
              <w:rPr>
                <w:rFonts w:ascii="Arial" w:hAnsi="Arial" w:cs="Arial"/>
                <w:i/>
                <w:iCs/>
                <w:lang w:val="en-GB"/>
              </w:rPr>
            </w:pPr>
            <w:r w:rsidRPr="00086A85">
              <w:rPr>
                <w:rFonts w:ascii="Arial" w:eastAsia="Times New Roman" w:hAnsi="Arial" w:cs="Arial"/>
                <w:lang w:val="en-GB"/>
              </w:rPr>
              <w:t>at least of 35 degrees </w:t>
            </w:r>
          </w:p>
        </w:tc>
        <w:tc>
          <w:tcPr>
            <w:tcW w:w="1566" w:type="pct"/>
            <w:tcBorders>
              <w:top w:val="single" w:sz="4" w:space="0" w:color="auto"/>
              <w:left w:val="single" w:sz="4" w:space="0" w:color="auto"/>
              <w:bottom w:val="single" w:sz="4" w:space="0" w:color="auto"/>
              <w:right w:val="single" w:sz="4" w:space="0" w:color="auto"/>
            </w:tcBorders>
            <w:vAlign w:val="center"/>
          </w:tcPr>
          <w:p w14:paraId="505A102C"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w:t>
            </w:r>
          </w:p>
        </w:tc>
      </w:tr>
      <w:tr w:rsidR="00086A85" w:rsidRPr="00086A85" w14:paraId="0260A9FD"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5C4EE1DF"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10.</w:t>
            </w:r>
          </w:p>
        </w:tc>
        <w:tc>
          <w:tcPr>
            <w:tcW w:w="1564" w:type="pct"/>
            <w:tcBorders>
              <w:top w:val="single" w:sz="4" w:space="0" w:color="auto"/>
              <w:left w:val="single" w:sz="4" w:space="0" w:color="auto"/>
              <w:bottom w:val="single" w:sz="4" w:space="0" w:color="auto"/>
              <w:right w:val="single" w:sz="4" w:space="0" w:color="auto"/>
            </w:tcBorders>
          </w:tcPr>
          <w:p w14:paraId="593BFDCE" w14:textId="77777777" w:rsidR="00C35403" w:rsidRPr="00086A85" w:rsidRDefault="00C35403" w:rsidP="0077607D">
            <w:pPr>
              <w:rPr>
                <w:rFonts w:ascii="Arial" w:hAnsi="Arial" w:cs="Arial"/>
                <w:lang w:val="en-GB"/>
              </w:rPr>
            </w:pPr>
            <w:r w:rsidRPr="00086A85">
              <w:rPr>
                <w:rFonts w:ascii="Arial" w:hAnsi="Arial" w:cs="Arial"/>
                <w:lang w:val="en-GB"/>
              </w:rPr>
              <w:t>Refractive index range</w:t>
            </w:r>
          </w:p>
        </w:tc>
        <w:tc>
          <w:tcPr>
            <w:tcW w:w="1565" w:type="pct"/>
            <w:tcBorders>
              <w:top w:val="single" w:sz="4" w:space="0" w:color="auto"/>
              <w:left w:val="single" w:sz="4" w:space="0" w:color="auto"/>
              <w:bottom w:val="single" w:sz="4" w:space="0" w:color="auto"/>
              <w:right w:val="single" w:sz="4" w:space="0" w:color="auto"/>
            </w:tcBorders>
          </w:tcPr>
          <w:p w14:paraId="6D84A0D9"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1.00-1.40 or wider</w:t>
            </w:r>
          </w:p>
        </w:tc>
        <w:tc>
          <w:tcPr>
            <w:tcW w:w="1566" w:type="pct"/>
            <w:tcBorders>
              <w:top w:val="single" w:sz="4" w:space="0" w:color="auto"/>
              <w:left w:val="single" w:sz="4" w:space="0" w:color="auto"/>
              <w:bottom w:val="single" w:sz="4" w:space="0" w:color="auto"/>
              <w:right w:val="single" w:sz="4" w:space="0" w:color="auto"/>
            </w:tcBorders>
            <w:vAlign w:val="center"/>
          </w:tcPr>
          <w:p w14:paraId="141B9CF2" w14:textId="77777777" w:rsidR="00C35403" w:rsidRPr="00086A85" w:rsidRDefault="00C35403" w:rsidP="0077607D">
            <w:pPr>
              <w:jc w:val="center"/>
              <w:rPr>
                <w:rFonts w:ascii="Arial" w:hAnsi="Arial" w:cs="Arial"/>
                <w:color w:val="000000"/>
                <w:lang w:val="en-GB"/>
              </w:rPr>
            </w:pPr>
          </w:p>
        </w:tc>
      </w:tr>
      <w:tr w:rsidR="00086A85" w:rsidRPr="00086A85" w14:paraId="1C60A4C9"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5165F99E"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11.</w:t>
            </w:r>
          </w:p>
        </w:tc>
        <w:tc>
          <w:tcPr>
            <w:tcW w:w="1564" w:type="pct"/>
            <w:tcBorders>
              <w:top w:val="single" w:sz="4" w:space="0" w:color="auto"/>
              <w:left w:val="single" w:sz="4" w:space="0" w:color="auto"/>
              <w:bottom w:val="single" w:sz="4" w:space="0" w:color="auto"/>
              <w:right w:val="single" w:sz="4" w:space="0" w:color="auto"/>
            </w:tcBorders>
          </w:tcPr>
          <w:p w14:paraId="502610C5" w14:textId="77777777" w:rsidR="00C35403" w:rsidRPr="00086A85" w:rsidRDefault="00C35403" w:rsidP="0077607D">
            <w:pPr>
              <w:rPr>
                <w:rFonts w:ascii="Arial" w:hAnsi="Arial" w:cs="Arial"/>
                <w:lang w:val="en-GB"/>
              </w:rPr>
            </w:pPr>
            <w:proofErr w:type="gramStart"/>
            <w:r w:rsidRPr="00086A85">
              <w:rPr>
                <w:rFonts w:ascii="Arial" w:hAnsi="Arial" w:cs="Arial"/>
                <w:lang w:val="en-GB"/>
              </w:rPr>
              <w:t>Sensors</w:t>
            </w:r>
            <w:proofErr w:type="gramEnd"/>
            <w:r w:rsidRPr="00086A85">
              <w:rPr>
                <w:rFonts w:ascii="Arial" w:hAnsi="Arial" w:cs="Arial"/>
                <w:lang w:val="en-GB"/>
              </w:rPr>
              <w:t xml:space="preserve"> holder*</w:t>
            </w:r>
          </w:p>
        </w:tc>
        <w:tc>
          <w:tcPr>
            <w:tcW w:w="1565" w:type="pct"/>
            <w:tcBorders>
              <w:top w:val="single" w:sz="4" w:space="0" w:color="auto"/>
              <w:left w:val="single" w:sz="4" w:space="0" w:color="auto"/>
              <w:bottom w:val="single" w:sz="4" w:space="0" w:color="auto"/>
              <w:right w:val="single" w:sz="4" w:space="0" w:color="auto"/>
            </w:tcBorders>
          </w:tcPr>
          <w:p w14:paraId="5F5E3566" w14:textId="77777777" w:rsidR="00C35403" w:rsidRPr="00086A85" w:rsidRDefault="00C35403" w:rsidP="0077607D">
            <w:pPr>
              <w:rPr>
                <w:rFonts w:ascii="Arial" w:hAnsi="Arial" w:cs="Arial"/>
                <w:lang w:val="en-GB"/>
              </w:rPr>
            </w:pPr>
            <w:r w:rsidRPr="00086A85">
              <w:rPr>
                <w:rFonts w:ascii="Arial" w:eastAsia="Times New Roman" w:hAnsi="Arial" w:cs="Arial"/>
                <w:lang w:val="en-GB"/>
              </w:rPr>
              <w:t>Instrument should have easy-to-use sensor slide holder allowing quick and easy slide replacement without any tools</w:t>
            </w:r>
          </w:p>
        </w:tc>
        <w:tc>
          <w:tcPr>
            <w:tcW w:w="1566" w:type="pct"/>
            <w:tcBorders>
              <w:top w:val="single" w:sz="4" w:space="0" w:color="auto"/>
              <w:left w:val="single" w:sz="4" w:space="0" w:color="auto"/>
              <w:bottom w:val="single" w:sz="4" w:space="0" w:color="auto"/>
              <w:right w:val="single" w:sz="4" w:space="0" w:color="auto"/>
            </w:tcBorders>
          </w:tcPr>
          <w:p w14:paraId="3C33701C" w14:textId="77777777" w:rsidR="00C35403" w:rsidRPr="00086A85" w:rsidRDefault="00C35403" w:rsidP="0077607D">
            <w:pPr>
              <w:rPr>
                <w:rFonts w:ascii="Arial" w:hAnsi="Arial" w:cs="Arial"/>
                <w:color w:val="000000"/>
                <w:lang w:val="en-GB"/>
              </w:rPr>
            </w:pPr>
          </w:p>
        </w:tc>
      </w:tr>
      <w:tr w:rsidR="00086A85" w:rsidRPr="00086A85" w14:paraId="0E3132CA"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429E78DA"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12.</w:t>
            </w:r>
          </w:p>
        </w:tc>
        <w:tc>
          <w:tcPr>
            <w:tcW w:w="1564" w:type="pct"/>
            <w:tcBorders>
              <w:top w:val="single" w:sz="4" w:space="0" w:color="auto"/>
              <w:left w:val="single" w:sz="4" w:space="0" w:color="auto"/>
              <w:bottom w:val="single" w:sz="4" w:space="0" w:color="auto"/>
              <w:right w:val="single" w:sz="4" w:space="0" w:color="auto"/>
            </w:tcBorders>
          </w:tcPr>
          <w:p w14:paraId="548F281F" w14:textId="77777777" w:rsidR="00C35403" w:rsidRPr="00086A85" w:rsidRDefault="00C35403" w:rsidP="0077607D">
            <w:pPr>
              <w:rPr>
                <w:rFonts w:ascii="Arial" w:hAnsi="Arial" w:cs="Arial"/>
                <w:i/>
                <w:iCs/>
                <w:lang w:val="en-GB"/>
              </w:rPr>
            </w:pPr>
            <w:r w:rsidRPr="00086A85">
              <w:rPr>
                <w:rFonts w:ascii="Arial" w:eastAsia="Times New Roman" w:hAnsi="Arial" w:cs="Arial"/>
                <w:lang w:val="en-GB"/>
              </w:rPr>
              <w:t>Flow channels</w:t>
            </w:r>
          </w:p>
        </w:tc>
        <w:tc>
          <w:tcPr>
            <w:tcW w:w="1565" w:type="pct"/>
            <w:tcBorders>
              <w:top w:val="single" w:sz="4" w:space="0" w:color="auto"/>
              <w:left w:val="single" w:sz="4" w:space="0" w:color="auto"/>
              <w:bottom w:val="single" w:sz="4" w:space="0" w:color="auto"/>
              <w:right w:val="single" w:sz="4" w:space="0" w:color="auto"/>
            </w:tcBorders>
          </w:tcPr>
          <w:p w14:paraId="130320CE" w14:textId="77777777" w:rsidR="00C35403" w:rsidRPr="00086A85" w:rsidRDefault="00C35403" w:rsidP="0077607D">
            <w:pPr>
              <w:rPr>
                <w:rFonts w:ascii="Arial" w:hAnsi="Arial" w:cs="Arial"/>
                <w:lang w:val="en-GB"/>
              </w:rPr>
            </w:pPr>
            <w:r w:rsidRPr="00086A85">
              <w:rPr>
                <w:rFonts w:ascii="Arial" w:hAnsi="Arial" w:cs="Arial"/>
                <w:lang w:val="en-GB"/>
              </w:rPr>
              <w:t>At least two flow channels</w:t>
            </w:r>
          </w:p>
        </w:tc>
        <w:tc>
          <w:tcPr>
            <w:tcW w:w="1566" w:type="pct"/>
            <w:tcBorders>
              <w:top w:val="single" w:sz="4" w:space="0" w:color="auto"/>
              <w:left w:val="single" w:sz="4" w:space="0" w:color="auto"/>
              <w:bottom w:val="single" w:sz="4" w:space="0" w:color="auto"/>
              <w:right w:val="single" w:sz="4" w:space="0" w:color="auto"/>
            </w:tcBorders>
          </w:tcPr>
          <w:p w14:paraId="7A0E35C1" w14:textId="77777777" w:rsidR="00C35403" w:rsidRPr="00086A85" w:rsidRDefault="00C35403" w:rsidP="0077607D">
            <w:pPr>
              <w:rPr>
                <w:rFonts w:ascii="Arial" w:hAnsi="Arial" w:cs="Arial"/>
                <w:color w:val="000000"/>
                <w:lang w:val="en-GB"/>
              </w:rPr>
            </w:pPr>
          </w:p>
        </w:tc>
      </w:tr>
      <w:tr w:rsidR="00086A85" w:rsidRPr="00086A85" w14:paraId="2161792A"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107624A9"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13.</w:t>
            </w:r>
          </w:p>
        </w:tc>
        <w:tc>
          <w:tcPr>
            <w:tcW w:w="1564" w:type="pct"/>
            <w:tcBorders>
              <w:top w:val="single" w:sz="4" w:space="0" w:color="auto"/>
              <w:left w:val="single" w:sz="4" w:space="0" w:color="auto"/>
              <w:bottom w:val="single" w:sz="4" w:space="0" w:color="auto"/>
              <w:right w:val="single" w:sz="4" w:space="0" w:color="auto"/>
            </w:tcBorders>
          </w:tcPr>
          <w:p w14:paraId="1F69207E"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Flow rate</w:t>
            </w:r>
          </w:p>
        </w:tc>
        <w:tc>
          <w:tcPr>
            <w:tcW w:w="1565" w:type="pct"/>
            <w:tcBorders>
              <w:top w:val="single" w:sz="4" w:space="0" w:color="auto"/>
              <w:left w:val="single" w:sz="4" w:space="0" w:color="auto"/>
              <w:bottom w:val="single" w:sz="4" w:space="0" w:color="auto"/>
              <w:right w:val="single" w:sz="4" w:space="0" w:color="auto"/>
            </w:tcBorders>
          </w:tcPr>
          <w:p w14:paraId="1F1044FD" w14:textId="77777777" w:rsidR="00C35403" w:rsidRPr="00086A85" w:rsidRDefault="00C35403" w:rsidP="0077607D">
            <w:pPr>
              <w:rPr>
                <w:rFonts w:ascii="Arial" w:hAnsi="Arial" w:cs="Arial"/>
                <w:color w:val="000000"/>
                <w:lang w:val="en-GB"/>
              </w:rPr>
            </w:pPr>
            <w:r w:rsidRPr="00086A85">
              <w:rPr>
                <w:rFonts w:ascii="Arial" w:hAnsi="Arial" w:cs="Arial"/>
                <w:color w:val="000000"/>
                <w:lang w:val="en-GB"/>
              </w:rPr>
              <w:t xml:space="preserve">Minimal flow rate – no more than 1 </w:t>
            </w:r>
            <w:proofErr w:type="spellStart"/>
            <w:r w:rsidRPr="00086A85">
              <w:rPr>
                <w:rFonts w:ascii="Arial" w:hAnsi="Arial" w:cs="Arial"/>
                <w:color w:val="000000"/>
                <w:lang w:val="en-GB"/>
              </w:rPr>
              <w:t>μL</w:t>
            </w:r>
            <w:proofErr w:type="spellEnd"/>
            <w:r w:rsidRPr="00086A85">
              <w:rPr>
                <w:rFonts w:ascii="Arial" w:hAnsi="Arial" w:cs="Arial"/>
                <w:color w:val="000000"/>
                <w:lang w:val="en-GB"/>
              </w:rPr>
              <w:t xml:space="preserve">/min, maximal flow rate - at least 1000 </w:t>
            </w:r>
            <w:proofErr w:type="spellStart"/>
            <w:r w:rsidRPr="00086A85">
              <w:rPr>
                <w:rFonts w:ascii="Arial" w:hAnsi="Arial" w:cs="Arial"/>
                <w:color w:val="000000"/>
                <w:lang w:val="en-GB"/>
              </w:rPr>
              <w:t>μL</w:t>
            </w:r>
            <w:proofErr w:type="spellEnd"/>
            <w:r w:rsidRPr="00086A85">
              <w:rPr>
                <w:rFonts w:ascii="Arial" w:hAnsi="Arial" w:cs="Arial"/>
                <w:color w:val="000000"/>
                <w:lang w:val="en-GB"/>
              </w:rPr>
              <w:t>/min</w:t>
            </w:r>
          </w:p>
        </w:tc>
        <w:tc>
          <w:tcPr>
            <w:tcW w:w="1566" w:type="pct"/>
            <w:tcBorders>
              <w:top w:val="single" w:sz="4" w:space="0" w:color="auto"/>
              <w:left w:val="single" w:sz="4" w:space="0" w:color="auto"/>
              <w:bottom w:val="single" w:sz="4" w:space="0" w:color="auto"/>
              <w:right w:val="single" w:sz="4" w:space="0" w:color="auto"/>
            </w:tcBorders>
          </w:tcPr>
          <w:p w14:paraId="4E334EC3" w14:textId="77777777" w:rsidR="00C35403" w:rsidRPr="00086A85" w:rsidRDefault="00C35403" w:rsidP="0077607D">
            <w:pPr>
              <w:rPr>
                <w:rFonts w:ascii="Arial" w:hAnsi="Arial" w:cs="Arial"/>
                <w:color w:val="000000"/>
                <w:lang w:val="en-GB"/>
              </w:rPr>
            </w:pPr>
          </w:p>
        </w:tc>
      </w:tr>
      <w:tr w:rsidR="00086A85" w:rsidRPr="00086A85" w14:paraId="598F2582"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3372106F"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14.</w:t>
            </w:r>
          </w:p>
        </w:tc>
        <w:tc>
          <w:tcPr>
            <w:tcW w:w="1564" w:type="pct"/>
            <w:tcBorders>
              <w:top w:val="single" w:sz="4" w:space="0" w:color="auto"/>
              <w:left w:val="single" w:sz="4" w:space="0" w:color="auto"/>
              <w:bottom w:val="single" w:sz="4" w:space="0" w:color="auto"/>
              <w:right w:val="single" w:sz="4" w:space="0" w:color="auto"/>
            </w:tcBorders>
          </w:tcPr>
          <w:p w14:paraId="39ED3370"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Minimal sample volume</w:t>
            </w:r>
          </w:p>
        </w:tc>
        <w:tc>
          <w:tcPr>
            <w:tcW w:w="1565" w:type="pct"/>
            <w:tcBorders>
              <w:top w:val="single" w:sz="4" w:space="0" w:color="auto"/>
              <w:left w:val="single" w:sz="4" w:space="0" w:color="auto"/>
              <w:bottom w:val="single" w:sz="4" w:space="0" w:color="auto"/>
              <w:right w:val="single" w:sz="4" w:space="0" w:color="auto"/>
            </w:tcBorders>
          </w:tcPr>
          <w:p w14:paraId="5BDB239B" w14:textId="77777777" w:rsidR="00C35403" w:rsidRPr="00086A85" w:rsidRDefault="00C35403" w:rsidP="0077607D">
            <w:pPr>
              <w:rPr>
                <w:rFonts w:ascii="Arial" w:hAnsi="Arial" w:cs="Arial"/>
                <w:lang w:val="en-GB"/>
              </w:rPr>
            </w:pPr>
            <w:r w:rsidRPr="00086A85">
              <w:rPr>
                <w:rFonts w:ascii="Arial" w:hAnsi="Arial" w:cs="Arial"/>
                <w:lang w:val="en-GB"/>
              </w:rPr>
              <w:t xml:space="preserve">Minimal sample volume is no more than 70 </w:t>
            </w:r>
            <w:proofErr w:type="spellStart"/>
            <w:r w:rsidRPr="00086A85">
              <w:rPr>
                <w:rFonts w:ascii="Arial" w:hAnsi="Arial" w:cs="Arial"/>
                <w:lang w:val="en-GB"/>
              </w:rPr>
              <w:t>μl</w:t>
            </w:r>
            <w:proofErr w:type="spellEnd"/>
          </w:p>
        </w:tc>
        <w:tc>
          <w:tcPr>
            <w:tcW w:w="1566" w:type="pct"/>
            <w:tcBorders>
              <w:top w:val="single" w:sz="4" w:space="0" w:color="auto"/>
              <w:left w:val="single" w:sz="4" w:space="0" w:color="auto"/>
              <w:bottom w:val="single" w:sz="4" w:space="0" w:color="auto"/>
              <w:right w:val="single" w:sz="4" w:space="0" w:color="auto"/>
            </w:tcBorders>
          </w:tcPr>
          <w:p w14:paraId="00F1DBF0" w14:textId="77777777" w:rsidR="00C35403" w:rsidRPr="00086A85" w:rsidRDefault="00C35403" w:rsidP="0077607D">
            <w:pPr>
              <w:rPr>
                <w:rFonts w:ascii="Arial" w:hAnsi="Arial" w:cs="Arial"/>
                <w:color w:val="000000"/>
                <w:lang w:val="en-GB"/>
              </w:rPr>
            </w:pPr>
          </w:p>
        </w:tc>
      </w:tr>
      <w:tr w:rsidR="00086A85" w:rsidRPr="00086A85" w14:paraId="3600D094"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639EC338"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15.</w:t>
            </w:r>
          </w:p>
        </w:tc>
        <w:tc>
          <w:tcPr>
            <w:tcW w:w="1564" w:type="pct"/>
            <w:tcBorders>
              <w:top w:val="single" w:sz="4" w:space="0" w:color="auto"/>
              <w:left w:val="single" w:sz="4" w:space="0" w:color="auto"/>
              <w:bottom w:val="single" w:sz="4" w:space="0" w:color="auto"/>
              <w:right w:val="single" w:sz="4" w:space="0" w:color="auto"/>
            </w:tcBorders>
          </w:tcPr>
          <w:p w14:paraId="5CB41C39"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Temperature control</w:t>
            </w:r>
          </w:p>
        </w:tc>
        <w:tc>
          <w:tcPr>
            <w:tcW w:w="1565" w:type="pct"/>
            <w:tcBorders>
              <w:top w:val="single" w:sz="4" w:space="0" w:color="auto"/>
              <w:left w:val="single" w:sz="4" w:space="0" w:color="auto"/>
              <w:bottom w:val="single" w:sz="4" w:space="0" w:color="auto"/>
              <w:right w:val="single" w:sz="4" w:space="0" w:color="auto"/>
            </w:tcBorders>
          </w:tcPr>
          <w:p w14:paraId="04ABB198" w14:textId="77777777" w:rsidR="00C35403" w:rsidRPr="00086A85" w:rsidRDefault="00C35403" w:rsidP="0077607D">
            <w:pPr>
              <w:rPr>
                <w:rFonts w:ascii="Arial" w:hAnsi="Arial" w:cs="Arial"/>
                <w:lang w:val="en-GB"/>
              </w:rPr>
            </w:pPr>
            <w:r w:rsidRPr="00086A85">
              <w:rPr>
                <w:rFonts w:ascii="Arial" w:eastAsia="Times New Roman" w:hAnsi="Arial" w:cs="Arial"/>
                <w:lang w:val="en-GB"/>
              </w:rPr>
              <w:t>Option to control the channels temperature ranging from 15–40 °C</w:t>
            </w:r>
          </w:p>
        </w:tc>
        <w:tc>
          <w:tcPr>
            <w:tcW w:w="1566" w:type="pct"/>
            <w:tcBorders>
              <w:top w:val="single" w:sz="4" w:space="0" w:color="auto"/>
              <w:left w:val="single" w:sz="4" w:space="0" w:color="auto"/>
              <w:bottom w:val="single" w:sz="4" w:space="0" w:color="auto"/>
              <w:right w:val="single" w:sz="4" w:space="0" w:color="auto"/>
            </w:tcBorders>
          </w:tcPr>
          <w:p w14:paraId="49C8C380" w14:textId="77777777" w:rsidR="00C35403" w:rsidRPr="00086A85" w:rsidRDefault="00C35403" w:rsidP="0077607D">
            <w:pPr>
              <w:rPr>
                <w:rFonts w:ascii="Arial" w:hAnsi="Arial" w:cs="Arial"/>
                <w:color w:val="000000"/>
                <w:lang w:val="en-GB"/>
              </w:rPr>
            </w:pPr>
          </w:p>
        </w:tc>
      </w:tr>
      <w:tr w:rsidR="00086A85" w:rsidRPr="00086A85" w14:paraId="4C9AA950"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584E97C1"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16.</w:t>
            </w:r>
          </w:p>
        </w:tc>
        <w:tc>
          <w:tcPr>
            <w:tcW w:w="1564" w:type="pct"/>
            <w:tcBorders>
              <w:top w:val="single" w:sz="4" w:space="0" w:color="auto"/>
              <w:left w:val="single" w:sz="4" w:space="0" w:color="auto"/>
              <w:bottom w:val="single" w:sz="4" w:space="0" w:color="auto"/>
              <w:right w:val="single" w:sz="4" w:space="0" w:color="auto"/>
            </w:tcBorders>
          </w:tcPr>
          <w:p w14:paraId="5A20A6B8"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Measurement kinetics range</w:t>
            </w:r>
          </w:p>
        </w:tc>
        <w:tc>
          <w:tcPr>
            <w:tcW w:w="1565" w:type="pct"/>
            <w:tcBorders>
              <w:top w:val="single" w:sz="4" w:space="0" w:color="auto"/>
              <w:left w:val="single" w:sz="4" w:space="0" w:color="auto"/>
              <w:bottom w:val="single" w:sz="4" w:space="0" w:color="auto"/>
              <w:right w:val="single" w:sz="4" w:space="0" w:color="auto"/>
            </w:tcBorders>
          </w:tcPr>
          <w:p w14:paraId="31A8D85B"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 xml:space="preserve">The range of kinetic parameters should not be </w:t>
            </w:r>
            <w:r w:rsidRPr="00086A85">
              <w:rPr>
                <w:rFonts w:ascii="Arial" w:eastAsia="Times New Roman" w:hAnsi="Arial" w:cs="Arial"/>
                <w:lang w:val="en-GB"/>
              </w:rPr>
              <w:lastRenderedPageBreak/>
              <w:t>narrower than the provided intervals.</w:t>
            </w:r>
          </w:p>
          <w:p w14:paraId="3580EA09"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k</w:t>
            </w:r>
            <w:r w:rsidRPr="00086A85">
              <w:rPr>
                <w:rFonts w:ascii="Arial" w:eastAsia="Times New Roman" w:hAnsi="Arial" w:cs="Arial"/>
                <w:vertAlign w:val="subscript"/>
                <w:lang w:val="en-GB"/>
              </w:rPr>
              <w:t>a</w:t>
            </w:r>
            <w:r w:rsidRPr="00086A85">
              <w:rPr>
                <w:rFonts w:ascii="Arial" w:eastAsia="Times New Roman" w:hAnsi="Arial" w:cs="Arial"/>
                <w:lang w:val="en-GB"/>
              </w:rPr>
              <w:t xml:space="preserve"> = 10</w:t>
            </w:r>
            <w:r w:rsidRPr="00086A85">
              <w:rPr>
                <w:rFonts w:ascii="Arial" w:eastAsia="Times New Roman" w:hAnsi="Arial" w:cs="Arial"/>
                <w:vertAlign w:val="superscript"/>
                <w:lang w:val="en-GB"/>
              </w:rPr>
              <w:t>3</w:t>
            </w:r>
            <w:r w:rsidRPr="00086A85">
              <w:rPr>
                <w:rFonts w:ascii="Arial" w:eastAsia="Times New Roman" w:hAnsi="Arial" w:cs="Arial"/>
                <w:lang w:val="en-GB"/>
              </w:rPr>
              <w:t xml:space="preserve"> – 10</w:t>
            </w:r>
            <w:r w:rsidRPr="00086A85">
              <w:rPr>
                <w:rFonts w:ascii="Arial" w:eastAsia="Times New Roman" w:hAnsi="Arial" w:cs="Arial"/>
                <w:vertAlign w:val="superscript"/>
                <w:lang w:val="en-GB"/>
              </w:rPr>
              <w:t>8</w:t>
            </w:r>
            <w:r w:rsidRPr="00086A85">
              <w:rPr>
                <w:rFonts w:ascii="Arial" w:eastAsia="Times New Roman" w:hAnsi="Arial" w:cs="Arial"/>
                <w:lang w:val="en-GB"/>
              </w:rPr>
              <w:t xml:space="preserve"> (M</w:t>
            </w:r>
            <w:r w:rsidRPr="00086A85">
              <w:rPr>
                <w:rFonts w:ascii="Arial" w:eastAsia="Times New Roman" w:hAnsi="Arial" w:cs="Arial"/>
                <w:vertAlign w:val="superscript"/>
                <w:lang w:val="en-GB"/>
              </w:rPr>
              <w:t>-1</w:t>
            </w:r>
            <w:r w:rsidRPr="00086A85">
              <w:rPr>
                <w:rFonts w:ascii="Arial" w:eastAsia="Times New Roman" w:hAnsi="Arial" w:cs="Arial"/>
                <w:lang w:val="en-GB"/>
              </w:rPr>
              <w:t>s</w:t>
            </w:r>
            <w:r w:rsidRPr="00086A85">
              <w:rPr>
                <w:rFonts w:ascii="Arial" w:eastAsia="Times New Roman" w:hAnsi="Arial" w:cs="Arial"/>
                <w:vertAlign w:val="superscript"/>
                <w:lang w:val="en-GB"/>
              </w:rPr>
              <w:t>-1</w:t>
            </w:r>
            <w:r w:rsidRPr="00086A85">
              <w:rPr>
                <w:rFonts w:ascii="Arial" w:eastAsia="Times New Roman" w:hAnsi="Arial" w:cs="Arial"/>
                <w:lang w:val="en-GB"/>
              </w:rPr>
              <w:t>),</w:t>
            </w:r>
            <w:r w:rsidRPr="00086A85">
              <w:rPr>
                <w:rFonts w:ascii="Arial" w:eastAsia="Times New Roman" w:hAnsi="Arial" w:cs="Arial"/>
                <w:lang w:val="en-GB"/>
              </w:rPr>
              <w:br/>
            </w:r>
            <w:proofErr w:type="spellStart"/>
            <w:r w:rsidRPr="00086A85">
              <w:rPr>
                <w:rFonts w:ascii="Arial" w:eastAsia="Times New Roman" w:hAnsi="Arial" w:cs="Arial"/>
                <w:lang w:val="en-GB"/>
              </w:rPr>
              <w:t>k</w:t>
            </w:r>
            <w:r w:rsidRPr="00086A85">
              <w:rPr>
                <w:rFonts w:ascii="Arial" w:eastAsia="Times New Roman" w:hAnsi="Arial" w:cs="Arial"/>
                <w:vertAlign w:val="subscript"/>
                <w:lang w:val="en-GB"/>
              </w:rPr>
              <w:t>d</w:t>
            </w:r>
            <w:proofErr w:type="spellEnd"/>
            <w:r w:rsidRPr="00086A85">
              <w:rPr>
                <w:rFonts w:ascii="Arial" w:eastAsia="Times New Roman" w:hAnsi="Arial" w:cs="Arial"/>
                <w:lang w:val="en-GB"/>
              </w:rPr>
              <w:t xml:space="preserve"> = 10</w:t>
            </w:r>
            <w:r w:rsidRPr="00086A85">
              <w:rPr>
                <w:rFonts w:ascii="Arial" w:eastAsia="Times New Roman" w:hAnsi="Arial" w:cs="Arial"/>
                <w:vertAlign w:val="superscript"/>
                <w:lang w:val="en-GB"/>
              </w:rPr>
              <w:t>-7</w:t>
            </w:r>
            <w:r w:rsidRPr="00086A85">
              <w:rPr>
                <w:rFonts w:ascii="Arial" w:eastAsia="Times New Roman" w:hAnsi="Arial" w:cs="Arial"/>
                <w:lang w:val="en-GB"/>
              </w:rPr>
              <w:t xml:space="preserve"> – 0.1 (s</w:t>
            </w:r>
            <w:r w:rsidRPr="00086A85">
              <w:rPr>
                <w:rFonts w:ascii="Arial" w:eastAsia="Times New Roman" w:hAnsi="Arial" w:cs="Arial"/>
                <w:vertAlign w:val="superscript"/>
                <w:lang w:val="en-GB"/>
              </w:rPr>
              <w:t>-1</w:t>
            </w:r>
            <w:r w:rsidRPr="00086A85">
              <w:rPr>
                <w:rFonts w:ascii="Arial" w:eastAsia="Times New Roman" w:hAnsi="Arial" w:cs="Arial"/>
                <w:lang w:val="en-GB"/>
              </w:rPr>
              <w:t>),</w:t>
            </w:r>
            <w:r w:rsidRPr="00086A85">
              <w:rPr>
                <w:rFonts w:ascii="Arial" w:eastAsia="Times New Roman" w:hAnsi="Arial" w:cs="Arial"/>
                <w:lang w:val="en-GB"/>
              </w:rPr>
              <w:br/>
              <w:t>K</w:t>
            </w:r>
            <w:r w:rsidRPr="00086A85">
              <w:rPr>
                <w:rFonts w:ascii="Arial" w:eastAsia="Times New Roman" w:hAnsi="Arial" w:cs="Arial"/>
                <w:vertAlign w:val="subscript"/>
                <w:lang w:val="en-GB"/>
              </w:rPr>
              <w:t>D</w:t>
            </w:r>
            <w:r w:rsidRPr="00086A85">
              <w:rPr>
                <w:rFonts w:ascii="Arial" w:eastAsia="Times New Roman" w:hAnsi="Arial" w:cs="Arial"/>
                <w:lang w:val="en-GB"/>
              </w:rPr>
              <w:t xml:space="preserve"> = 10</w:t>
            </w:r>
            <w:r w:rsidRPr="00086A85">
              <w:rPr>
                <w:rFonts w:ascii="Arial" w:eastAsia="Times New Roman" w:hAnsi="Arial" w:cs="Arial"/>
                <w:vertAlign w:val="superscript"/>
                <w:lang w:val="en-GB"/>
              </w:rPr>
              <w:t>-3</w:t>
            </w:r>
            <w:r w:rsidRPr="00086A85">
              <w:rPr>
                <w:rFonts w:ascii="Arial" w:eastAsia="Times New Roman" w:hAnsi="Arial" w:cs="Arial"/>
                <w:lang w:val="en-GB"/>
              </w:rPr>
              <w:t xml:space="preserve"> – 10</w:t>
            </w:r>
            <w:r w:rsidRPr="00086A85">
              <w:rPr>
                <w:rFonts w:ascii="Arial" w:eastAsia="Times New Roman" w:hAnsi="Arial" w:cs="Arial"/>
                <w:vertAlign w:val="superscript"/>
                <w:lang w:val="en-GB"/>
              </w:rPr>
              <w:t>-12</w:t>
            </w:r>
            <w:r w:rsidRPr="00086A85">
              <w:rPr>
                <w:rFonts w:ascii="Arial" w:eastAsia="Times New Roman" w:hAnsi="Arial" w:cs="Arial"/>
                <w:lang w:val="en-GB"/>
              </w:rPr>
              <w:t xml:space="preserve"> (M)</w:t>
            </w:r>
          </w:p>
        </w:tc>
        <w:tc>
          <w:tcPr>
            <w:tcW w:w="1566" w:type="pct"/>
            <w:tcBorders>
              <w:top w:val="single" w:sz="4" w:space="0" w:color="auto"/>
              <w:left w:val="single" w:sz="4" w:space="0" w:color="auto"/>
              <w:bottom w:val="single" w:sz="4" w:space="0" w:color="auto"/>
              <w:right w:val="single" w:sz="4" w:space="0" w:color="auto"/>
            </w:tcBorders>
          </w:tcPr>
          <w:p w14:paraId="2D9F1FFB" w14:textId="77777777" w:rsidR="00C35403" w:rsidRPr="00086A85" w:rsidRDefault="00C35403" w:rsidP="0077607D">
            <w:pPr>
              <w:rPr>
                <w:rFonts w:ascii="Arial" w:hAnsi="Arial" w:cs="Arial"/>
                <w:color w:val="000000"/>
                <w:lang w:val="en-GB"/>
              </w:rPr>
            </w:pPr>
          </w:p>
        </w:tc>
      </w:tr>
      <w:tr w:rsidR="00086A85" w:rsidRPr="00086A85" w14:paraId="4E364C6C"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645E46B0"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17.</w:t>
            </w:r>
          </w:p>
        </w:tc>
        <w:tc>
          <w:tcPr>
            <w:tcW w:w="1564" w:type="pct"/>
            <w:tcBorders>
              <w:top w:val="single" w:sz="4" w:space="0" w:color="auto"/>
              <w:left w:val="single" w:sz="4" w:space="0" w:color="auto"/>
              <w:bottom w:val="single" w:sz="4" w:space="0" w:color="auto"/>
              <w:right w:val="single" w:sz="4" w:space="0" w:color="auto"/>
            </w:tcBorders>
          </w:tcPr>
          <w:p w14:paraId="0FCACBF8"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Software*</w:t>
            </w:r>
          </w:p>
        </w:tc>
        <w:tc>
          <w:tcPr>
            <w:tcW w:w="1565" w:type="pct"/>
            <w:tcBorders>
              <w:top w:val="single" w:sz="4" w:space="0" w:color="auto"/>
              <w:left w:val="single" w:sz="4" w:space="0" w:color="auto"/>
              <w:bottom w:val="single" w:sz="4" w:space="0" w:color="auto"/>
              <w:right w:val="single" w:sz="4" w:space="0" w:color="auto"/>
            </w:tcBorders>
          </w:tcPr>
          <w:p w14:paraId="71FFB07F" w14:textId="77777777" w:rsidR="00C35403" w:rsidRPr="00086A85" w:rsidRDefault="00C35403" w:rsidP="0077607D">
            <w:pPr>
              <w:rPr>
                <w:rFonts w:ascii="Arial" w:hAnsi="Arial" w:cs="Arial"/>
                <w:lang w:val="en-GB"/>
              </w:rPr>
            </w:pPr>
            <w:r w:rsidRPr="00086A85">
              <w:rPr>
                <w:rFonts w:ascii="Arial" w:eastAsia="Times New Roman" w:hAnsi="Arial" w:cs="Arial"/>
                <w:lang w:val="en-GB"/>
              </w:rPr>
              <w:t>All software required for operating the instrument and performing data analysis must be included.</w:t>
            </w:r>
          </w:p>
        </w:tc>
        <w:tc>
          <w:tcPr>
            <w:tcW w:w="1566" w:type="pct"/>
            <w:tcBorders>
              <w:top w:val="single" w:sz="4" w:space="0" w:color="auto"/>
              <w:left w:val="single" w:sz="4" w:space="0" w:color="auto"/>
              <w:bottom w:val="single" w:sz="4" w:space="0" w:color="auto"/>
              <w:right w:val="single" w:sz="4" w:space="0" w:color="auto"/>
            </w:tcBorders>
          </w:tcPr>
          <w:p w14:paraId="7922FC4F" w14:textId="77777777" w:rsidR="00C35403" w:rsidRPr="00086A85" w:rsidRDefault="00C35403" w:rsidP="0077607D">
            <w:pPr>
              <w:rPr>
                <w:rFonts w:ascii="Arial" w:hAnsi="Arial" w:cs="Arial"/>
                <w:color w:val="000000"/>
                <w:lang w:val="en-GB"/>
              </w:rPr>
            </w:pPr>
          </w:p>
        </w:tc>
      </w:tr>
      <w:tr w:rsidR="00C35403" w:rsidRPr="00086A85" w14:paraId="4526782B" w14:textId="77777777" w:rsidTr="0077607D">
        <w:tc>
          <w:tcPr>
            <w:tcW w:w="305" w:type="pct"/>
            <w:tcBorders>
              <w:top w:val="single" w:sz="4" w:space="0" w:color="auto"/>
              <w:left w:val="single" w:sz="4" w:space="0" w:color="auto"/>
              <w:bottom w:val="single" w:sz="4" w:space="0" w:color="auto"/>
              <w:right w:val="single" w:sz="4" w:space="0" w:color="auto"/>
            </w:tcBorders>
            <w:vAlign w:val="center"/>
          </w:tcPr>
          <w:p w14:paraId="141EB077" w14:textId="77777777" w:rsidR="00C35403" w:rsidRPr="00086A85" w:rsidRDefault="00C35403" w:rsidP="0077607D">
            <w:pPr>
              <w:jc w:val="center"/>
              <w:rPr>
                <w:rFonts w:ascii="Arial" w:hAnsi="Arial" w:cs="Arial"/>
                <w:color w:val="000000"/>
                <w:lang w:val="en-GB"/>
              </w:rPr>
            </w:pPr>
            <w:r w:rsidRPr="00086A85">
              <w:rPr>
                <w:rFonts w:ascii="Arial" w:hAnsi="Arial" w:cs="Arial"/>
                <w:color w:val="000000"/>
                <w:lang w:val="en-GB"/>
              </w:rPr>
              <w:t>18.</w:t>
            </w:r>
          </w:p>
        </w:tc>
        <w:tc>
          <w:tcPr>
            <w:tcW w:w="1564" w:type="pct"/>
            <w:tcBorders>
              <w:top w:val="single" w:sz="4" w:space="0" w:color="auto"/>
              <w:left w:val="single" w:sz="4" w:space="0" w:color="auto"/>
              <w:bottom w:val="single" w:sz="4" w:space="0" w:color="auto"/>
              <w:right w:val="single" w:sz="4" w:space="0" w:color="auto"/>
            </w:tcBorders>
          </w:tcPr>
          <w:p w14:paraId="786487EA"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Warranty*</w:t>
            </w:r>
          </w:p>
        </w:tc>
        <w:tc>
          <w:tcPr>
            <w:tcW w:w="1565" w:type="pct"/>
            <w:tcBorders>
              <w:top w:val="single" w:sz="4" w:space="0" w:color="auto"/>
              <w:left w:val="single" w:sz="4" w:space="0" w:color="auto"/>
              <w:bottom w:val="single" w:sz="4" w:space="0" w:color="auto"/>
              <w:right w:val="single" w:sz="4" w:space="0" w:color="auto"/>
            </w:tcBorders>
          </w:tcPr>
          <w:p w14:paraId="43BF0F2C" w14:textId="77777777" w:rsidR="00C35403" w:rsidRPr="00086A85" w:rsidRDefault="00C35403" w:rsidP="0077607D">
            <w:pPr>
              <w:rPr>
                <w:rFonts w:ascii="Arial" w:eastAsia="Times New Roman" w:hAnsi="Arial" w:cs="Arial"/>
                <w:lang w:val="en-GB"/>
              </w:rPr>
            </w:pPr>
            <w:r w:rsidRPr="00086A85">
              <w:rPr>
                <w:rFonts w:ascii="Arial" w:eastAsia="Times New Roman" w:hAnsi="Arial" w:cs="Arial"/>
                <w:lang w:val="en-GB"/>
              </w:rPr>
              <w:t>At least 24 months</w:t>
            </w:r>
          </w:p>
        </w:tc>
        <w:tc>
          <w:tcPr>
            <w:tcW w:w="1566" w:type="pct"/>
            <w:tcBorders>
              <w:top w:val="single" w:sz="4" w:space="0" w:color="auto"/>
              <w:left w:val="single" w:sz="4" w:space="0" w:color="auto"/>
              <w:bottom w:val="single" w:sz="4" w:space="0" w:color="auto"/>
              <w:right w:val="single" w:sz="4" w:space="0" w:color="auto"/>
            </w:tcBorders>
          </w:tcPr>
          <w:p w14:paraId="13B5EBDF" w14:textId="77777777" w:rsidR="00C35403" w:rsidRPr="00086A85" w:rsidRDefault="00C35403" w:rsidP="0077607D">
            <w:pPr>
              <w:rPr>
                <w:rFonts w:ascii="Arial" w:hAnsi="Arial" w:cs="Arial"/>
                <w:color w:val="000000"/>
                <w:lang w:val="en-GB"/>
              </w:rPr>
            </w:pPr>
          </w:p>
        </w:tc>
      </w:tr>
    </w:tbl>
    <w:p w14:paraId="66F4FC37" w14:textId="1DBF181E" w:rsidR="00C35403" w:rsidRPr="00086A85" w:rsidRDefault="00C35403" w:rsidP="00086A85">
      <w:pPr>
        <w:spacing w:after="0"/>
        <w:jc w:val="both"/>
        <w:rPr>
          <w:rFonts w:ascii="Arial" w:hAnsi="Arial" w:cs="Arial"/>
          <w:b/>
          <w:snapToGrid w:val="0"/>
          <w:lang w:val="en-GB"/>
        </w:rPr>
      </w:pPr>
      <w:r w:rsidRPr="00086A85">
        <w:rPr>
          <w:rFonts w:ascii="Arial" w:hAnsi="Arial" w:cs="Arial"/>
          <w:lang w:val="en-GB"/>
        </w:rPr>
        <w:t xml:space="preserve">** </w:t>
      </w:r>
      <w:r w:rsidR="00086A85" w:rsidRPr="00086A85">
        <w:rPr>
          <w:rFonts w:ascii="Arial" w:hAnsi="Arial" w:cs="Arial"/>
          <w:b/>
          <w:snapToGrid w:val="0"/>
          <w:lang w:val="en-GB"/>
        </w:rPr>
        <w:t>Submit technical parameters of the proposed equipment together with the tender, except for those marked with *, as well as documents reliably confirming them (e.g., the manufacturer’s product description or an online link to the manufacturer’s webpage).</w:t>
      </w:r>
    </w:p>
    <w:p w14:paraId="470D092B" w14:textId="77777777" w:rsidR="00086A85" w:rsidRPr="00086A85" w:rsidRDefault="00086A85" w:rsidP="00086A85">
      <w:pPr>
        <w:spacing w:after="0"/>
        <w:jc w:val="both"/>
        <w:rPr>
          <w:rFonts w:ascii="Arial" w:hAnsi="Arial" w:cs="Arial"/>
          <w:lang w:val="en-GB"/>
        </w:rPr>
      </w:pPr>
    </w:p>
    <w:p w14:paraId="5F7CBA00" w14:textId="549DCF35" w:rsidR="00C35403" w:rsidRPr="00086A85" w:rsidRDefault="00086A85" w:rsidP="00C35403">
      <w:pPr>
        <w:pStyle w:val="ListParagraph"/>
        <w:numPr>
          <w:ilvl w:val="0"/>
          <w:numId w:val="3"/>
        </w:numPr>
        <w:pBdr>
          <w:top w:val="single" w:sz="8" w:space="1" w:color="000000"/>
          <w:bottom w:val="single" w:sz="8" w:space="1" w:color="000000"/>
        </w:pBdr>
        <w:shd w:val="clear" w:color="auto" w:fill="D9D9D9"/>
        <w:tabs>
          <w:tab w:val="left" w:pos="284"/>
          <w:tab w:val="left" w:pos="851"/>
        </w:tabs>
        <w:spacing w:after="0" w:line="240" w:lineRule="auto"/>
        <w:ind w:hanging="720"/>
        <w:rPr>
          <w:rFonts w:ascii="Arial" w:eastAsia="Arial" w:hAnsi="Arial" w:cs="Arial"/>
          <w:b/>
          <w:bCs/>
          <w:lang w:val="en-GB"/>
        </w:rPr>
      </w:pPr>
      <w:r w:rsidRPr="00086A85">
        <w:rPr>
          <w:rFonts w:ascii="Arial" w:eastAsia="Arial" w:hAnsi="Arial" w:cs="Arial"/>
          <w:b/>
          <w:bCs/>
          <w:lang w:val="en-GB"/>
        </w:rPr>
        <w:t>ENVIRONMENTAL REQUIREMENTS</w:t>
      </w:r>
    </w:p>
    <w:p w14:paraId="4EF871AF" w14:textId="6A07D7F0" w:rsidR="00C35403" w:rsidRPr="00086A85" w:rsidRDefault="00C35403" w:rsidP="00C35403">
      <w:pPr>
        <w:jc w:val="both"/>
        <w:rPr>
          <w:rFonts w:ascii="Arial" w:hAnsi="Arial" w:cs="Arial"/>
          <w:lang w:val="en-GB"/>
        </w:rPr>
      </w:pPr>
      <w:r w:rsidRPr="00086A85">
        <w:rPr>
          <w:rFonts w:ascii="Arial" w:hAnsi="Arial" w:cs="Arial"/>
          <w:lang w:val="en-GB"/>
        </w:rPr>
        <w:t xml:space="preserve">4.1. </w:t>
      </w:r>
      <w:r w:rsidR="00086A85" w:rsidRPr="00086A85">
        <w:rPr>
          <w:rFonts w:ascii="Arial" w:hAnsi="Arial" w:cs="Arial"/>
          <w:lang w:val="en-GB"/>
        </w:rPr>
        <w:t>The procurement is subject to Environmental Protection Criteria in accordance with the Procedure for the Application of Environmental Protection Criteria in Green Procurement, approved by the Minister of Environment of the Republic of Lithuania on 13 December 2022 by Order No. D1</w:t>
      </w:r>
      <w:r w:rsidR="00086A85" w:rsidRPr="00086A85">
        <w:rPr>
          <w:rFonts w:ascii="Cambria Math" w:hAnsi="Cambria Math" w:cs="Cambria Math"/>
          <w:lang w:val="en-GB"/>
        </w:rPr>
        <w:t>‑</w:t>
      </w:r>
      <w:r w:rsidR="00086A85" w:rsidRPr="00086A85">
        <w:rPr>
          <w:rFonts w:ascii="Arial" w:hAnsi="Arial" w:cs="Arial"/>
          <w:lang w:val="en-GB"/>
        </w:rPr>
        <w:t>401, amending Order No. D1</w:t>
      </w:r>
      <w:r w:rsidR="00086A85" w:rsidRPr="00086A85">
        <w:rPr>
          <w:rFonts w:ascii="Cambria Math" w:hAnsi="Cambria Math" w:cs="Cambria Math"/>
          <w:lang w:val="en-GB"/>
        </w:rPr>
        <w:t>‑</w:t>
      </w:r>
      <w:r w:rsidR="00086A85" w:rsidRPr="00086A85">
        <w:rPr>
          <w:rFonts w:ascii="Arial" w:hAnsi="Arial" w:cs="Arial"/>
          <w:lang w:val="en-GB"/>
        </w:rPr>
        <w:t>508 of 28 June 2011 “On the Approval of the List of Products Subject to Environmental Protection Criteria in Public Procurement, Environmental Protection Criteria, and the Procedure for Applying Environmental Protection Criteria by Contracting Authorities and Contracting Entities when Purchasing Goods, Services or Works”, specifically Section II, paragraph 4.4.4.1.</w:t>
      </w:r>
    </w:p>
    <w:p w14:paraId="2C2E1EB1" w14:textId="77777777" w:rsidR="00C35403" w:rsidRPr="00086A85" w:rsidRDefault="00C35403" w:rsidP="00C35403">
      <w:pPr>
        <w:spacing w:after="0"/>
        <w:jc w:val="right"/>
        <w:rPr>
          <w:rFonts w:ascii="Arial" w:eastAsia="Arial" w:hAnsi="Arial" w:cs="Arial"/>
          <w:b/>
          <w:bCs/>
          <w:lang w:val="en-GB"/>
        </w:rPr>
      </w:pPr>
      <w:r w:rsidRPr="00086A85">
        <w:rPr>
          <w:rFonts w:ascii="Arial" w:eastAsia="Arial" w:hAnsi="Arial" w:cs="Arial"/>
          <w:b/>
          <w:bCs/>
          <w:lang w:val="en-GB"/>
        </w:rPr>
        <w:t xml:space="preserve">3 </w:t>
      </w:r>
      <w:proofErr w:type="spellStart"/>
      <w:r w:rsidRPr="00086A85">
        <w:rPr>
          <w:rFonts w:ascii="Arial" w:eastAsia="Arial" w:hAnsi="Arial" w:cs="Arial"/>
          <w:b/>
          <w:bCs/>
          <w:lang w:val="en-GB"/>
        </w:rPr>
        <w:t>lentelė</w:t>
      </w:r>
      <w:proofErr w:type="spellEnd"/>
      <w:r w:rsidRPr="00086A85">
        <w:rPr>
          <w:rFonts w:ascii="Arial" w:eastAsia="Arial" w:hAnsi="Arial" w:cs="Arial"/>
          <w:b/>
          <w:bCs/>
          <w:lang w:val="en-GB"/>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529"/>
        <w:gridCol w:w="3117"/>
      </w:tblGrid>
      <w:tr w:rsidR="00C35403" w:rsidRPr="00086A85" w14:paraId="5AD42036" w14:textId="77777777" w:rsidTr="0077607D">
        <w:tc>
          <w:tcPr>
            <w:tcW w:w="704" w:type="dxa"/>
          </w:tcPr>
          <w:p w14:paraId="005C3729" w14:textId="0D862029" w:rsidR="00C35403" w:rsidRPr="00086A85" w:rsidRDefault="00086A85" w:rsidP="0077607D">
            <w:pPr>
              <w:rPr>
                <w:rFonts w:ascii="Arial" w:eastAsia="Arial" w:hAnsi="Arial" w:cs="Arial"/>
                <w:b/>
                <w:bCs/>
                <w:lang w:val="en-GB"/>
              </w:rPr>
            </w:pPr>
            <w:r w:rsidRPr="00086A85">
              <w:rPr>
                <w:rFonts w:ascii="Arial" w:eastAsia="Arial" w:hAnsi="Arial" w:cs="Arial"/>
                <w:b/>
                <w:bCs/>
                <w:lang w:val="en-GB"/>
              </w:rPr>
              <w:t>Item</w:t>
            </w:r>
            <w:r w:rsidR="00C35403" w:rsidRPr="00086A85">
              <w:rPr>
                <w:rFonts w:ascii="Arial" w:eastAsia="Arial" w:hAnsi="Arial" w:cs="Arial"/>
                <w:b/>
                <w:bCs/>
                <w:lang w:val="en-GB"/>
              </w:rPr>
              <w:t>. N</w:t>
            </w:r>
            <w:r w:rsidRPr="00086A85">
              <w:rPr>
                <w:rFonts w:ascii="Arial" w:eastAsia="Arial" w:hAnsi="Arial" w:cs="Arial"/>
                <w:b/>
                <w:bCs/>
                <w:lang w:val="en-GB"/>
              </w:rPr>
              <w:t>o</w:t>
            </w:r>
            <w:r w:rsidR="00C35403" w:rsidRPr="00086A85">
              <w:rPr>
                <w:rFonts w:ascii="Arial" w:eastAsia="Arial" w:hAnsi="Arial" w:cs="Arial"/>
                <w:b/>
                <w:bCs/>
                <w:lang w:val="en-GB"/>
              </w:rPr>
              <w:t>.</w:t>
            </w:r>
          </w:p>
        </w:tc>
        <w:tc>
          <w:tcPr>
            <w:tcW w:w="5529" w:type="dxa"/>
          </w:tcPr>
          <w:p w14:paraId="6CBCBE9D" w14:textId="0DDB5439" w:rsidR="00C35403" w:rsidRPr="00086A85" w:rsidRDefault="00086A85" w:rsidP="0077607D">
            <w:pPr>
              <w:jc w:val="center"/>
              <w:rPr>
                <w:rFonts w:ascii="Arial" w:eastAsia="Arial" w:hAnsi="Arial" w:cs="Arial"/>
                <w:b/>
                <w:bCs/>
                <w:lang w:val="en-GB"/>
              </w:rPr>
            </w:pPr>
            <w:r w:rsidRPr="00086A85">
              <w:rPr>
                <w:rFonts w:ascii="Arial" w:eastAsia="Arial" w:hAnsi="Arial" w:cs="Arial"/>
                <w:b/>
                <w:bCs/>
                <w:lang w:val="en-GB"/>
              </w:rPr>
              <w:t>Requirement</w:t>
            </w:r>
          </w:p>
        </w:tc>
        <w:tc>
          <w:tcPr>
            <w:tcW w:w="3117" w:type="dxa"/>
          </w:tcPr>
          <w:p w14:paraId="1FE97903" w14:textId="4C32A0DE" w:rsidR="00C35403" w:rsidRPr="00086A85" w:rsidRDefault="00086A85" w:rsidP="0077607D">
            <w:pPr>
              <w:jc w:val="center"/>
              <w:rPr>
                <w:rFonts w:ascii="Arial" w:eastAsia="Arial" w:hAnsi="Arial" w:cs="Arial"/>
                <w:b/>
                <w:bCs/>
                <w:lang w:val="en-GB"/>
              </w:rPr>
            </w:pPr>
            <w:r w:rsidRPr="00086A85">
              <w:rPr>
                <w:rFonts w:ascii="Arial" w:eastAsia="Arial" w:hAnsi="Arial" w:cs="Arial"/>
                <w:b/>
                <w:bCs/>
                <w:lang w:val="en-GB"/>
              </w:rPr>
              <w:t>Documents proving compliance</w:t>
            </w:r>
          </w:p>
        </w:tc>
      </w:tr>
      <w:tr w:rsidR="00C35403" w:rsidRPr="00086A85" w14:paraId="4E4A2A71" w14:textId="77777777" w:rsidTr="0077607D">
        <w:tc>
          <w:tcPr>
            <w:tcW w:w="704" w:type="dxa"/>
          </w:tcPr>
          <w:p w14:paraId="16E49355" w14:textId="77777777" w:rsidR="00C35403" w:rsidRPr="00086A85" w:rsidRDefault="00C35403" w:rsidP="0077607D">
            <w:pPr>
              <w:jc w:val="center"/>
              <w:rPr>
                <w:rFonts w:ascii="Arial" w:eastAsia="Arial" w:hAnsi="Arial" w:cs="Arial"/>
                <w:lang w:val="en-GB"/>
              </w:rPr>
            </w:pPr>
            <w:r w:rsidRPr="00086A85">
              <w:rPr>
                <w:rFonts w:ascii="Arial" w:eastAsia="Arial" w:hAnsi="Arial" w:cs="Arial"/>
                <w:lang w:val="en-GB"/>
              </w:rPr>
              <w:t>1.</w:t>
            </w:r>
          </w:p>
        </w:tc>
        <w:tc>
          <w:tcPr>
            <w:tcW w:w="5529" w:type="dxa"/>
          </w:tcPr>
          <w:p w14:paraId="59F4E3F1" w14:textId="7075E01B" w:rsidR="00C35403" w:rsidRPr="00086A85" w:rsidRDefault="00086A85" w:rsidP="0077607D">
            <w:pPr>
              <w:pBdr>
                <w:top w:val="nil"/>
                <w:left w:val="nil"/>
                <w:bottom w:val="nil"/>
                <w:right w:val="nil"/>
                <w:between w:val="nil"/>
              </w:pBdr>
              <w:jc w:val="both"/>
              <w:rPr>
                <w:rFonts w:ascii="Arial" w:eastAsia="Arial" w:hAnsi="Arial" w:cs="Arial"/>
                <w:i/>
                <w:iCs/>
                <w:color w:val="FF0000"/>
                <w:lang w:val="en-GB"/>
              </w:rPr>
            </w:pPr>
            <w:r w:rsidRPr="00086A85">
              <w:rPr>
                <w:rFonts w:ascii="Arial" w:eastAsia="Arial" w:hAnsi="Arial" w:cs="Arial"/>
                <w:color w:val="000000"/>
                <w:lang w:val="en-GB"/>
              </w:rPr>
              <w:t>The specific requirement is set out in paragraph 13.1 of the Special Conditions of Annex 3 “Draft Contract” to the Specific Procurement Conditions.</w:t>
            </w:r>
          </w:p>
        </w:tc>
        <w:tc>
          <w:tcPr>
            <w:tcW w:w="3117" w:type="dxa"/>
          </w:tcPr>
          <w:p w14:paraId="0C2A4FF5" w14:textId="3A172BEB" w:rsidR="00C35403" w:rsidRPr="00086A85" w:rsidRDefault="00086A85" w:rsidP="0077607D">
            <w:pPr>
              <w:jc w:val="both"/>
              <w:rPr>
                <w:rFonts w:ascii="Arial" w:eastAsia="Arial" w:hAnsi="Arial" w:cs="Arial"/>
                <w:i/>
                <w:iCs/>
                <w:color w:val="FF0000"/>
                <w:lang w:val="en-GB"/>
              </w:rPr>
            </w:pPr>
            <w:r w:rsidRPr="00086A85">
              <w:rPr>
                <w:rFonts w:ascii="Arial" w:eastAsia="Arial" w:hAnsi="Arial" w:cs="Arial"/>
                <w:color w:val="000000"/>
                <w:lang w:val="en-GB"/>
              </w:rPr>
              <w:t xml:space="preserve">The Supplier is </w:t>
            </w:r>
            <w:r w:rsidRPr="00086A85">
              <w:rPr>
                <w:rFonts w:ascii="Arial" w:eastAsia="Arial" w:hAnsi="Arial" w:cs="Arial"/>
                <w:b/>
                <w:bCs/>
                <w:color w:val="000000"/>
                <w:lang w:val="en-GB"/>
              </w:rPr>
              <w:t xml:space="preserve">not required </w:t>
            </w:r>
            <w:r w:rsidRPr="00086A85">
              <w:rPr>
                <w:rFonts w:ascii="Arial" w:eastAsia="Arial" w:hAnsi="Arial" w:cs="Arial"/>
                <w:color w:val="000000"/>
                <w:lang w:val="en-GB"/>
              </w:rPr>
              <w:t>to submit documents proving compliance together with the tender. The Contracting Authority will verify compliance with this requirement during Contract performance.</w:t>
            </w:r>
          </w:p>
        </w:tc>
      </w:tr>
    </w:tbl>
    <w:p w14:paraId="0E4B12FC" w14:textId="77777777" w:rsidR="00C35403" w:rsidRPr="00086A85" w:rsidRDefault="00C35403" w:rsidP="00C35403">
      <w:pPr>
        <w:rPr>
          <w:rFonts w:ascii="Arial" w:hAnsi="Arial" w:cs="Arial"/>
          <w:lang w:val="en-GB"/>
        </w:rPr>
      </w:pPr>
    </w:p>
    <w:p w14:paraId="71241088" w14:textId="2802A91B" w:rsidR="00C35403" w:rsidRPr="00086A85" w:rsidRDefault="00C35403" w:rsidP="00C35403">
      <w:pPr>
        <w:numPr>
          <w:ilvl w:val="0"/>
          <w:numId w:val="6"/>
        </w:numPr>
        <w:pBdr>
          <w:top w:val="single" w:sz="8" w:space="1" w:color="auto"/>
          <w:bottom w:val="single" w:sz="8" w:space="1" w:color="auto"/>
        </w:pBdr>
        <w:shd w:val="clear" w:color="auto" w:fill="D9D9D9"/>
        <w:tabs>
          <w:tab w:val="num" w:pos="284"/>
        </w:tabs>
        <w:spacing w:after="0" w:line="240" w:lineRule="auto"/>
        <w:ind w:left="0" w:firstLine="0"/>
        <w:textAlignment w:val="baseline"/>
        <w:rPr>
          <w:rFonts w:ascii="Arial" w:eastAsia="Times New Roman" w:hAnsi="Arial" w:cs="Arial"/>
          <w:b/>
          <w:bCs/>
          <w:lang w:val="en-GB" w:eastAsia="lt-LT"/>
        </w:rPr>
      </w:pPr>
      <w:r w:rsidRPr="00086A85">
        <w:rPr>
          <w:rFonts w:ascii="Arial" w:eastAsia="Times New Roman" w:hAnsi="Arial" w:cs="Arial"/>
          <w:b/>
          <w:bCs/>
          <w:lang w:val="en-GB" w:eastAsia="lt-LT"/>
        </w:rPr>
        <w:t> </w:t>
      </w:r>
      <w:r w:rsidR="00086A85" w:rsidRPr="00086A85">
        <w:rPr>
          <w:rFonts w:ascii="Arial" w:eastAsia="Times New Roman" w:hAnsi="Arial" w:cs="Arial"/>
          <w:b/>
          <w:bCs/>
          <w:lang w:val="en-GB" w:eastAsia="lt-LT"/>
        </w:rPr>
        <w:t>OTHER INFORMATION</w:t>
      </w:r>
    </w:p>
    <w:p w14:paraId="31A3BCE1" w14:textId="77777777" w:rsidR="00086A85" w:rsidRPr="00086A85" w:rsidRDefault="00086A85" w:rsidP="00086A85">
      <w:p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t xml:space="preserve">5.1. The Supplier must ensure that, at the time of delivery, the goods comply with the </w:t>
      </w:r>
      <w:r w:rsidRPr="00086A85">
        <w:rPr>
          <w:rFonts w:ascii="Arial" w:eastAsia="Times New Roman" w:hAnsi="Arial" w:cs="Arial"/>
          <w:b/>
          <w:bCs/>
          <w:lang w:val="en-GB" w:eastAsia="lt-LT"/>
        </w:rPr>
        <w:t>efficiency, sustainability and durability requirements</w:t>
      </w:r>
      <w:r w:rsidRPr="00086A85">
        <w:rPr>
          <w:rFonts w:ascii="Arial" w:eastAsia="Times New Roman" w:hAnsi="Arial" w:cs="Arial"/>
          <w:lang w:val="en-GB" w:eastAsia="lt-LT"/>
        </w:rPr>
        <w:t xml:space="preserve"> established by:</w:t>
      </w:r>
    </w:p>
    <w:p w14:paraId="7191DEA0" w14:textId="77777777" w:rsidR="00086A85" w:rsidRPr="00086A85" w:rsidRDefault="00086A85" w:rsidP="00086A85">
      <w:pPr>
        <w:numPr>
          <w:ilvl w:val="0"/>
          <w:numId w:val="8"/>
        </w:num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t xml:space="preserve">Directive 2009/125/EC of the European Parliament and of the Council of 21 October 2009 establishing a framework for the setting of </w:t>
      </w:r>
      <w:proofErr w:type="spellStart"/>
      <w:r w:rsidRPr="00086A85">
        <w:rPr>
          <w:rFonts w:ascii="Arial" w:eastAsia="Times New Roman" w:hAnsi="Arial" w:cs="Arial"/>
          <w:lang w:val="en-GB" w:eastAsia="lt-LT"/>
        </w:rPr>
        <w:t>ecodesign</w:t>
      </w:r>
      <w:proofErr w:type="spellEnd"/>
      <w:r w:rsidRPr="00086A85">
        <w:rPr>
          <w:rFonts w:ascii="Arial" w:eastAsia="Times New Roman" w:hAnsi="Arial" w:cs="Arial"/>
          <w:lang w:val="en-GB" w:eastAsia="lt-LT"/>
        </w:rPr>
        <w:t xml:space="preserve"> requirements for energy</w:t>
      </w:r>
      <w:r w:rsidRPr="00086A85">
        <w:rPr>
          <w:rFonts w:ascii="Arial" w:eastAsia="Times New Roman" w:hAnsi="Arial" w:cs="Arial"/>
          <w:lang w:val="en-GB" w:eastAsia="lt-LT"/>
        </w:rPr>
        <w:noBreakHyphen/>
        <w:t>related products;</w:t>
      </w:r>
    </w:p>
    <w:p w14:paraId="041686A2" w14:textId="77777777" w:rsidR="00086A85" w:rsidRPr="00086A85" w:rsidRDefault="00086A85" w:rsidP="00086A85">
      <w:pPr>
        <w:numPr>
          <w:ilvl w:val="0"/>
          <w:numId w:val="8"/>
        </w:num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lastRenderedPageBreak/>
        <w:t>Directive 2011/65/EU of the European Parliament and of the Council of 8 June 2011 on the restriction of the use of certain hazardous substances in electrical and electronic equipment (RoHS).</w:t>
      </w:r>
    </w:p>
    <w:p w14:paraId="6F37948B" w14:textId="77777777" w:rsidR="00086A85" w:rsidRPr="00086A85" w:rsidRDefault="00086A85" w:rsidP="00086A85">
      <w:p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t>The Buyer will assess compliance with this requirement at the time of delivery.</w:t>
      </w:r>
    </w:p>
    <w:p w14:paraId="424A9254" w14:textId="77777777" w:rsidR="00086A85" w:rsidRPr="00086A85" w:rsidRDefault="00086A85" w:rsidP="00086A85">
      <w:p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t xml:space="preserve">The Supplier, during the performance of the Contract, must submit together with the delivered goods a </w:t>
      </w:r>
      <w:r w:rsidRPr="00086A85">
        <w:rPr>
          <w:rFonts w:ascii="Arial" w:eastAsia="Times New Roman" w:hAnsi="Arial" w:cs="Arial"/>
          <w:b/>
          <w:bCs/>
          <w:lang w:val="en-GB" w:eastAsia="lt-LT"/>
        </w:rPr>
        <w:t>CE certificate</w:t>
      </w:r>
      <w:r w:rsidRPr="00086A85">
        <w:rPr>
          <w:rFonts w:ascii="Arial" w:eastAsia="Times New Roman" w:hAnsi="Arial" w:cs="Arial"/>
          <w:lang w:val="en-GB" w:eastAsia="lt-LT"/>
        </w:rPr>
        <w:t xml:space="preserve"> issued by a notified body, or an </w:t>
      </w:r>
      <w:r w:rsidRPr="00086A85">
        <w:rPr>
          <w:rFonts w:ascii="Arial" w:eastAsia="Times New Roman" w:hAnsi="Arial" w:cs="Arial"/>
          <w:b/>
          <w:bCs/>
          <w:lang w:val="en-GB" w:eastAsia="lt-LT"/>
        </w:rPr>
        <w:t>EU Declaration of Conformity</w:t>
      </w:r>
      <w:r w:rsidRPr="00086A85">
        <w:rPr>
          <w:rFonts w:ascii="Arial" w:eastAsia="Times New Roman" w:hAnsi="Arial" w:cs="Arial"/>
          <w:lang w:val="en-GB" w:eastAsia="lt-LT"/>
        </w:rPr>
        <w:t xml:space="preserve">, or a </w:t>
      </w:r>
      <w:r w:rsidRPr="00086A85">
        <w:rPr>
          <w:rFonts w:ascii="Arial" w:eastAsia="Times New Roman" w:hAnsi="Arial" w:cs="Arial"/>
          <w:b/>
          <w:bCs/>
          <w:lang w:val="en-GB" w:eastAsia="lt-LT"/>
        </w:rPr>
        <w:t>manufacturer’s Declaration of Conformity</w:t>
      </w:r>
      <w:r w:rsidRPr="00086A85">
        <w:rPr>
          <w:rFonts w:ascii="Arial" w:eastAsia="Times New Roman" w:hAnsi="Arial" w:cs="Arial"/>
          <w:lang w:val="en-GB" w:eastAsia="lt-LT"/>
        </w:rPr>
        <w:t xml:space="preserve"> (whichever applies to the procurement object under the relevant legislation). When submitting an EU Declaration of Conformity or a manufacturer’s Declaration of Conformity confirming that the offered goods comply with the required standards and applicable regulations for the product category, the Supplier must also provide </w:t>
      </w:r>
      <w:r w:rsidRPr="00086A85">
        <w:rPr>
          <w:rFonts w:ascii="Arial" w:eastAsia="Times New Roman" w:hAnsi="Arial" w:cs="Arial"/>
          <w:b/>
          <w:bCs/>
          <w:lang w:val="en-GB" w:eastAsia="lt-LT"/>
        </w:rPr>
        <w:t>technical documentation</w:t>
      </w:r>
      <w:r w:rsidRPr="00086A85">
        <w:rPr>
          <w:rFonts w:ascii="Arial" w:eastAsia="Times New Roman" w:hAnsi="Arial" w:cs="Arial"/>
          <w:lang w:val="en-GB" w:eastAsia="lt-LT"/>
        </w:rPr>
        <w:t xml:space="preserve"> supporting the product’s compliance with the required standards and regulations.</w:t>
      </w:r>
    </w:p>
    <w:p w14:paraId="41DC87D8" w14:textId="77777777" w:rsidR="00086A85" w:rsidRPr="00086A85" w:rsidRDefault="00086A85" w:rsidP="00086A85">
      <w:pPr>
        <w:spacing w:after="0" w:line="240" w:lineRule="auto"/>
        <w:jc w:val="both"/>
        <w:rPr>
          <w:rFonts w:ascii="Arial" w:eastAsia="Times New Roman" w:hAnsi="Arial" w:cs="Arial"/>
          <w:lang w:val="en-GB" w:eastAsia="lt-LT"/>
        </w:rPr>
      </w:pPr>
      <w:r w:rsidRPr="00086A85">
        <w:rPr>
          <w:rFonts w:ascii="Arial" w:eastAsia="Times New Roman" w:hAnsi="Arial" w:cs="Arial"/>
          <w:lang w:val="en-GB" w:eastAsia="lt-LT"/>
        </w:rPr>
        <w:t xml:space="preserve">If, under European Union legislation, the goods are </w:t>
      </w:r>
      <w:r w:rsidRPr="00086A85">
        <w:rPr>
          <w:rFonts w:ascii="Arial" w:eastAsia="Times New Roman" w:hAnsi="Arial" w:cs="Arial"/>
          <w:b/>
          <w:bCs/>
          <w:lang w:val="en-GB" w:eastAsia="lt-LT"/>
        </w:rPr>
        <w:t>not subject to mandatory CE marking</w:t>
      </w:r>
      <w:r w:rsidRPr="00086A85">
        <w:rPr>
          <w:rFonts w:ascii="Arial" w:eastAsia="Times New Roman" w:hAnsi="Arial" w:cs="Arial"/>
          <w:lang w:val="en-GB" w:eastAsia="lt-LT"/>
        </w:rPr>
        <w:t xml:space="preserve">, the Supplier must provide a </w:t>
      </w:r>
      <w:r w:rsidRPr="00086A85">
        <w:rPr>
          <w:rFonts w:ascii="Arial" w:eastAsia="Times New Roman" w:hAnsi="Arial" w:cs="Arial"/>
          <w:b/>
          <w:bCs/>
          <w:lang w:val="en-GB" w:eastAsia="lt-LT"/>
        </w:rPr>
        <w:t>written justification</w:t>
      </w:r>
      <w:r w:rsidRPr="00086A85">
        <w:rPr>
          <w:rFonts w:ascii="Arial" w:eastAsia="Times New Roman" w:hAnsi="Arial" w:cs="Arial"/>
          <w:lang w:val="en-GB" w:eastAsia="lt-LT"/>
        </w:rPr>
        <w:t xml:space="preserve"> confirming that CE marking is not required for the goods under the applicable legal acts.</w:t>
      </w:r>
    </w:p>
    <w:p w14:paraId="79371DDE" w14:textId="77777777" w:rsidR="00C35403" w:rsidRPr="00086A85" w:rsidRDefault="00C35403" w:rsidP="00C35403">
      <w:pPr>
        <w:rPr>
          <w:rFonts w:ascii="Arial" w:hAnsi="Arial" w:cs="Arial"/>
          <w:lang w:val="en-GB"/>
        </w:rPr>
      </w:pPr>
    </w:p>
    <w:p w14:paraId="5281B978" w14:textId="77777777" w:rsidR="00C35403" w:rsidRPr="00086A85" w:rsidRDefault="00C35403" w:rsidP="00C35403">
      <w:pPr>
        <w:rPr>
          <w:rFonts w:ascii="Arial" w:hAnsi="Arial" w:cs="Arial"/>
          <w:lang w:val="en-GB"/>
        </w:rPr>
      </w:pPr>
    </w:p>
    <w:p w14:paraId="7D61DE2D" w14:textId="77777777" w:rsidR="00C35403" w:rsidRPr="00086A85" w:rsidRDefault="00C35403" w:rsidP="00C35403">
      <w:pPr>
        <w:rPr>
          <w:rFonts w:ascii="Arial" w:hAnsi="Arial" w:cs="Arial"/>
          <w:lang w:val="en-GB"/>
        </w:rPr>
      </w:pPr>
    </w:p>
    <w:p w14:paraId="78382D09" w14:textId="77777777" w:rsidR="00237F5D" w:rsidRPr="00086A85" w:rsidRDefault="00237F5D">
      <w:pPr>
        <w:rPr>
          <w:rFonts w:ascii="Arial" w:hAnsi="Arial" w:cs="Arial"/>
          <w:lang w:val="en-GB"/>
        </w:rPr>
      </w:pPr>
    </w:p>
    <w:sectPr w:rsidR="00237F5D" w:rsidRPr="00086A85" w:rsidSect="00CF2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C771" w14:textId="77777777" w:rsidR="00C35403" w:rsidRDefault="00C35403" w:rsidP="00C35403">
      <w:pPr>
        <w:spacing w:after="0" w:line="240" w:lineRule="auto"/>
      </w:pPr>
      <w:r>
        <w:separator/>
      </w:r>
    </w:p>
  </w:endnote>
  <w:endnote w:type="continuationSeparator" w:id="0">
    <w:p w14:paraId="792D8663" w14:textId="77777777" w:rsidR="00C35403" w:rsidRDefault="00C35403" w:rsidP="00C3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FE35" w14:textId="77777777" w:rsidR="00C35403" w:rsidRDefault="00C35403" w:rsidP="00C35403">
      <w:pPr>
        <w:spacing w:after="0" w:line="240" w:lineRule="auto"/>
      </w:pPr>
      <w:r>
        <w:separator/>
      </w:r>
    </w:p>
  </w:footnote>
  <w:footnote w:type="continuationSeparator" w:id="0">
    <w:p w14:paraId="07962EF9" w14:textId="77777777" w:rsidR="00C35403" w:rsidRDefault="00C35403" w:rsidP="00C35403">
      <w:pPr>
        <w:spacing w:after="0" w:line="240" w:lineRule="auto"/>
      </w:pPr>
      <w:r>
        <w:continuationSeparator/>
      </w:r>
    </w:p>
  </w:footnote>
  <w:footnote w:id="1">
    <w:p w14:paraId="0E5C17E9" w14:textId="77777777" w:rsidR="00086A85" w:rsidRPr="00086A85" w:rsidRDefault="00C35403" w:rsidP="00086A85">
      <w:pPr>
        <w:pStyle w:val="FootnoteText"/>
        <w:jc w:val="both"/>
        <w:rPr>
          <w:rFonts w:ascii="Arial" w:hAnsi="Arial" w:cs="Arial"/>
          <w:sz w:val="16"/>
          <w:szCs w:val="16"/>
          <w:lang w:val="en-GB"/>
        </w:rPr>
      </w:pPr>
      <w:r w:rsidRPr="00086A85">
        <w:rPr>
          <w:rStyle w:val="FootnoteReference"/>
          <w:rFonts w:ascii="Times New Roman" w:hAnsi="Times New Roman" w:cs="Times New Roman"/>
          <w:sz w:val="16"/>
          <w:szCs w:val="16"/>
          <w:lang w:val="en-GB"/>
        </w:rPr>
        <w:footnoteRef/>
      </w:r>
      <w:r w:rsidR="00086A85" w:rsidRPr="00086A85">
        <w:rPr>
          <w:rFonts w:ascii="Arial" w:hAnsi="Arial" w:cs="Arial"/>
          <w:sz w:val="16"/>
          <w:szCs w:val="16"/>
          <w:lang w:val="en-GB"/>
        </w:rPr>
        <w:t xml:space="preserve">A </w:t>
      </w:r>
      <w:r w:rsidR="00086A85" w:rsidRPr="00086A85">
        <w:rPr>
          <w:rFonts w:ascii="Arial" w:hAnsi="Arial" w:cs="Arial"/>
          <w:b/>
          <w:bCs/>
          <w:sz w:val="16"/>
          <w:szCs w:val="16"/>
          <w:lang w:val="en-GB"/>
        </w:rPr>
        <w:t>procurement object</w:t>
      </w:r>
      <w:r w:rsidR="00086A85" w:rsidRPr="00086A85">
        <w:rPr>
          <w:rFonts w:ascii="Arial" w:hAnsi="Arial" w:cs="Arial"/>
          <w:sz w:val="16"/>
          <w:szCs w:val="16"/>
          <w:lang w:val="en-GB"/>
        </w:rPr>
        <w:t xml:space="preserve"> shall be considered </w:t>
      </w:r>
      <w:r w:rsidR="00086A85" w:rsidRPr="00086A85">
        <w:rPr>
          <w:rFonts w:ascii="Arial" w:hAnsi="Arial" w:cs="Arial"/>
          <w:i/>
          <w:iCs/>
          <w:sz w:val="16"/>
          <w:szCs w:val="16"/>
          <w:lang w:val="en-GB"/>
        </w:rPr>
        <w:t>equivalent</w:t>
      </w:r>
      <w:r w:rsidR="00086A85" w:rsidRPr="00086A85">
        <w:rPr>
          <w:rFonts w:ascii="Arial" w:hAnsi="Arial" w:cs="Arial"/>
          <w:sz w:val="16"/>
          <w:szCs w:val="16"/>
          <w:lang w:val="en-GB"/>
        </w:rPr>
        <w:t xml:space="preserve"> if its properties are not inferior (i.e., the same or better) than the requirements set for the object being procured in the procurement documents, and the proposed equivalent procurement object can be used for its intended purpose without any limitations, including but not limited to the following:</w:t>
      </w:r>
    </w:p>
    <w:p w14:paraId="7E0DFA3E" w14:textId="77777777" w:rsidR="00086A85" w:rsidRPr="00086A85" w:rsidRDefault="00086A85" w:rsidP="00086A85">
      <w:pPr>
        <w:pStyle w:val="FootnoteText"/>
        <w:numPr>
          <w:ilvl w:val="0"/>
          <w:numId w:val="7"/>
        </w:numPr>
        <w:jc w:val="both"/>
        <w:rPr>
          <w:rFonts w:ascii="Arial" w:hAnsi="Arial" w:cs="Arial"/>
          <w:sz w:val="16"/>
          <w:szCs w:val="16"/>
          <w:lang w:val="en-GB"/>
        </w:rPr>
      </w:pPr>
      <w:r w:rsidRPr="00086A85">
        <w:rPr>
          <w:rFonts w:ascii="Arial" w:hAnsi="Arial" w:cs="Arial"/>
          <w:b/>
          <w:bCs/>
          <w:sz w:val="16"/>
          <w:szCs w:val="16"/>
          <w:lang w:val="en-GB"/>
        </w:rPr>
        <w:t>No replacement of interacting components</w:t>
      </w:r>
      <w:r w:rsidRPr="00086A85">
        <w:rPr>
          <w:rFonts w:ascii="Arial" w:hAnsi="Arial" w:cs="Arial"/>
          <w:sz w:val="16"/>
          <w:szCs w:val="16"/>
          <w:lang w:val="en-GB"/>
        </w:rPr>
        <w:t xml:space="preserve"> is required;</w:t>
      </w:r>
    </w:p>
    <w:p w14:paraId="794609FE" w14:textId="77777777" w:rsidR="00086A85" w:rsidRPr="00086A85" w:rsidRDefault="00086A85" w:rsidP="00086A85">
      <w:pPr>
        <w:pStyle w:val="FootnoteText"/>
        <w:numPr>
          <w:ilvl w:val="0"/>
          <w:numId w:val="7"/>
        </w:numPr>
        <w:jc w:val="both"/>
        <w:rPr>
          <w:rFonts w:ascii="Arial" w:hAnsi="Arial" w:cs="Arial"/>
          <w:sz w:val="16"/>
          <w:szCs w:val="16"/>
          <w:lang w:val="en-GB"/>
        </w:rPr>
      </w:pPr>
      <w:r w:rsidRPr="00086A85">
        <w:rPr>
          <w:rFonts w:ascii="Arial" w:hAnsi="Arial" w:cs="Arial"/>
          <w:sz w:val="16"/>
          <w:szCs w:val="16"/>
          <w:lang w:val="en-GB"/>
        </w:rPr>
        <w:t xml:space="preserve">Its use will </w:t>
      </w:r>
      <w:r w:rsidRPr="00086A85">
        <w:rPr>
          <w:rFonts w:ascii="Arial" w:hAnsi="Arial" w:cs="Arial"/>
          <w:b/>
          <w:bCs/>
          <w:sz w:val="16"/>
          <w:szCs w:val="16"/>
          <w:lang w:val="en-GB"/>
        </w:rPr>
        <w:t>not cause accelerated wear, malfunctions, and/or loss of warranty</w:t>
      </w:r>
      <w:r w:rsidRPr="00086A85">
        <w:rPr>
          <w:rFonts w:ascii="Arial" w:hAnsi="Arial" w:cs="Arial"/>
          <w:sz w:val="16"/>
          <w:szCs w:val="16"/>
          <w:lang w:val="en-GB"/>
        </w:rPr>
        <w:t xml:space="preserve"> of interacting components;</w:t>
      </w:r>
    </w:p>
    <w:p w14:paraId="0EFA3DA7" w14:textId="77777777" w:rsidR="00086A85" w:rsidRPr="00086A85" w:rsidRDefault="00086A85" w:rsidP="00086A85">
      <w:pPr>
        <w:pStyle w:val="FootnoteText"/>
        <w:numPr>
          <w:ilvl w:val="0"/>
          <w:numId w:val="7"/>
        </w:numPr>
        <w:jc w:val="both"/>
        <w:rPr>
          <w:rFonts w:ascii="Arial" w:hAnsi="Arial" w:cs="Arial"/>
          <w:sz w:val="16"/>
          <w:szCs w:val="16"/>
          <w:lang w:val="en-GB"/>
        </w:rPr>
      </w:pPr>
      <w:r w:rsidRPr="00086A85">
        <w:rPr>
          <w:rFonts w:ascii="Arial" w:hAnsi="Arial" w:cs="Arial"/>
          <w:sz w:val="16"/>
          <w:szCs w:val="16"/>
          <w:lang w:val="en-GB"/>
        </w:rPr>
        <w:t xml:space="preserve">The </w:t>
      </w:r>
      <w:r w:rsidRPr="00086A85">
        <w:rPr>
          <w:rFonts w:ascii="Arial" w:hAnsi="Arial" w:cs="Arial"/>
          <w:b/>
          <w:bCs/>
          <w:sz w:val="16"/>
          <w:szCs w:val="16"/>
          <w:lang w:val="en-GB"/>
        </w:rPr>
        <w:t>intended service life is not shorter</w:t>
      </w:r>
      <w:r w:rsidRPr="00086A85">
        <w:rPr>
          <w:rFonts w:ascii="Arial" w:hAnsi="Arial" w:cs="Arial"/>
          <w:sz w:val="16"/>
          <w:szCs w:val="16"/>
          <w:lang w:val="en-GB"/>
        </w:rPr>
        <w:t>;</w:t>
      </w:r>
    </w:p>
    <w:p w14:paraId="311BE432" w14:textId="77777777" w:rsidR="00086A85" w:rsidRPr="00086A85" w:rsidRDefault="00086A85" w:rsidP="00086A85">
      <w:pPr>
        <w:pStyle w:val="FootnoteText"/>
        <w:numPr>
          <w:ilvl w:val="0"/>
          <w:numId w:val="7"/>
        </w:numPr>
        <w:jc w:val="both"/>
        <w:rPr>
          <w:rFonts w:ascii="Arial" w:hAnsi="Arial" w:cs="Arial"/>
          <w:sz w:val="16"/>
          <w:szCs w:val="16"/>
          <w:lang w:val="en-GB"/>
        </w:rPr>
      </w:pPr>
      <w:r w:rsidRPr="00086A85">
        <w:rPr>
          <w:rFonts w:ascii="Arial" w:hAnsi="Arial" w:cs="Arial"/>
          <w:sz w:val="16"/>
          <w:szCs w:val="16"/>
          <w:lang w:val="en-GB"/>
        </w:rPr>
        <w:t xml:space="preserve">It is </w:t>
      </w:r>
      <w:r w:rsidRPr="00086A85">
        <w:rPr>
          <w:rFonts w:ascii="Arial" w:hAnsi="Arial" w:cs="Arial"/>
          <w:b/>
          <w:bCs/>
          <w:sz w:val="16"/>
          <w:szCs w:val="16"/>
          <w:lang w:val="en-GB"/>
        </w:rPr>
        <w:t>not of a lower level of technical advancement</w:t>
      </w:r>
      <w:r w:rsidRPr="00086A85">
        <w:rPr>
          <w:rFonts w:ascii="Arial" w:hAnsi="Arial" w:cs="Arial"/>
          <w:sz w:val="16"/>
          <w:szCs w:val="16"/>
          <w:lang w:val="en-GB"/>
        </w:rPr>
        <w:t>.</w:t>
      </w:r>
    </w:p>
    <w:p w14:paraId="160E124E" w14:textId="77777777" w:rsidR="00086A85" w:rsidRPr="00086A85" w:rsidRDefault="00086A85" w:rsidP="00086A85">
      <w:pPr>
        <w:pStyle w:val="FootnoteText"/>
        <w:jc w:val="both"/>
        <w:rPr>
          <w:rFonts w:ascii="Arial" w:hAnsi="Arial" w:cs="Arial"/>
          <w:sz w:val="16"/>
          <w:szCs w:val="16"/>
          <w:lang w:val="en-GB"/>
        </w:rPr>
      </w:pPr>
      <w:r w:rsidRPr="00086A85">
        <w:rPr>
          <w:rFonts w:ascii="Arial" w:hAnsi="Arial" w:cs="Arial"/>
          <w:sz w:val="16"/>
          <w:szCs w:val="16"/>
          <w:lang w:val="en-GB"/>
        </w:rPr>
        <w:t xml:space="preserve">When offering an equivalent procurement object, it is mandatory to submit documents proving compliance with the requirements set for the procurement object. Such documents may include a </w:t>
      </w:r>
      <w:r w:rsidRPr="00086A85">
        <w:rPr>
          <w:rFonts w:ascii="Arial" w:hAnsi="Arial" w:cs="Arial"/>
          <w:b/>
          <w:bCs/>
          <w:sz w:val="16"/>
          <w:szCs w:val="16"/>
          <w:lang w:val="en-GB"/>
        </w:rPr>
        <w:t>test report or certificate issued by a conformity assessment body established in the Republic of Lithuania</w:t>
      </w:r>
      <w:r w:rsidRPr="00086A85">
        <w:rPr>
          <w:rFonts w:ascii="Arial" w:hAnsi="Arial" w:cs="Arial"/>
          <w:sz w:val="16"/>
          <w:szCs w:val="16"/>
          <w:lang w:val="en-GB"/>
        </w:rPr>
        <w:t xml:space="preserve">, as well as certificates issued by </w:t>
      </w:r>
      <w:r w:rsidRPr="00086A85">
        <w:rPr>
          <w:rFonts w:ascii="Arial" w:hAnsi="Arial" w:cs="Arial"/>
          <w:b/>
          <w:bCs/>
          <w:sz w:val="16"/>
          <w:szCs w:val="16"/>
          <w:lang w:val="en-GB"/>
        </w:rPr>
        <w:t>equivalent conformity assessment bodies established in other countries</w:t>
      </w:r>
      <w:r w:rsidRPr="00086A85">
        <w:rPr>
          <w:rFonts w:ascii="Arial" w:hAnsi="Arial" w:cs="Arial"/>
          <w:sz w:val="16"/>
          <w:szCs w:val="16"/>
          <w:lang w:val="en-GB"/>
        </w:rPr>
        <w:t>.</w:t>
      </w:r>
    </w:p>
    <w:p w14:paraId="34E10065" w14:textId="77777777" w:rsidR="00086A85" w:rsidRPr="00086A85" w:rsidRDefault="00086A85" w:rsidP="00086A85">
      <w:pPr>
        <w:pStyle w:val="FootnoteText"/>
        <w:jc w:val="both"/>
        <w:rPr>
          <w:rFonts w:ascii="Arial" w:hAnsi="Arial" w:cs="Arial"/>
          <w:sz w:val="16"/>
          <w:szCs w:val="16"/>
          <w:lang w:val="en-GB"/>
        </w:rPr>
      </w:pPr>
      <w:r w:rsidRPr="00086A85">
        <w:rPr>
          <w:rFonts w:ascii="Arial" w:hAnsi="Arial" w:cs="Arial"/>
          <w:sz w:val="16"/>
          <w:szCs w:val="16"/>
          <w:lang w:val="en-GB"/>
        </w:rPr>
        <w:t xml:space="preserve">If the Supplier is unable to obtain the specified certificates or test reports due to circumstances beyond the Supplier’s control and can </w:t>
      </w:r>
      <w:r w:rsidRPr="00086A85">
        <w:rPr>
          <w:rFonts w:ascii="Arial" w:hAnsi="Arial" w:cs="Arial"/>
          <w:b/>
          <w:bCs/>
          <w:sz w:val="16"/>
          <w:szCs w:val="16"/>
          <w:lang w:val="en-GB"/>
        </w:rPr>
        <w:t>prove with objective written evidence</w:t>
      </w:r>
      <w:r w:rsidRPr="00086A85">
        <w:rPr>
          <w:rFonts w:ascii="Arial" w:hAnsi="Arial" w:cs="Arial"/>
          <w:sz w:val="16"/>
          <w:szCs w:val="16"/>
          <w:lang w:val="en-GB"/>
        </w:rPr>
        <w:t xml:space="preserve"> that the proposed equivalent procurement object meets the requirements or criteria specified in the Technical Specification, the proposal evaluation criteria, or the contract performance conditions, the Buyer shall accept other appropriate means of proof.</w:t>
      </w:r>
    </w:p>
    <w:p w14:paraId="36D8F62A" w14:textId="77777777" w:rsidR="00086A85" w:rsidRPr="00086A85" w:rsidRDefault="00086A85" w:rsidP="00086A85">
      <w:pPr>
        <w:pStyle w:val="FootnoteText"/>
        <w:jc w:val="both"/>
        <w:rPr>
          <w:rFonts w:ascii="Arial" w:hAnsi="Arial" w:cs="Arial"/>
          <w:sz w:val="16"/>
          <w:szCs w:val="16"/>
          <w:lang w:val="en-GB"/>
        </w:rPr>
      </w:pPr>
      <w:r w:rsidRPr="00086A85">
        <w:rPr>
          <w:rFonts w:ascii="Arial" w:hAnsi="Arial" w:cs="Arial"/>
          <w:sz w:val="16"/>
          <w:szCs w:val="16"/>
          <w:lang w:val="en-GB"/>
        </w:rPr>
        <w:t xml:space="preserve">However, a </w:t>
      </w:r>
      <w:r w:rsidRPr="00086A85">
        <w:rPr>
          <w:rFonts w:ascii="Arial" w:hAnsi="Arial" w:cs="Arial"/>
          <w:b/>
          <w:bCs/>
          <w:sz w:val="16"/>
          <w:szCs w:val="16"/>
          <w:lang w:val="en-GB"/>
        </w:rPr>
        <w:t>Supplier’s self</w:t>
      </w:r>
      <w:r w:rsidRPr="00086A85">
        <w:rPr>
          <w:rFonts w:ascii="Arial" w:hAnsi="Arial" w:cs="Arial"/>
          <w:b/>
          <w:bCs/>
          <w:sz w:val="16"/>
          <w:szCs w:val="16"/>
          <w:lang w:val="en-GB"/>
        </w:rPr>
        <w:noBreakHyphen/>
        <w:t>declaration without specific technical evidence shall not be considered an appropriate means of proof</w:t>
      </w:r>
      <w:r w:rsidRPr="00086A85">
        <w:rPr>
          <w:rFonts w:ascii="Arial" w:hAnsi="Arial" w:cs="Arial"/>
          <w:sz w:val="16"/>
          <w:szCs w:val="16"/>
          <w:lang w:val="en-GB"/>
        </w:rPr>
        <w:t>.</w:t>
      </w:r>
    </w:p>
    <w:p w14:paraId="3C686A12" w14:textId="77777777" w:rsidR="00086A85" w:rsidRPr="00086A85" w:rsidRDefault="00086A85" w:rsidP="00086A85">
      <w:pPr>
        <w:pStyle w:val="FootnoteText"/>
        <w:jc w:val="both"/>
        <w:rPr>
          <w:rFonts w:ascii="Arial" w:hAnsi="Arial" w:cs="Arial"/>
          <w:sz w:val="16"/>
          <w:szCs w:val="16"/>
          <w:lang w:val="en-GB"/>
        </w:rPr>
      </w:pPr>
      <w:r w:rsidRPr="00086A85">
        <w:rPr>
          <w:rFonts w:ascii="Arial" w:hAnsi="Arial" w:cs="Arial"/>
          <w:sz w:val="16"/>
          <w:szCs w:val="16"/>
          <w:lang w:val="en-GB"/>
        </w:rPr>
        <w:t xml:space="preserve">The Buyer reserves the right to perform a </w:t>
      </w:r>
      <w:r w:rsidRPr="00086A85">
        <w:rPr>
          <w:rFonts w:ascii="Arial" w:hAnsi="Arial" w:cs="Arial"/>
          <w:b/>
          <w:bCs/>
          <w:sz w:val="16"/>
          <w:szCs w:val="16"/>
          <w:lang w:val="en-GB"/>
        </w:rPr>
        <w:t>Risk Assessment</w:t>
      </w:r>
      <w:r w:rsidRPr="00086A85">
        <w:rPr>
          <w:rFonts w:ascii="Arial" w:hAnsi="Arial" w:cs="Arial"/>
          <w:sz w:val="16"/>
          <w:szCs w:val="16"/>
          <w:lang w:val="en-GB"/>
        </w:rPr>
        <w:t xml:space="preserve"> if the documents submitted to demonstrate equivalence of the proposed goods are insufficient.</w:t>
      </w:r>
    </w:p>
    <w:p w14:paraId="362CB2DA" w14:textId="0CBA12F4" w:rsidR="00C35403" w:rsidRPr="00086A85" w:rsidRDefault="00C35403" w:rsidP="00086A85">
      <w:pPr>
        <w:pStyle w:val="FootnoteText"/>
        <w:jc w:val="both"/>
        <w:rPr>
          <w:rFonts w:ascii="Arial" w:hAnsi="Arial" w:cs="Arial"/>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1FE7"/>
    <w:multiLevelType w:val="hybridMultilevel"/>
    <w:tmpl w:val="6D4ED642"/>
    <w:lvl w:ilvl="0" w:tplc="68D88BBE">
      <w:start w:val="90"/>
      <w:numFmt w:val="decimal"/>
      <w:lvlText w:val="%1"/>
      <w:lvlJc w:val="left"/>
      <w:pPr>
        <w:ind w:left="344" w:hanging="360"/>
      </w:pPr>
      <w:rPr>
        <w:rFonts w:hint="default"/>
        <w:color w:val="auto"/>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1" w15:restartNumberingAfterBreak="0">
    <w:nsid w:val="0B6F4EF8"/>
    <w:multiLevelType w:val="multilevel"/>
    <w:tmpl w:val="ED348968"/>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A46E4F"/>
    <w:multiLevelType w:val="multilevel"/>
    <w:tmpl w:val="4968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B632B"/>
    <w:multiLevelType w:val="multilevel"/>
    <w:tmpl w:val="42C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7D0713"/>
    <w:multiLevelType w:val="multilevel"/>
    <w:tmpl w:val="1FC04A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7"/>
  </w:num>
  <w:num w:numId="4">
    <w:abstractNumId w:val="5"/>
  </w:num>
  <w:num w:numId="5">
    <w:abstractNumId w:val="0"/>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3"/>
    <w:rsid w:val="00086A85"/>
    <w:rsid w:val="00237F5D"/>
    <w:rsid w:val="00C35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0965"/>
  <w15:chartTrackingRefBased/>
  <w15:docId w15:val="{DF786B0B-542E-4696-8276-970D70D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4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35403"/>
    <w:pPr>
      <w:ind w:left="720"/>
      <w:contextualSpacing/>
    </w:pPr>
  </w:style>
  <w:style w:type="paragraph" w:styleId="FootnoteText">
    <w:name w:val="footnote text"/>
    <w:basedOn w:val="Normal"/>
    <w:link w:val="FootnoteTextChar"/>
    <w:uiPriority w:val="99"/>
    <w:unhideWhenUsed/>
    <w:rsid w:val="00C35403"/>
    <w:pPr>
      <w:spacing w:after="0" w:line="240" w:lineRule="auto"/>
    </w:pPr>
    <w:rPr>
      <w:sz w:val="20"/>
      <w:szCs w:val="20"/>
    </w:rPr>
  </w:style>
  <w:style w:type="character" w:customStyle="1" w:styleId="FootnoteTextChar">
    <w:name w:val="Footnote Text Char"/>
    <w:basedOn w:val="DefaultParagraphFont"/>
    <w:link w:val="FootnoteText"/>
    <w:uiPriority w:val="99"/>
    <w:rsid w:val="00C35403"/>
    <w:rPr>
      <w:sz w:val="20"/>
      <w:szCs w:val="20"/>
    </w:rPr>
  </w:style>
  <w:style w:type="character" w:styleId="FootnoteReference">
    <w:name w:val="footnote reference"/>
    <w:basedOn w:val="DefaultParagraphFont"/>
    <w:uiPriority w:val="99"/>
    <w:semiHidden/>
    <w:unhideWhenUsed/>
    <w:rsid w:val="00C3540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35403"/>
  </w:style>
  <w:style w:type="paragraph" w:styleId="NormalWeb">
    <w:name w:val="Normal (Web)"/>
    <w:basedOn w:val="Normal"/>
    <w:uiPriority w:val="99"/>
    <w:unhideWhenUsed/>
    <w:rsid w:val="00C354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35403"/>
    <w:rPr>
      <w:sz w:val="16"/>
      <w:szCs w:val="16"/>
    </w:rPr>
  </w:style>
  <w:style w:type="paragraph" w:styleId="CommentText">
    <w:name w:val="annotation text"/>
    <w:basedOn w:val="Normal"/>
    <w:link w:val="CommentTextChar"/>
    <w:unhideWhenUsed/>
    <w:rsid w:val="00C35403"/>
    <w:pPr>
      <w:spacing w:line="240" w:lineRule="auto"/>
    </w:pPr>
    <w:rPr>
      <w:sz w:val="20"/>
      <w:szCs w:val="20"/>
    </w:rPr>
  </w:style>
  <w:style w:type="character" w:customStyle="1" w:styleId="CommentTextChar">
    <w:name w:val="Comment Text Char"/>
    <w:basedOn w:val="DefaultParagraphFont"/>
    <w:link w:val="CommentText"/>
    <w:rsid w:val="00C35403"/>
    <w:rPr>
      <w:sz w:val="20"/>
      <w:szCs w:val="20"/>
    </w:rPr>
  </w:style>
  <w:style w:type="character" w:styleId="Strong">
    <w:name w:val="Strong"/>
    <w:basedOn w:val="DefaultParagraphFont"/>
    <w:uiPriority w:val="22"/>
    <w:qFormat/>
    <w:rsid w:val="00086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65142">
      <w:bodyDiv w:val="1"/>
      <w:marLeft w:val="0"/>
      <w:marRight w:val="0"/>
      <w:marTop w:val="0"/>
      <w:marBottom w:val="0"/>
      <w:divBdr>
        <w:top w:val="none" w:sz="0" w:space="0" w:color="auto"/>
        <w:left w:val="none" w:sz="0" w:space="0" w:color="auto"/>
        <w:bottom w:val="none" w:sz="0" w:space="0" w:color="auto"/>
        <w:right w:val="none" w:sz="0" w:space="0" w:color="auto"/>
      </w:divBdr>
    </w:div>
    <w:div w:id="13830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Props1.xml><?xml version="1.0" encoding="utf-8"?>
<ds:datastoreItem xmlns:ds="http://schemas.openxmlformats.org/officeDocument/2006/customXml" ds:itemID="{2043E6C1-F012-4B83-B0D7-0F16EF37E564}"/>
</file>

<file path=customXml/itemProps2.xml><?xml version="1.0" encoding="utf-8"?>
<ds:datastoreItem xmlns:ds="http://schemas.openxmlformats.org/officeDocument/2006/customXml" ds:itemID="{1BD30A58-E7B9-47D1-951C-82D33D97F091}"/>
</file>

<file path=customXml/itemProps3.xml><?xml version="1.0" encoding="utf-8"?>
<ds:datastoreItem xmlns:ds="http://schemas.openxmlformats.org/officeDocument/2006/customXml" ds:itemID="{32F366A6-DFDB-4AB1-8316-C6FAD83C004F}"/>
</file>

<file path=docProps/app.xml><?xml version="1.0" encoding="utf-8"?>
<Properties xmlns="http://schemas.openxmlformats.org/officeDocument/2006/extended-properties" xmlns:vt="http://schemas.openxmlformats.org/officeDocument/2006/docPropsVTypes">
  <Template>Normal</Template>
  <TotalTime>21</TotalTime>
  <Pages>5</Pages>
  <Words>4661</Words>
  <Characters>2657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Vilniškė</dc:creator>
  <cp:keywords/>
  <dc:description/>
  <cp:lastModifiedBy>Orinta Vilniškė</cp:lastModifiedBy>
  <cp:revision>1</cp:revision>
  <dcterms:created xsi:type="dcterms:W3CDTF">2026-05-29T09:44:00Z</dcterms:created>
  <dcterms:modified xsi:type="dcterms:W3CDTF">2026-05-29T10:05:00Z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