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2CB32448" w14:textId="407ED49B" w:rsidR="00123F23" w:rsidRPr="00A732CA" w:rsidRDefault="00123F23" w:rsidP="00123F23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A732CA">
        <w:rPr>
          <w:rFonts w:ascii="Arial" w:hAnsi="Arial" w:cs="Arial"/>
          <w:b/>
          <w:bCs/>
          <w:color w:val="000000" w:themeColor="text1"/>
          <w:lang w:val="lt-LT"/>
        </w:rPr>
        <w:t xml:space="preserve">REGARDING </w:t>
      </w:r>
      <w:sdt>
        <w:sdtPr>
          <w:rPr>
            <w:rFonts w:ascii="Arial" w:hAnsi="Arial" w:cs="Arial"/>
            <w:b/>
            <w:bCs/>
            <w:lang w:val="lt-LT"/>
          </w:rPr>
          <w:id w:val="1249313526"/>
          <w:placeholder>
            <w:docPart w:val="11F1ACA35F8A43FCB2AA79302D09BE69"/>
          </w:placeholder>
          <w:dropDownList>
            <w:listItem w:value="[Pasirinkite]"/>
            <w:listItem w:displayText="THE CLARIFICATION OF THE PROCUREMENT DOCUMENTS" w:value="THE CLARIFICATION OF THE PROCUREMENT DOCUMENTS"/>
            <w:listItem w:displayText="THE RESPONSES TO SUPPLIERS' QUESTIONS" w:value="THE RESPONSES TO SUPPLIERS' QUESTIONS"/>
            <w:listItem w:displayText="THE RESPONSES TO SUPPLIERS' QUESTIONS AND CLARIFICATION OF THE PROCUREMENT DOCUMENTS" w:value="THE RESPONSES TO SUPPLIERS' QUESTIONS AND CLARIFICATION OF THE PROCUREMENT DOCUMENTS"/>
          </w:dropDownList>
        </w:sdtPr>
        <w:sdtEndPr/>
        <w:sdtContent>
          <w:r w:rsidR="00367AC7">
            <w:rPr>
              <w:rFonts w:ascii="Arial" w:hAnsi="Arial" w:cs="Arial"/>
              <w:b/>
              <w:bCs/>
              <w:lang w:val="lt-LT"/>
            </w:rPr>
            <w:t>THE RESPONSES TO SUPPLIERS' QUESTIONS</w:t>
          </w:r>
        </w:sdtContent>
      </w:sdt>
    </w:p>
    <w:p w14:paraId="6F83A5A3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lang w:val="lt-LT"/>
        </w:rPr>
      </w:pPr>
    </w:p>
    <w:p w14:paraId="287642FF" w14:textId="523823A1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proofErr w:type="spellStart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We</w:t>
      </w:r>
      <w:proofErr w:type="spellEnd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are </w:t>
      </w:r>
      <w:proofErr w:type="spellStart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sending</w:t>
      </w:r>
      <w:proofErr w:type="spellEnd"/>
      <w:r w:rsidRPr="00A732CA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1087812382"/>
          <w:placeholder>
            <w:docPart w:val="3EB224AF6D364F34996CAF1C1DADCA9D"/>
          </w:placeholder>
          <w:dropDownList>
            <w:listItem w:value="[Pasirinkite]"/>
            <w:listItem w:displayText="the clarification of the procurement documents" w:value="the clarification of the procurement documents"/>
            <w:listItem w:displayText="responses to suppliers questions" w:value="responses to suppliers questions"/>
            <w:listItem w:displayText="responses to suppliers questions and clarification of the procurement documents" w:value="responses to suppliers questions and clarification of the procurement documents"/>
          </w:dropDownList>
        </w:sdtPr>
        <w:sdtEndPr/>
        <w:sdtContent>
          <w:r w:rsidR="00367AC7">
            <w:rPr>
              <w:rFonts w:ascii="Arial" w:hAnsi="Arial" w:cs="Arial"/>
              <w:sz w:val="22"/>
              <w:szCs w:val="22"/>
              <w:lang w:val="lt-LT"/>
            </w:rPr>
            <w:t>responses to suppliers questions</w:t>
          </w:r>
        </w:sdtContent>
      </w:sdt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in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an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ongoing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procurement</w:t>
      </w:r>
      <w:proofErr w:type="spellEnd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="007D521C"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of</w:t>
      </w:r>
      <w:proofErr w:type="spellEnd"/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6B0CCBD5FD14E0DB3708111F97D96E5"/>
          </w:placeholder>
          <w:text/>
        </w:sdtPr>
        <w:sdtEndPr/>
        <w:sdtContent>
          <w:r w:rsidR="00367AC7" w:rsidRPr="00367AC7">
            <w:rPr>
              <w:rFonts w:ascii="Arial" w:hAnsi="Arial" w:cs="Arial"/>
              <w:bCs/>
              <w:sz w:val="22"/>
              <w:szCs w:val="22"/>
            </w:rPr>
            <w:t>2026-EMA-4 Provision of services, based on an information system, for screening transactions against sanctions lists and for transactions monitoring for AML/CFT purposes</w:t>
          </w:r>
        </w:sdtContent>
      </w:sdt>
      <w:r w:rsidRPr="00A732CA">
        <w:rPr>
          <w:rFonts w:ascii="Arial" w:hAnsi="Arial" w:cs="Arial"/>
          <w:color w:val="000000" w:themeColor="text1"/>
          <w:sz w:val="22"/>
          <w:szCs w:val="22"/>
          <w:lang w:val="lt-LT"/>
        </w:rPr>
        <w:t>.</w:t>
      </w:r>
    </w:p>
    <w:p w14:paraId="5BF4EFF3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EA629C6" w14:textId="77777777" w:rsidR="00123F23" w:rsidRPr="00A732CA" w:rsidRDefault="00123F23" w:rsidP="00123F23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9D6B5F" w14:textId="26CFF1CC" w:rsidR="00123F23" w:rsidRPr="00A732CA" w:rsidRDefault="00123F23" w:rsidP="00D118C8">
      <w:pPr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A732CA">
        <w:rPr>
          <w:rFonts w:ascii="Arial" w:hAnsi="Arial" w:cs="Arial"/>
          <w:sz w:val="22"/>
          <w:szCs w:val="22"/>
        </w:rPr>
        <w:t xml:space="preserve">To avoid interpretations of the content, we quote the questions of the suppliers exactly as they were </w:t>
      </w:r>
      <w:r w:rsidR="007D521C" w:rsidRPr="00A732CA">
        <w:rPr>
          <w:rFonts w:ascii="Arial" w:hAnsi="Arial" w:cs="Arial"/>
          <w:sz w:val="22"/>
          <w:szCs w:val="22"/>
        </w:rPr>
        <w:t>submitted</w:t>
      </w:r>
      <w:r w:rsidRPr="00A732CA">
        <w:rPr>
          <w:rFonts w:ascii="Arial" w:hAnsi="Arial" w:cs="Arial"/>
          <w:sz w:val="22"/>
          <w:szCs w:val="22"/>
        </w:rPr>
        <w:t xml:space="preserve"> via the Central Procurement Information System (hereinafter - CPP IS) (text is not edited).</w:t>
      </w:r>
    </w:p>
    <w:p w14:paraId="5D2CD834" w14:textId="77777777" w:rsidR="00123F23" w:rsidRPr="00A732CA" w:rsidRDefault="00123F23" w:rsidP="00123F23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04"/>
        <w:gridCol w:w="2907"/>
        <w:gridCol w:w="4748"/>
        <w:gridCol w:w="5528"/>
      </w:tblGrid>
      <w:tr w:rsidR="00367AC7" w:rsidRPr="00A732CA" w14:paraId="64108BFD" w14:textId="77777777" w:rsidTr="00210899">
        <w:tc>
          <w:tcPr>
            <w:tcW w:w="704" w:type="dxa"/>
            <w:shd w:val="clear" w:color="auto" w:fill="DBE5F1"/>
            <w:vAlign w:val="center"/>
          </w:tcPr>
          <w:p w14:paraId="1C6F21AD" w14:textId="77777777" w:rsidR="00367AC7" w:rsidRPr="00A732CA" w:rsidRDefault="00367AC7" w:rsidP="006F59B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732CA">
              <w:rPr>
                <w:rFonts w:ascii="Arial" w:hAnsi="Arial" w:cs="Arial"/>
                <w:b/>
                <w:bCs/>
              </w:rPr>
              <w:t>No</w:t>
            </w:r>
            <w:proofErr w:type="spellEnd"/>
            <w:r w:rsidRPr="00A732C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6E6BBB11" w14:textId="77777777" w:rsidR="00367AC7" w:rsidRPr="00A732CA" w:rsidRDefault="00367AC7" w:rsidP="006F59B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732CA">
              <w:rPr>
                <w:rFonts w:ascii="Arial" w:hAnsi="Arial" w:cs="Arial"/>
                <w:b/>
                <w:bCs/>
                <w:lang w:val="en-US"/>
              </w:rPr>
              <w:t>Reference to the section of the procurement documents</w:t>
            </w:r>
          </w:p>
        </w:tc>
        <w:tc>
          <w:tcPr>
            <w:tcW w:w="4748" w:type="dxa"/>
            <w:shd w:val="clear" w:color="auto" w:fill="DBE5F1"/>
            <w:vAlign w:val="center"/>
          </w:tcPr>
          <w:p w14:paraId="35F4777C" w14:textId="77777777" w:rsidR="00367AC7" w:rsidRPr="00A732CA" w:rsidRDefault="00367AC7" w:rsidP="006F59B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732CA">
              <w:rPr>
                <w:rFonts w:ascii="Arial" w:hAnsi="Arial" w:cs="Arial"/>
                <w:b/>
                <w:bCs/>
                <w:lang w:val="en-US"/>
              </w:rPr>
              <w:t>Proposed correction / question</w:t>
            </w:r>
          </w:p>
        </w:tc>
        <w:tc>
          <w:tcPr>
            <w:tcW w:w="5528" w:type="dxa"/>
            <w:shd w:val="clear" w:color="auto" w:fill="DBE5F1"/>
            <w:vAlign w:val="center"/>
          </w:tcPr>
          <w:p w14:paraId="3DF46697" w14:textId="77777777" w:rsidR="00367AC7" w:rsidRPr="00A732CA" w:rsidRDefault="00367AC7" w:rsidP="006F59B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732CA">
              <w:rPr>
                <w:rFonts w:ascii="Arial" w:hAnsi="Arial" w:cs="Arial"/>
                <w:b/>
                <w:bCs/>
                <w:lang w:val="en-US"/>
              </w:rPr>
              <w:t>Answer to the question / Information about the clarification of the procurement documents</w:t>
            </w:r>
          </w:p>
        </w:tc>
      </w:tr>
      <w:tr w:rsidR="00367AC7" w:rsidRPr="00A732CA" w14:paraId="0F7FF914" w14:textId="77777777" w:rsidTr="00210899">
        <w:tc>
          <w:tcPr>
            <w:tcW w:w="704" w:type="dxa"/>
          </w:tcPr>
          <w:p w14:paraId="3320CF24" w14:textId="5959239E" w:rsidR="00367AC7" w:rsidRPr="00367AC7" w:rsidRDefault="00367AC7" w:rsidP="006F59B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907" w:type="dxa"/>
          </w:tcPr>
          <w:p w14:paraId="0CB76ABA" w14:textId="446AA7E8" w:rsidR="00367AC7" w:rsidRPr="00A732CA" w:rsidRDefault="00367AC7" w:rsidP="00367AC7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Technical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Specification</w:t>
            </w:r>
            <w:proofErr w:type="spellEnd"/>
          </w:p>
        </w:tc>
        <w:tc>
          <w:tcPr>
            <w:tcW w:w="4748" w:type="dxa"/>
          </w:tcPr>
          <w:p w14:paraId="73862275" w14:textId="54D0D908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Please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clarify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whether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solution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required</w:t>
            </w:r>
            <w:proofErr w:type="spellEnd"/>
            <w:r w:rsidRPr="00367AC7">
              <w:rPr>
                <w:rFonts w:ascii="Arial" w:hAnsi="Arial" w:cs="Arial"/>
              </w:rPr>
              <w:t xml:space="preserve"> to be </w:t>
            </w:r>
            <w:proofErr w:type="spellStart"/>
            <w:r w:rsidRPr="00367AC7">
              <w:rPr>
                <w:rFonts w:ascii="Arial" w:hAnsi="Arial" w:cs="Arial"/>
              </w:rPr>
              <w:t>delivered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</w:t>
            </w:r>
            <w:proofErr w:type="spellEnd"/>
            <w:r w:rsidRPr="00367AC7">
              <w:rPr>
                <w:rFonts w:ascii="Arial" w:hAnsi="Arial" w:cs="Arial"/>
              </w:rPr>
              <w:t xml:space="preserve"> a </w:t>
            </w:r>
            <w:proofErr w:type="spellStart"/>
            <w:r w:rsidRPr="00367AC7">
              <w:rPr>
                <w:rFonts w:ascii="Arial" w:hAnsi="Arial" w:cs="Arial"/>
              </w:rPr>
              <w:t>single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integrated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system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covering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both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sanctions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and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monitoring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whether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two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separate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solutions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would</w:t>
            </w:r>
            <w:proofErr w:type="spellEnd"/>
            <w:r w:rsidRPr="00367AC7">
              <w:rPr>
                <w:rFonts w:ascii="Arial" w:hAnsi="Arial" w:cs="Arial"/>
              </w:rPr>
              <w:t xml:space="preserve"> be </w:t>
            </w:r>
            <w:proofErr w:type="spellStart"/>
            <w:r w:rsidRPr="00367AC7">
              <w:rPr>
                <w:rFonts w:ascii="Arial" w:hAnsi="Arial" w:cs="Arial"/>
              </w:rPr>
              <w:t>considered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acceptable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</w:tcPr>
          <w:p w14:paraId="12D4F9CD" w14:textId="2D0BF46F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Required</w:t>
            </w:r>
            <w:proofErr w:type="spellEnd"/>
            <w:r w:rsidRPr="00367AC7">
              <w:rPr>
                <w:rFonts w:ascii="Arial" w:hAnsi="Arial" w:cs="Arial"/>
              </w:rPr>
              <w:t xml:space="preserve"> to be </w:t>
            </w:r>
            <w:proofErr w:type="spellStart"/>
            <w:r w:rsidRPr="00367AC7">
              <w:rPr>
                <w:rFonts w:ascii="Arial" w:hAnsi="Arial" w:cs="Arial"/>
              </w:rPr>
              <w:t>delivered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</w:t>
            </w:r>
            <w:proofErr w:type="spellEnd"/>
            <w:r w:rsidRPr="00367AC7">
              <w:rPr>
                <w:rFonts w:ascii="Arial" w:hAnsi="Arial" w:cs="Arial"/>
              </w:rPr>
              <w:t xml:space="preserve"> a </w:t>
            </w:r>
            <w:proofErr w:type="spellStart"/>
            <w:r w:rsidRPr="00367AC7">
              <w:rPr>
                <w:rFonts w:ascii="Arial" w:hAnsi="Arial" w:cs="Arial"/>
              </w:rPr>
              <w:t>single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integrated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system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covering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both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sanctions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and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monitoring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</w:tr>
      <w:tr w:rsidR="00367AC7" w:rsidRPr="00A732CA" w14:paraId="687101A8" w14:textId="77777777" w:rsidTr="00210899">
        <w:tc>
          <w:tcPr>
            <w:tcW w:w="704" w:type="dxa"/>
          </w:tcPr>
          <w:p w14:paraId="3B83324F" w14:textId="769477B1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07" w:type="dxa"/>
          </w:tcPr>
          <w:p w14:paraId="332DC376" w14:textId="51FAA700" w:rsidR="00367AC7" w:rsidRPr="00A732CA" w:rsidRDefault="00367AC7" w:rsidP="00367AC7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Clause</w:t>
            </w:r>
            <w:proofErr w:type="spellEnd"/>
            <w:r w:rsidRPr="00367AC7">
              <w:rPr>
                <w:rFonts w:ascii="Arial" w:hAnsi="Arial" w:cs="Arial"/>
              </w:rPr>
              <w:t xml:space="preserve"> 3.1, </w:t>
            </w:r>
            <w:proofErr w:type="spellStart"/>
            <w:r w:rsidRPr="00367AC7">
              <w:rPr>
                <w:rFonts w:ascii="Arial" w:hAnsi="Arial" w:cs="Arial"/>
              </w:rPr>
              <w:t>Table</w:t>
            </w:r>
            <w:proofErr w:type="spellEnd"/>
            <w:r w:rsidRPr="00367AC7">
              <w:rPr>
                <w:rFonts w:ascii="Arial" w:hAnsi="Arial" w:cs="Arial"/>
              </w:rPr>
              <w:t xml:space="preserve">  </w:t>
            </w:r>
            <w:proofErr w:type="spellStart"/>
            <w:r w:rsidRPr="00367AC7">
              <w:rPr>
                <w:rFonts w:ascii="Arial" w:hAnsi="Arial" w:cs="Arial"/>
              </w:rPr>
              <w:t>No</w:t>
            </w:r>
            <w:proofErr w:type="spellEnd"/>
            <w:r w:rsidRPr="00367AC7">
              <w:rPr>
                <w:rFonts w:ascii="Arial" w:hAnsi="Arial" w:cs="Arial"/>
              </w:rPr>
              <w:t xml:space="preserve">. 1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Technical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Specification</w:t>
            </w:r>
            <w:proofErr w:type="spellEnd"/>
          </w:p>
        </w:tc>
        <w:tc>
          <w:tcPr>
            <w:tcW w:w="4748" w:type="dxa"/>
          </w:tcPr>
          <w:p w14:paraId="7DB059A2" w14:textId="6ADD667F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Please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confirm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whether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scope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sanctions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limited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only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whether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Ignitis</w:t>
            </w:r>
            <w:proofErr w:type="spellEnd"/>
            <w:r w:rsidRPr="00367AC7">
              <w:rPr>
                <w:rFonts w:ascii="Arial" w:hAnsi="Arial" w:cs="Arial"/>
              </w:rPr>
              <w:t xml:space="preserve"> also </w:t>
            </w:r>
            <w:proofErr w:type="spellStart"/>
            <w:r w:rsidRPr="00367AC7">
              <w:rPr>
                <w:rFonts w:ascii="Arial" w:hAnsi="Arial" w:cs="Arial"/>
              </w:rPr>
              <w:t>requires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dual-use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goods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broader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trade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compliance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capabilities</w:t>
            </w:r>
            <w:proofErr w:type="spellEnd"/>
            <w:r w:rsidRPr="00367AC7">
              <w:rPr>
                <w:rFonts w:ascii="Arial" w:hAnsi="Arial" w:cs="Arial"/>
              </w:rPr>
              <w:t xml:space="preserve"> (</w:t>
            </w:r>
            <w:proofErr w:type="spellStart"/>
            <w:r w:rsidRPr="00367AC7">
              <w:rPr>
                <w:rFonts w:ascii="Arial" w:hAnsi="Arial" w:cs="Arial"/>
              </w:rPr>
              <w:t>e.g</w:t>
            </w:r>
            <w:proofErr w:type="spellEnd"/>
            <w:r w:rsidRPr="00367AC7">
              <w:rPr>
                <w:rFonts w:ascii="Arial" w:hAnsi="Arial" w:cs="Arial"/>
              </w:rPr>
              <w:t xml:space="preserve">. </w:t>
            </w:r>
            <w:proofErr w:type="spellStart"/>
            <w:r w:rsidRPr="00367AC7">
              <w:rPr>
                <w:rFonts w:ascii="Arial" w:hAnsi="Arial" w:cs="Arial"/>
              </w:rPr>
              <w:t>export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control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dual-use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goods</w:t>
            </w:r>
            <w:proofErr w:type="spellEnd"/>
            <w:r w:rsidRPr="00367AC7">
              <w:rPr>
                <w:rFonts w:ascii="Arial" w:hAnsi="Arial" w:cs="Arial"/>
              </w:rPr>
              <w:t>).</w:t>
            </w:r>
          </w:p>
        </w:tc>
        <w:tc>
          <w:tcPr>
            <w:tcW w:w="5528" w:type="dxa"/>
          </w:tcPr>
          <w:p w14:paraId="48BBD1EB" w14:textId="02D2CF79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dual-use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goods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required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and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must</w:t>
            </w:r>
            <w:proofErr w:type="spellEnd"/>
            <w:r w:rsidRPr="00367AC7">
              <w:rPr>
                <w:rFonts w:ascii="Arial" w:hAnsi="Arial" w:cs="Arial"/>
              </w:rPr>
              <w:t xml:space="preserve"> be </w:t>
            </w:r>
            <w:proofErr w:type="spellStart"/>
            <w:r w:rsidRPr="00367AC7">
              <w:rPr>
                <w:rFonts w:ascii="Arial" w:hAnsi="Arial" w:cs="Arial"/>
              </w:rPr>
              <w:t>performed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checking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purpose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field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against</w:t>
            </w:r>
            <w:proofErr w:type="spellEnd"/>
            <w:r w:rsidRPr="00367AC7">
              <w:rPr>
                <w:rFonts w:ascii="Arial" w:hAnsi="Arial" w:cs="Arial"/>
              </w:rPr>
              <w:t xml:space="preserve"> a </w:t>
            </w:r>
            <w:proofErr w:type="spellStart"/>
            <w:r w:rsidRPr="00367AC7">
              <w:rPr>
                <w:rFonts w:ascii="Arial" w:hAnsi="Arial" w:cs="Arial"/>
              </w:rPr>
              <w:t>list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keywords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compiled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Contracting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Authority</w:t>
            </w:r>
            <w:proofErr w:type="spellEnd"/>
            <w:r w:rsidRPr="00367AC7">
              <w:rPr>
                <w:rFonts w:ascii="Arial" w:hAnsi="Arial" w:cs="Arial"/>
              </w:rPr>
              <w:t xml:space="preserve"> (</w:t>
            </w:r>
            <w:proofErr w:type="spellStart"/>
            <w:r w:rsidRPr="00367AC7">
              <w:rPr>
                <w:rFonts w:ascii="Arial" w:hAnsi="Arial" w:cs="Arial"/>
              </w:rPr>
              <w:t>local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list</w:t>
            </w:r>
            <w:proofErr w:type="spellEnd"/>
            <w:r w:rsidRPr="00367AC7">
              <w:rPr>
                <w:rFonts w:ascii="Arial" w:hAnsi="Arial" w:cs="Arial"/>
              </w:rPr>
              <w:t xml:space="preserve">). </w:t>
            </w:r>
            <w:proofErr w:type="spellStart"/>
            <w:r w:rsidRPr="00367AC7">
              <w:rPr>
                <w:rFonts w:ascii="Arial" w:hAnsi="Arial" w:cs="Arial"/>
              </w:rPr>
              <w:t>This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requirement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out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Section</w:t>
            </w:r>
            <w:proofErr w:type="spellEnd"/>
            <w:r w:rsidRPr="00367AC7">
              <w:rPr>
                <w:rFonts w:ascii="Arial" w:hAnsi="Arial" w:cs="Arial"/>
              </w:rPr>
              <w:t xml:space="preserve"> 5.2.15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Technical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Specification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</w:tr>
      <w:tr w:rsidR="00367AC7" w:rsidRPr="00A732CA" w14:paraId="6530429F" w14:textId="77777777" w:rsidTr="00210899">
        <w:tc>
          <w:tcPr>
            <w:tcW w:w="704" w:type="dxa"/>
          </w:tcPr>
          <w:p w14:paraId="52596957" w14:textId="5337215B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07" w:type="dxa"/>
          </w:tcPr>
          <w:p w14:paraId="4B2B0A3E" w14:textId="0A78F28D" w:rsidR="00367AC7" w:rsidRPr="00A732CA" w:rsidRDefault="00367AC7" w:rsidP="00367AC7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Clause</w:t>
            </w:r>
            <w:proofErr w:type="spellEnd"/>
            <w:r w:rsidRPr="00367AC7">
              <w:rPr>
                <w:rFonts w:ascii="Arial" w:hAnsi="Arial" w:cs="Arial"/>
              </w:rPr>
              <w:t xml:space="preserve"> 3.1, </w:t>
            </w:r>
            <w:proofErr w:type="spellStart"/>
            <w:r w:rsidRPr="00367AC7">
              <w:rPr>
                <w:rFonts w:ascii="Arial" w:hAnsi="Arial" w:cs="Arial"/>
              </w:rPr>
              <w:t>Table</w:t>
            </w:r>
            <w:proofErr w:type="spellEnd"/>
            <w:r w:rsidRPr="00367AC7">
              <w:rPr>
                <w:rFonts w:ascii="Arial" w:hAnsi="Arial" w:cs="Arial"/>
              </w:rPr>
              <w:t xml:space="preserve">  </w:t>
            </w:r>
            <w:proofErr w:type="spellStart"/>
            <w:r w:rsidRPr="00367AC7">
              <w:rPr>
                <w:rFonts w:ascii="Arial" w:hAnsi="Arial" w:cs="Arial"/>
              </w:rPr>
              <w:t>No</w:t>
            </w:r>
            <w:proofErr w:type="spellEnd"/>
            <w:r w:rsidRPr="00367AC7">
              <w:rPr>
                <w:rFonts w:ascii="Arial" w:hAnsi="Arial" w:cs="Arial"/>
              </w:rPr>
              <w:t xml:space="preserve">. 1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Technical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Specification</w:t>
            </w:r>
            <w:proofErr w:type="spellEnd"/>
          </w:p>
        </w:tc>
        <w:tc>
          <w:tcPr>
            <w:tcW w:w="4748" w:type="dxa"/>
          </w:tcPr>
          <w:p w14:paraId="4D34CBFB" w14:textId="31B64A49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Please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clarify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whether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indicated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volume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approximately</w:t>
            </w:r>
            <w:proofErr w:type="spellEnd"/>
            <w:r w:rsidRPr="00367AC7">
              <w:rPr>
                <w:rFonts w:ascii="Arial" w:hAnsi="Arial" w:cs="Arial"/>
              </w:rPr>
              <w:t xml:space="preserve"> 24 </w:t>
            </w:r>
            <w:proofErr w:type="spellStart"/>
            <w:r w:rsidRPr="00367AC7">
              <w:rPr>
                <w:rFonts w:ascii="Arial" w:hAnsi="Arial" w:cs="Arial"/>
              </w:rPr>
              <w:t>million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payments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refers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annual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volume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total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volume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over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entire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contract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period</w:t>
            </w:r>
            <w:proofErr w:type="spellEnd"/>
            <w:r w:rsidRPr="00367AC7">
              <w:rPr>
                <w:rFonts w:ascii="Arial" w:hAnsi="Arial" w:cs="Arial"/>
              </w:rPr>
              <w:t xml:space="preserve"> (36 </w:t>
            </w:r>
            <w:proofErr w:type="spellStart"/>
            <w:r w:rsidRPr="00367AC7">
              <w:rPr>
                <w:rFonts w:ascii="Arial" w:hAnsi="Arial" w:cs="Arial"/>
              </w:rPr>
              <w:t>months</w:t>
            </w:r>
            <w:proofErr w:type="spellEnd"/>
            <w:r w:rsidRPr="00367AC7">
              <w:rPr>
                <w:rFonts w:ascii="Arial" w:hAnsi="Arial" w:cs="Arial"/>
              </w:rPr>
              <w:t>).</w:t>
            </w:r>
          </w:p>
        </w:tc>
        <w:tc>
          <w:tcPr>
            <w:tcW w:w="5528" w:type="dxa"/>
          </w:tcPr>
          <w:p w14:paraId="09BAFAB2" w14:textId="59BCA951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quantity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applies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entire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term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Agreement</w:t>
            </w:r>
            <w:proofErr w:type="spellEnd"/>
            <w:r w:rsidRPr="00367AC7">
              <w:rPr>
                <w:rFonts w:ascii="Arial" w:hAnsi="Arial" w:cs="Arial"/>
              </w:rPr>
              <w:t xml:space="preserve">. </w:t>
            </w:r>
            <w:proofErr w:type="spellStart"/>
            <w:r w:rsidRPr="00367AC7">
              <w:rPr>
                <w:rFonts w:ascii="Arial" w:hAnsi="Arial" w:cs="Arial"/>
              </w:rPr>
              <w:t>Please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note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that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stated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quantity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Services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preliminary</w:t>
            </w:r>
            <w:proofErr w:type="spellEnd"/>
            <w:r w:rsidRPr="00367AC7">
              <w:rPr>
                <w:rFonts w:ascii="Arial" w:hAnsi="Arial" w:cs="Arial"/>
              </w:rPr>
              <w:t xml:space="preserve">. </w:t>
            </w:r>
            <w:proofErr w:type="spellStart"/>
            <w:r w:rsidRPr="00367AC7">
              <w:rPr>
                <w:rFonts w:ascii="Arial" w:hAnsi="Arial" w:cs="Arial"/>
              </w:rPr>
              <w:t>During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term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Agreement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Buyer</w:t>
            </w:r>
            <w:proofErr w:type="spellEnd"/>
            <w:r w:rsidRPr="00367AC7">
              <w:rPr>
                <w:rFonts w:ascii="Arial" w:hAnsi="Arial" w:cs="Arial"/>
              </w:rPr>
              <w:t xml:space="preserve">  </w:t>
            </w:r>
            <w:proofErr w:type="spellStart"/>
            <w:r w:rsidRPr="00367AC7">
              <w:rPr>
                <w:rFonts w:ascii="Arial" w:hAnsi="Arial" w:cs="Arial"/>
              </w:rPr>
              <w:t>has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right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adjust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quantity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Services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purchased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provided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that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maximum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contract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price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Contract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not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exceeded</w:t>
            </w:r>
            <w:proofErr w:type="spellEnd"/>
            <w:r w:rsidRPr="00367AC7">
              <w:rPr>
                <w:rFonts w:ascii="Arial" w:hAnsi="Arial" w:cs="Arial"/>
              </w:rPr>
              <w:t xml:space="preserve">.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Buyer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not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obliged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purchase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entire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quantity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Services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any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part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thereof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</w:tr>
      <w:tr w:rsidR="00367AC7" w:rsidRPr="00A732CA" w14:paraId="0F8A0D57" w14:textId="77777777" w:rsidTr="00210899">
        <w:tc>
          <w:tcPr>
            <w:tcW w:w="704" w:type="dxa"/>
          </w:tcPr>
          <w:p w14:paraId="4E094D11" w14:textId="0A272661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907" w:type="dxa"/>
          </w:tcPr>
          <w:p w14:paraId="55DE5B0B" w14:textId="2D30B31A" w:rsidR="00367AC7" w:rsidRPr="00A732CA" w:rsidRDefault="00367AC7" w:rsidP="00367AC7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Clause</w:t>
            </w:r>
            <w:proofErr w:type="spellEnd"/>
            <w:r w:rsidRPr="00367AC7">
              <w:rPr>
                <w:rFonts w:ascii="Arial" w:hAnsi="Arial" w:cs="Arial"/>
              </w:rPr>
              <w:t xml:space="preserve"> 5.1.24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Technical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Specification</w:t>
            </w:r>
            <w:proofErr w:type="spellEnd"/>
          </w:p>
        </w:tc>
        <w:tc>
          <w:tcPr>
            <w:tcW w:w="4748" w:type="dxa"/>
          </w:tcPr>
          <w:p w14:paraId="4E57A35D" w14:textId="1ECF8853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Please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clarify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how</w:t>
            </w:r>
            <w:proofErr w:type="spellEnd"/>
            <w:r w:rsidRPr="00367AC7">
              <w:rPr>
                <w:rFonts w:ascii="Arial" w:hAnsi="Arial" w:cs="Arial"/>
              </w:rPr>
              <w:t xml:space="preserve"> “</w:t>
            </w:r>
            <w:proofErr w:type="spellStart"/>
            <w:r w:rsidRPr="00367AC7">
              <w:rPr>
                <w:rFonts w:ascii="Arial" w:hAnsi="Arial" w:cs="Arial"/>
              </w:rPr>
              <w:t>real-time</w:t>
            </w:r>
            <w:proofErr w:type="spellEnd"/>
            <w:r w:rsidRPr="00367AC7">
              <w:rPr>
                <w:rFonts w:ascii="Arial" w:hAnsi="Arial" w:cs="Arial"/>
              </w:rPr>
              <w:t xml:space="preserve">”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monitoring</w:t>
            </w:r>
            <w:proofErr w:type="spellEnd"/>
            <w:r w:rsidRPr="00367AC7">
              <w:rPr>
                <w:rFonts w:ascii="Arial" w:hAnsi="Arial" w:cs="Arial"/>
              </w:rPr>
              <w:t xml:space="preserve"> (</w:t>
            </w:r>
            <w:proofErr w:type="spellStart"/>
            <w:r w:rsidRPr="00367AC7">
              <w:rPr>
                <w:rFonts w:ascii="Arial" w:hAnsi="Arial" w:cs="Arial"/>
              </w:rPr>
              <w:t>not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screening</w:t>
            </w:r>
            <w:proofErr w:type="spellEnd"/>
            <w:r w:rsidRPr="00367AC7">
              <w:rPr>
                <w:rFonts w:ascii="Arial" w:hAnsi="Arial" w:cs="Arial"/>
              </w:rPr>
              <w:t xml:space="preserve">) </w:t>
            </w:r>
            <w:proofErr w:type="spellStart"/>
            <w:r w:rsidRPr="00367AC7">
              <w:rPr>
                <w:rFonts w:ascii="Arial" w:hAnsi="Arial" w:cs="Arial"/>
              </w:rPr>
              <w:t>should</w:t>
            </w:r>
            <w:proofErr w:type="spellEnd"/>
            <w:r w:rsidRPr="00367AC7">
              <w:rPr>
                <w:rFonts w:ascii="Arial" w:hAnsi="Arial" w:cs="Arial"/>
              </w:rPr>
              <w:t xml:space="preserve"> be </w:t>
            </w:r>
            <w:proofErr w:type="spellStart"/>
            <w:r w:rsidRPr="00367AC7">
              <w:rPr>
                <w:rFonts w:ascii="Arial" w:hAnsi="Arial" w:cs="Arial"/>
              </w:rPr>
              <w:t>interpreted</w:t>
            </w:r>
            <w:proofErr w:type="spellEnd"/>
            <w:r w:rsidRPr="00367AC7">
              <w:rPr>
                <w:rFonts w:ascii="Arial" w:hAnsi="Arial" w:cs="Arial"/>
              </w:rPr>
              <w:t xml:space="preserve">. </w:t>
            </w:r>
            <w:proofErr w:type="spellStart"/>
            <w:r w:rsidRPr="00367AC7">
              <w:rPr>
                <w:rFonts w:ascii="Arial" w:hAnsi="Arial" w:cs="Arial"/>
              </w:rPr>
              <w:t>Specifically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should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monitoring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operate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control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capable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of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blocking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transactions</w:t>
            </w:r>
            <w:proofErr w:type="spellEnd"/>
            <w:r w:rsidRPr="00367AC7">
              <w:rPr>
                <w:rFonts w:ascii="Arial" w:hAnsi="Arial" w:cs="Arial"/>
              </w:rPr>
              <w:t xml:space="preserve">, </w:t>
            </w:r>
            <w:proofErr w:type="spellStart"/>
            <w:r w:rsidRPr="00367AC7">
              <w:rPr>
                <w:rFonts w:ascii="Arial" w:hAnsi="Arial" w:cs="Arial"/>
              </w:rPr>
              <w:t>or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asynchronous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process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generating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alerts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without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impacting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execution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</w:tcPr>
          <w:p w14:paraId="440F06F0" w14:textId="6A80C1F0" w:rsidR="00367AC7" w:rsidRPr="00A732CA" w:rsidRDefault="00367AC7" w:rsidP="006F59B4">
            <w:pPr>
              <w:jc w:val="both"/>
              <w:rPr>
                <w:rFonts w:ascii="Arial" w:hAnsi="Arial" w:cs="Arial"/>
              </w:rPr>
            </w:pPr>
            <w:proofErr w:type="spellStart"/>
            <w:r w:rsidRPr="00367AC7">
              <w:rPr>
                <w:rFonts w:ascii="Arial" w:hAnsi="Arial" w:cs="Arial"/>
              </w:rPr>
              <w:t>This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requirement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should</w:t>
            </w:r>
            <w:proofErr w:type="spellEnd"/>
            <w:r w:rsidRPr="00367AC7">
              <w:rPr>
                <w:rFonts w:ascii="Arial" w:hAnsi="Arial" w:cs="Arial"/>
              </w:rPr>
              <w:t xml:space="preserve"> be </w:t>
            </w:r>
            <w:proofErr w:type="spellStart"/>
            <w:r w:rsidRPr="00367AC7">
              <w:rPr>
                <w:rFonts w:ascii="Arial" w:hAnsi="Arial" w:cs="Arial"/>
              </w:rPr>
              <w:t>interpreted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as</w:t>
            </w:r>
            <w:proofErr w:type="spellEnd"/>
            <w:r w:rsidRPr="00367AC7">
              <w:rPr>
                <w:rFonts w:ascii="Arial" w:hAnsi="Arial" w:cs="Arial"/>
              </w:rPr>
              <w:t xml:space="preserve"> a </w:t>
            </w:r>
            <w:proofErr w:type="spellStart"/>
            <w:r w:rsidRPr="00367AC7">
              <w:rPr>
                <w:rFonts w:ascii="Arial" w:hAnsi="Arial" w:cs="Arial"/>
              </w:rPr>
              <w:t>control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designed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generate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alerts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in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relation</w:t>
            </w:r>
            <w:proofErr w:type="spellEnd"/>
            <w:r w:rsidRPr="00367AC7">
              <w:rPr>
                <w:rFonts w:ascii="Arial" w:hAnsi="Arial" w:cs="Arial"/>
              </w:rPr>
              <w:t xml:space="preserve"> to </w:t>
            </w:r>
            <w:proofErr w:type="spellStart"/>
            <w:r w:rsidRPr="00367AC7">
              <w:rPr>
                <w:rFonts w:ascii="Arial" w:hAnsi="Arial" w:cs="Arial"/>
              </w:rPr>
              <w:t>payment</w:t>
            </w:r>
            <w:proofErr w:type="spellEnd"/>
            <w:r w:rsidRPr="00367AC7">
              <w:rPr>
                <w:rFonts w:ascii="Arial" w:hAnsi="Arial" w:cs="Arial"/>
              </w:rPr>
              <w:t xml:space="preserve"> </w:t>
            </w:r>
            <w:proofErr w:type="spellStart"/>
            <w:r w:rsidRPr="00367AC7">
              <w:rPr>
                <w:rFonts w:ascii="Arial" w:hAnsi="Arial" w:cs="Arial"/>
              </w:rPr>
              <w:t>transactions</w:t>
            </w:r>
            <w:proofErr w:type="spellEnd"/>
            <w:r w:rsidRPr="00367AC7">
              <w:rPr>
                <w:rFonts w:ascii="Arial" w:hAnsi="Arial" w:cs="Arial"/>
              </w:rPr>
              <w:t>.</w:t>
            </w:r>
          </w:p>
        </w:tc>
      </w:tr>
    </w:tbl>
    <w:p w14:paraId="0778C44D" w14:textId="77777777" w:rsidR="00123F23" w:rsidRPr="00A732CA" w:rsidRDefault="00123F23" w:rsidP="00123F23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21FA7FC4" w14:textId="7FF5FCD9" w:rsidR="00A732CA" w:rsidRDefault="00D14412" w:rsidP="00D14412">
      <w:pPr>
        <w:pStyle w:val="Tekstas"/>
        <w:tabs>
          <w:tab w:val="clear" w:pos="6804"/>
          <w:tab w:val="left" w:pos="4920"/>
        </w:tabs>
        <w:ind w:firstLine="0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  <w:r>
        <w:rPr>
          <w:rFonts w:ascii="Arial" w:hAnsi="Arial" w:cs="Arial"/>
          <w:i/>
          <w:iCs/>
          <w:color w:val="auto"/>
          <w:sz w:val="22"/>
          <w:szCs w:val="22"/>
          <w:lang w:val="lt-LT"/>
        </w:rPr>
        <w:tab/>
      </w:r>
    </w:p>
    <w:p w14:paraId="1AC7D521" w14:textId="77777777" w:rsidR="00A732CA" w:rsidRPr="00A732CA" w:rsidRDefault="00A732CA" w:rsidP="00123F23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i/>
          <w:iCs/>
          <w:color w:val="auto"/>
          <w:sz w:val="22"/>
          <w:szCs w:val="22"/>
          <w:lang w:val="lt-LT"/>
        </w:rPr>
      </w:pPr>
    </w:p>
    <w:p w14:paraId="4BDBE8D8" w14:textId="77777777" w:rsidR="00123F23" w:rsidRDefault="00123F23" w:rsidP="00123F23">
      <w:pPr>
        <w:ind w:right="-141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lt-LT"/>
        </w:rPr>
      </w:pPr>
    </w:p>
    <w:p w14:paraId="7B67B6F9" w14:textId="10A2FFCC" w:rsidR="00777D81" w:rsidRPr="00E74C78" w:rsidRDefault="007564E5" w:rsidP="00486C62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9817632"/>
          <w:placeholder>
            <w:docPart w:val="65EF9A52E0BE45B69CC8975827840944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367AC7">
            <w:rPr>
              <w:rFonts w:ascii="Arial" w:hAnsi="Arial" w:cs="Arial"/>
              <w:bCs/>
              <w:sz w:val="22"/>
              <w:szCs w:val="22"/>
            </w:rPr>
            <w:t>Procurement Project Manager Alina Dralo, phone no. +370 620 93298</w:t>
          </w:r>
        </w:sdtContent>
      </w:sdt>
    </w:p>
    <w:sectPr w:rsidR="00777D81" w:rsidRPr="00E74C78" w:rsidSect="00D11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05" w:bottom="1270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CBE3" w14:textId="77777777" w:rsidR="007564E5" w:rsidRDefault="007564E5" w:rsidP="000C042A">
      <w:r>
        <w:separator/>
      </w:r>
    </w:p>
  </w:endnote>
  <w:endnote w:type="continuationSeparator" w:id="0">
    <w:p w14:paraId="0347ED6A" w14:textId="77777777" w:rsidR="007564E5" w:rsidRDefault="007564E5" w:rsidP="000C042A">
      <w:r>
        <w:continuationSeparator/>
      </w:r>
    </w:p>
  </w:endnote>
  <w:endnote w:type="continuationNotice" w:id="1">
    <w:p w14:paraId="30A0E831" w14:textId="77777777" w:rsidR="007564E5" w:rsidRDefault="00756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CE9" w14:textId="77777777" w:rsidR="00D14412" w:rsidRDefault="00D14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54A51A1F" w:rsidR="00B851EE" w:rsidRDefault="00AF14BD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037AD198">
              <wp:simplePos x="0" y="0"/>
              <wp:positionH relativeFrom="column">
                <wp:posOffset>2583650</wp:posOffset>
              </wp:positionH>
              <wp:positionV relativeFrom="paragraph">
                <wp:posOffset>-967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3BC3B" w14:textId="4FFF3E62" w:rsidR="00B93C5B" w:rsidRPr="00540A09" w:rsidRDefault="00B93C5B" w:rsidP="00B93C5B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D14412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EC16099" w14:textId="36FA4DF1" w:rsidR="00027AC3" w:rsidRPr="00F81294" w:rsidRDefault="00027AC3" w:rsidP="00027AC3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0BA3CBB1" w14:textId="77777777" w:rsidR="00027AC3" w:rsidRPr="00C35ED1" w:rsidRDefault="00027AC3" w:rsidP="00027AC3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5C9ED64" w14:textId="77777777" w:rsidR="00C1324B" w:rsidRPr="00C35ED1" w:rsidRDefault="00C1324B" w:rsidP="00C1324B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EA4CF9F" w14:textId="77777777" w:rsidR="00C1324B" w:rsidRPr="00D30736" w:rsidRDefault="00C1324B" w:rsidP="00C1324B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E8D0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3.45pt;margin-top:-.1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" filled="f" stroked="f" strokeweight=".5pt">
              <v:textbox inset="2.5mm,1.3mm,2.5mm,1.3mm">
                <w:txbxContent>
                  <w:p w14:paraId="2043BC3B" w14:textId="4FFF3E62" w:rsidR="00B93C5B" w:rsidRPr="00540A09" w:rsidRDefault="00B93C5B" w:rsidP="00B93C5B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D14412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EC16099" w14:textId="36FA4DF1" w:rsidR="00027AC3" w:rsidRPr="00F81294" w:rsidRDefault="00027AC3" w:rsidP="00027AC3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0BA3CBB1" w14:textId="77777777" w:rsidR="00027AC3" w:rsidRPr="00C35ED1" w:rsidRDefault="00027AC3" w:rsidP="00027AC3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25C9ED64" w14:textId="77777777" w:rsidR="00C1324B" w:rsidRPr="00C35ED1" w:rsidRDefault="00C1324B" w:rsidP="00C1324B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EA4CF9F" w14:textId="77777777" w:rsidR="00C1324B" w:rsidRPr="00D30736" w:rsidRDefault="00C1324B" w:rsidP="00C1324B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0574AEBE">
              <wp:simplePos x="0" y="0"/>
              <wp:positionH relativeFrom="column">
                <wp:posOffset>4476170</wp:posOffset>
              </wp:positionH>
              <wp:positionV relativeFrom="paragraph">
                <wp:posOffset>-5412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7" type="#_x0000_t202" style="position:absolute;margin-left:352.45pt;margin-top:-.4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629A74B0">
              <wp:simplePos x="0" y="0"/>
              <wp:positionH relativeFrom="margin">
                <wp:align>right</wp:align>
              </wp:positionH>
              <wp:positionV relativeFrom="paragraph">
                <wp:posOffset>-24489</wp:posOffset>
              </wp:positionV>
              <wp:extent cx="2253081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081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5273C" id="Text Box 20" o:spid="_x0000_s1028" type="#_x0000_t202" style="position:absolute;margin-left:126.2pt;margin-top:-1.95pt;width:177.4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3B773298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39E2" w14:textId="77777777" w:rsidR="007564E5" w:rsidRDefault="007564E5" w:rsidP="000C042A">
      <w:r>
        <w:separator/>
      </w:r>
    </w:p>
  </w:footnote>
  <w:footnote w:type="continuationSeparator" w:id="0">
    <w:p w14:paraId="51321FD7" w14:textId="77777777" w:rsidR="007564E5" w:rsidRDefault="007564E5" w:rsidP="000C042A">
      <w:r>
        <w:continuationSeparator/>
      </w:r>
    </w:p>
  </w:footnote>
  <w:footnote w:type="continuationNotice" w:id="1">
    <w:p w14:paraId="10673627" w14:textId="77777777" w:rsidR="007564E5" w:rsidRDefault="00756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625FDC26" w:rsidR="008B3E60" w:rsidRDefault="007564E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41C6E512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66CF4445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1127891966" name="Picture 1127891966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yCVw7wzcHgvT" int2:id="snfNoDH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0750"/>
    <w:rsid w:val="000B43E6"/>
    <w:rsid w:val="000B79D8"/>
    <w:rsid w:val="000C042A"/>
    <w:rsid w:val="000C2DEE"/>
    <w:rsid w:val="000C5E08"/>
    <w:rsid w:val="000D5A58"/>
    <w:rsid w:val="000F5F10"/>
    <w:rsid w:val="001079F4"/>
    <w:rsid w:val="00110836"/>
    <w:rsid w:val="001122AD"/>
    <w:rsid w:val="00123F23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D3FFF"/>
    <w:rsid w:val="001E0746"/>
    <w:rsid w:val="001E1650"/>
    <w:rsid w:val="001E7685"/>
    <w:rsid w:val="001F3DB4"/>
    <w:rsid w:val="001F7967"/>
    <w:rsid w:val="00210899"/>
    <w:rsid w:val="002169FA"/>
    <w:rsid w:val="00220A58"/>
    <w:rsid w:val="0022365E"/>
    <w:rsid w:val="00251B99"/>
    <w:rsid w:val="00266D81"/>
    <w:rsid w:val="00271162"/>
    <w:rsid w:val="00281845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AC7"/>
    <w:rsid w:val="00367E4B"/>
    <w:rsid w:val="00374C47"/>
    <w:rsid w:val="0038264B"/>
    <w:rsid w:val="00397663"/>
    <w:rsid w:val="003A0900"/>
    <w:rsid w:val="003A70EE"/>
    <w:rsid w:val="003B2820"/>
    <w:rsid w:val="003B66B9"/>
    <w:rsid w:val="003C600E"/>
    <w:rsid w:val="003D5661"/>
    <w:rsid w:val="003E4EB5"/>
    <w:rsid w:val="003E6058"/>
    <w:rsid w:val="00407A9B"/>
    <w:rsid w:val="00411E1A"/>
    <w:rsid w:val="00421B21"/>
    <w:rsid w:val="004261EB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6528"/>
    <w:rsid w:val="00486C62"/>
    <w:rsid w:val="00487820"/>
    <w:rsid w:val="00487C62"/>
    <w:rsid w:val="004924FC"/>
    <w:rsid w:val="004A7A21"/>
    <w:rsid w:val="004B468B"/>
    <w:rsid w:val="004C7082"/>
    <w:rsid w:val="004E1453"/>
    <w:rsid w:val="004F5439"/>
    <w:rsid w:val="0050088B"/>
    <w:rsid w:val="0050154F"/>
    <w:rsid w:val="005614FE"/>
    <w:rsid w:val="00584FF2"/>
    <w:rsid w:val="00597847"/>
    <w:rsid w:val="005A173D"/>
    <w:rsid w:val="005A377C"/>
    <w:rsid w:val="005B01FC"/>
    <w:rsid w:val="005B18C2"/>
    <w:rsid w:val="005C04DE"/>
    <w:rsid w:val="005F42FF"/>
    <w:rsid w:val="00615165"/>
    <w:rsid w:val="00621DBB"/>
    <w:rsid w:val="006244CD"/>
    <w:rsid w:val="0063141E"/>
    <w:rsid w:val="006315FE"/>
    <w:rsid w:val="00640436"/>
    <w:rsid w:val="00641E7F"/>
    <w:rsid w:val="00647C94"/>
    <w:rsid w:val="00653613"/>
    <w:rsid w:val="00656E0E"/>
    <w:rsid w:val="006818D9"/>
    <w:rsid w:val="0069181F"/>
    <w:rsid w:val="00692B2C"/>
    <w:rsid w:val="006A55D0"/>
    <w:rsid w:val="006A75B1"/>
    <w:rsid w:val="006B0B47"/>
    <w:rsid w:val="006C2BF9"/>
    <w:rsid w:val="006C5167"/>
    <w:rsid w:val="006D0597"/>
    <w:rsid w:val="006E66D0"/>
    <w:rsid w:val="006F22E9"/>
    <w:rsid w:val="00700CEF"/>
    <w:rsid w:val="00700D94"/>
    <w:rsid w:val="00704A98"/>
    <w:rsid w:val="0070568B"/>
    <w:rsid w:val="007056D1"/>
    <w:rsid w:val="007205F9"/>
    <w:rsid w:val="00721EBE"/>
    <w:rsid w:val="007354E6"/>
    <w:rsid w:val="007564E5"/>
    <w:rsid w:val="00757915"/>
    <w:rsid w:val="007665CB"/>
    <w:rsid w:val="007749D0"/>
    <w:rsid w:val="007752D9"/>
    <w:rsid w:val="00777D81"/>
    <w:rsid w:val="00783B49"/>
    <w:rsid w:val="00791696"/>
    <w:rsid w:val="007A65A5"/>
    <w:rsid w:val="007B48AF"/>
    <w:rsid w:val="007B76DB"/>
    <w:rsid w:val="007C16E1"/>
    <w:rsid w:val="007C1C4E"/>
    <w:rsid w:val="007D521C"/>
    <w:rsid w:val="007E3A53"/>
    <w:rsid w:val="008031AD"/>
    <w:rsid w:val="008061D5"/>
    <w:rsid w:val="008539BB"/>
    <w:rsid w:val="008560DE"/>
    <w:rsid w:val="008579D8"/>
    <w:rsid w:val="00891A79"/>
    <w:rsid w:val="008920C3"/>
    <w:rsid w:val="00896A4E"/>
    <w:rsid w:val="008970DF"/>
    <w:rsid w:val="0089776C"/>
    <w:rsid w:val="008A6773"/>
    <w:rsid w:val="008A78FC"/>
    <w:rsid w:val="008B23B1"/>
    <w:rsid w:val="008B3E60"/>
    <w:rsid w:val="008C6C85"/>
    <w:rsid w:val="008C74CE"/>
    <w:rsid w:val="008D0C45"/>
    <w:rsid w:val="008D54EC"/>
    <w:rsid w:val="008D6D41"/>
    <w:rsid w:val="008E205A"/>
    <w:rsid w:val="008E4AFF"/>
    <w:rsid w:val="008E5C87"/>
    <w:rsid w:val="008F3794"/>
    <w:rsid w:val="008F6D46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44B4"/>
    <w:rsid w:val="00980FE5"/>
    <w:rsid w:val="009822DD"/>
    <w:rsid w:val="00995B58"/>
    <w:rsid w:val="009A0909"/>
    <w:rsid w:val="009A4E51"/>
    <w:rsid w:val="009B25C4"/>
    <w:rsid w:val="009D2366"/>
    <w:rsid w:val="009D3268"/>
    <w:rsid w:val="009E0CF9"/>
    <w:rsid w:val="009E53F2"/>
    <w:rsid w:val="009E7375"/>
    <w:rsid w:val="009F697A"/>
    <w:rsid w:val="00A00AFD"/>
    <w:rsid w:val="00A11CB1"/>
    <w:rsid w:val="00A121CB"/>
    <w:rsid w:val="00A12C14"/>
    <w:rsid w:val="00A15095"/>
    <w:rsid w:val="00A228D5"/>
    <w:rsid w:val="00A239FD"/>
    <w:rsid w:val="00A26093"/>
    <w:rsid w:val="00A30DC2"/>
    <w:rsid w:val="00A52D72"/>
    <w:rsid w:val="00A55B8F"/>
    <w:rsid w:val="00A72C8E"/>
    <w:rsid w:val="00A732CA"/>
    <w:rsid w:val="00A8398D"/>
    <w:rsid w:val="00A90CBB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14BD"/>
    <w:rsid w:val="00AF3542"/>
    <w:rsid w:val="00B00DD8"/>
    <w:rsid w:val="00B036F5"/>
    <w:rsid w:val="00B045C4"/>
    <w:rsid w:val="00B3030F"/>
    <w:rsid w:val="00B851EE"/>
    <w:rsid w:val="00B92E76"/>
    <w:rsid w:val="00B93C5B"/>
    <w:rsid w:val="00B942D1"/>
    <w:rsid w:val="00BA5F8B"/>
    <w:rsid w:val="00BC4646"/>
    <w:rsid w:val="00BC6770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67043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C70F1"/>
    <w:rsid w:val="00CC7BFC"/>
    <w:rsid w:val="00CD6CA1"/>
    <w:rsid w:val="00CE3C6D"/>
    <w:rsid w:val="00CF09A6"/>
    <w:rsid w:val="00CF7389"/>
    <w:rsid w:val="00D03893"/>
    <w:rsid w:val="00D118C8"/>
    <w:rsid w:val="00D1415F"/>
    <w:rsid w:val="00D14412"/>
    <w:rsid w:val="00D26A3A"/>
    <w:rsid w:val="00D30736"/>
    <w:rsid w:val="00D40468"/>
    <w:rsid w:val="00D62296"/>
    <w:rsid w:val="00D714A0"/>
    <w:rsid w:val="00D807F1"/>
    <w:rsid w:val="00D836C2"/>
    <w:rsid w:val="00D91A3E"/>
    <w:rsid w:val="00DA71F2"/>
    <w:rsid w:val="00DB5109"/>
    <w:rsid w:val="00DB5491"/>
    <w:rsid w:val="00DB7910"/>
    <w:rsid w:val="00DD3C9D"/>
    <w:rsid w:val="00DE15C5"/>
    <w:rsid w:val="00DE35CE"/>
    <w:rsid w:val="00DE49B1"/>
    <w:rsid w:val="00DE5486"/>
    <w:rsid w:val="00DF361F"/>
    <w:rsid w:val="00DF54E2"/>
    <w:rsid w:val="00E03593"/>
    <w:rsid w:val="00E05F2A"/>
    <w:rsid w:val="00E41A9F"/>
    <w:rsid w:val="00E43369"/>
    <w:rsid w:val="00E517E6"/>
    <w:rsid w:val="00E51BDB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6B73"/>
    <w:rsid w:val="00ED72F9"/>
    <w:rsid w:val="00EE6F2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6057"/>
    <w:rsid w:val="00FB32B1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972205E"/>
    <w:rsid w:val="18B52DAD"/>
    <w:rsid w:val="18BDE9E3"/>
    <w:rsid w:val="1B4F9D62"/>
    <w:rsid w:val="1CD2415F"/>
    <w:rsid w:val="3011968C"/>
    <w:rsid w:val="31B536EB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690D4303"/>
    <w:rsid w:val="6C7B6266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F1ACA35F8A43FCB2AA79302D09B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143C-DAAF-42F9-A02B-62A638778EE8}"/>
      </w:docPartPr>
      <w:docPartBody>
        <w:p w:rsidR="000972E2" w:rsidRDefault="00DA047E" w:rsidP="00DA047E">
          <w:pPr>
            <w:pStyle w:val="11F1ACA35F8A43FCB2AA79302D09BE69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EB224AF6D364F34996CAF1C1DAD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306C-F532-4F8E-833A-EFC07C318FC7}"/>
      </w:docPartPr>
      <w:docPartBody>
        <w:p w:rsidR="000972E2" w:rsidRDefault="00DA047E" w:rsidP="00DA047E">
          <w:pPr>
            <w:pStyle w:val="3EB224AF6D364F34996CAF1C1DADCA9D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6B0CCBD5FD14E0DB3708111F97D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F8A33-5326-4E2D-B394-DBD7A066098D}"/>
      </w:docPartPr>
      <w:docPartBody>
        <w:p w:rsidR="004E3802" w:rsidRDefault="007A3FC6" w:rsidP="007A3FC6">
          <w:pPr>
            <w:pStyle w:val="96B0CCBD5FD14E0DB3708111F97D96E5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EF9A52E0BE45B69CC897582784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AD46-6526-4DAB-99AC-6DD437FA180C}"/>
      </w:docPartPr>
      <w:docPartBody>
        <w:p w:rsidR="007D3ADB" w:rsidRDefault="00B260B4" w:rsidP="00B260B4">
          <w:pPr>
            <w:pStyle w:val="65EF9A52E0BE45B69CC8975827840944"/>
          </w:pPr>
          <w:r w:rsidRPr="00E05DEC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972E2"/>
    <w:rsid w:val="000C2DEE"/>
    <w:rsid w:val="00151B81"/>
    <w:rsid w:val="00175DBC"/>
    <w:rsid w:val="0025267D"/>
    <w:rsid w:val="00367E4B"/>
    <w:rsid w:val="003960AA"/>
    <w:rsid w:val="003E6058"/>
    <w:rsid w:val="004E3802"/>
    <w:rsid w:val="00640436"/>
    <w:rsid w:val="00647C94"/>
    <w:rsid w:val="00711BB9"/>
    <w:rsid w:val="007A3FC6"/>
    <w:rsid w:val="007D3ADB"/>
    <w:rsid w:val="00812D31"/>
    <w:rsid w:val="0086140A"/>
    <w:rsid w:val="008973AD"/>
    <w:rsid w:val="008D54EC"/>
    <w:rsid w:val="00934ADC"/>
    <w:rsid w:val="009C7EFD"/>
    <w:rsid w:val="00A2092E"/>
    <w:rsid w:val="00AE4942"/>
    <w:rsid w:val="00B00D27"/>
    <w:rsid w:val="00B043FF"/>
    <w:rsid w:val="00B260B4"/>
    <w:rsid w:val="00B34250"/>
    <w:rsid w:val="00B43771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2235F"/>
    <w:rsid w:val="00DA047E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FC6"/>
    <w:rPr>
      <w:color w:val="808080"/>
    </w:rPr>
  </w:style>
  <w:style w:type="paragraph" w:customStyle="1" w:styleId="11F1ACA35F8A43FCB2AA79302D09BE69">
    <w:name w:val="11F1ACA35F8A43FCB2AA79302D09BE69"/>
    <w:rsid w:val="00DA047E"/>
    <w:rPr>
      <w:kern w:val="2"/>
      <w14:ligatures w14:val="standardContextual"/>
    </w:rPr>
  </w:style>
  <w:style w:type="paragraph" w:customStyle="1" w:styleId="3EB224AF6D364F34996CAF1C1DADCA9D">
    <w:name w:val="3EB224AF6D364F34996CAF1C1DADCA9D"/>
    <w:rsid w:val="00DA047E"/>
    <w:rPr>
      <w:kern w:val="2"/>
      <w14:ligatures w14:val="standardContextual"/>
    </w:rPr>
  </w:style>
  <w:style w:type="paragraph" w:customStyle="1" w:styleId="96B0CCBD5FD14E0DB3708111F97D96E5">
    <w:name w:val="96B0CCBD5FD14E0DB3708111F97D96E5"/>
    <w:rsid w:val="007A3FC6"/>
    <w:rPr>
      <w:kern w:val="2"/>
      <w14:ligatures w14:val="standardContextual"/>
    </w:rPr>
  </w:style>
  <w:style w:type="paragraph" w:customStyle="1" w:styleId="65EF9A52E0BE45B69CC8975827840944">
    <w:name w:val="65EF9A52E0BE45B69CC8975827840944"/>
    <w:rsid w:val="00B260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75b338bd-b087-4d7d-85b5-9a0083ad10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AA80F755CE44C8FA3B6D4B6E53296" ma:contentTypeVersion="10" ma:contentTypeDescription="Create a new document." ma:contentTypeScope="" ma:versionID="90c5b40398be48cd73eeecb00b15ac1c">
  <xsd:schema xmlns:xsd="http://www.w3.org/2001/XMLSchema" xmlns:xs="http://www.w3.org/2001/XMLSchema" xmlns:p="http://schemas.microsoft.com/office/2006/metadata/properties" xmlns:ns2="75b338bd-b087-4d7d-85b5-9a0083ad10cd" xmlns:ns3="3db48862-3d5a-4b5b-a8ee-b1270852f994" targetNamespace="http://schemas.microsoft.com/office/2006/metadata/properties" ma:root="true" ma:fieldsID="bb55fddd3858edf92e60cc214282eafa" ns2:_="" ns3:_="">
    <xsd:import namespace="75b338bd-b087-4d7d-85b5-9a0083ad10cd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338bd-b087-4d7d-85b5-9a0083ad1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db48862-3d5a-4b5b-a8ee-b1270852f994"/>
    <ds:schemaRef ds:uri="75b338bd-b087-4d7d-85b5-9a0083ad10cd"/>
  </ds:schemaRefs>
</ds:datastoreItem>
</file>

<file path=customXml/itemProps2.xml><?xml version="1.0" encoding="utf-8"?>
<ds:datastoreItem xmlns:ds="http://schemas.openxmlformats.org/officeDocument/2006/customXml" ds:itemID="{64F41397-6EFB-4248-8E96-110E95493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338bd-b087-4d7d-85b5-9a0083ad10cd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3</cp:revision>
  <dcterms:created xsi:type="dcterms:W3CDTF">2026-06-03T11:43:00Z</dcterms:created>
  <dcterms:modified xsi:type="dcterms:W3CDTF">2026-06-03T11:46:00Z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0x0101009B1AA80F755CE44C8FA3B6D4B6E53296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