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4AF12421" w:rsidR="00CB343C" w:rsidRPr="00A47DA4" w:rsidRDefault="00185886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Medicininių priemonių</w:t>
            </w:r>
            <w:r w:rsidR="00941281" w:rsidRPr="007B0CFF">
              <w:rPr>
                <w:sz w:val="18"/>
                <w:szCs w:val="18"/>
              </w:rPr>
              <w:t xml:space="preserve"> pirkimo </w:t>
            </w:r>
            <w:r w:rsidR="00941281"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Puslapioinaostekstas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lastRenderedPageBreak/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Sraopastraipa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Sraopastraipa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(ex</w:t>
      </w:r>
      <w:r>
        <w:rPr>
          <w:sz w:val="22"/>
        </w:rPr>
        <w:t>c</w:t>
      </w:r>
      <w:r w:rsidRPr="00264EB1">
        <w:rPr>
          <w:sz w:val="22"/>
        </w:rPr>
        <w:t>el</w:t>
      </w:r>
      <w:r w:rsidR="00E62547">
        <w:rPr>
          <w:sz w:val="22"/>
        </w:rPr>
        <w:t xml:space="preserve"> ir pdf</w:t>
      </w:r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Sraopastraipa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Sraopastraipa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Sraopastraipa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Default="00AA5ACB" w:rsidP="00CB343C">
      <w:pPr>
        <w:spacing w:after="0" w:line="240" w:lineRule="auto"/>
        <w:jc w:val="both"/>
        <w:rPr>
          <w:sz w:val="22"/>
        </w:rPr>
      </w:pPr>
    </w:p>
    <w:p w14:paraId="14E4857C" w14:textId="77777777" w:rsidR="0019663A" w:rsidRPr="00CB343C" w:rsidRDefault="0019663A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lastRenderedPageBreak/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86765" w14:textId="77777777" w:rsidR="009E068F" w:rsidRDefault="009E068F" w:rsidP="00AF11D0">
      <w:pPr>
        <w:spacing w:after="0" w:line="240" w:lineRule="auto"/>
      </w:pPr>
      <w:r>
        <w:separator/>
      </w:r>
    </w:p>
  </w:endnote>
  <w:endnote w:type="continuationSeparator" w:id="0">
    <w:p w14:paraId="179DF0E8" w14:textId="77777777" w:rsidR="009E068F" w:rsidRDefault="009E068F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5B316" w14:textId="77777777" w:rsidR="009E068F" w:rsidRDefault="009E068F" w:rsidP="00AF11D0">
      <w:pPr>
        <w:spacing w:after="0" w:line="240" w:lineRule="auto"/>
      </w:pPr>
      <w:r>
        <w:separator/>
      </w:r>
    </w:p>
  </w:footnote>
  <w:footnote w:type="continuationSeparator" w:id="0">
    <w:p w14:paraId="259960F1" w14:textId="77777777" w:rsidR="009E068F" w:rsidRDefault="009E068F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85886"/>
    <w:rsid w:val="00185A38"/>
    <w:rsid w:val="00193B35"/>
    <w:rsid w:val="0019663A"/>
    <w:rsid w:val="001B7CBA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A0A0B"/>
    <w:rsid w:val="002C3905"/>
    <w:rsid w:val="002E060C"/>
    <w:rsid w:val="002F4CE6"/>
    <w:rsid w:val="002F7C32"/>
    <w:rsid w:val="00304F04"/>
    <w:rsid w:val="00326522"/>
    <w:rsid w:val="00354373"/>
    <w:rsid w:val="00361E8F"/>
    <w:rsid w:val="00364BBA"/>
    <w:rsid w:val="003F4F1E"/>
    <w:rsid w:val="00416B7F"/>
    <w:rsid w:val="00464519"/>
    <w:rsid w:val="004A6A92"/>
    <w:rsid w:val="004B26C9"/>
    <w:rsid w:val="004E0613"/>
    <w:rsid w:val="005006BC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29B7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1281"/>
    <w:rsid w:val="00943027"/>
    <w:rsid w:val="0094543F"/>
    <w:rsid w:val="0095683E"/>
    <w:rsid w:val="00990765"/>
    <w:rsid w:val="009B7272"/>
    <w:rsid w:val="009C04A7"/>
    <w:rsid w:val="009D21B8"/>
    <w:rsid w:val="009D6436"/>
    <w:rsid w:val="009E068F"/>
    <w:rsid w:val="00A15C5B"/>
    <w:rsid w:val="00A240D6"/>
    <w:rsid w:val="00A95507"/>
    <w:rsid w:val="00AA5ACB"/>
    <w:rsid w:val="00AB4B13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70C4C"/>
    <w:rsid w:val="00CB343C"/>
    <w:rsid w:val="00CF386E"/>
    <w:rsid w:val="00D50505"/>
    <w:rsid w:val="00D73D58"/>
    <w:rsid w:val="00DC1135"/>
    <w:rsid w:val="00DC171A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1782E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5A74E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prastasis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prastasis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prastasis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Lentelstinklelis">
    <w:name w:val="Table Grid"/>
    <w:basedOn w:val="prastojilente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prastasis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prastasis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prastojilentel"/>
    <w:next w:val="Lentelstinklelis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prastasis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raopastraipaDiagrama">
    <w:name w:val="Sąrašo pastraipa Diagrama"/>
    <w:link w:val="Sraopastraipa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2861</Words>
  <Characters>1631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Lenovo</cp:lastModifiedBy>
  <cp:revision>14</cp:revision>
  <dcterms:created xsi:type="dcterms:W3CDTF">2022-12-08T15:20:00Z</dcterms:created>
  <dcterms:modified xsi:type="dcterms:W3CDTF">2026-06-04T18:54:00Z</dcterms:modified>
</cp:coreProperties>
</file>