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586132BF" w:rsid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202</w:t>
      </w:r>
      <w:r w:rsidR="00412AFA">
        <w:rPr>
          <w:rFonts w:ascii="Times New Roman" w:eastAsia="Times New Roman" w:hAnsi="Times New Roman" w:cs="Times New Roman"/>
          <w:sz w:val="24"/>
          <w:szCs w:val="24"/>
          <w:lang w:eastAsia="en-US"/>
        </w:rPr>
        <w:t>6</w:t>
      </w:r>
      <w:r w:rsidRPr="00742B67">
        <w:rPr>
          <w:rFonts w:ascii="Times New Roman" w:eastAsia="Times New Roman" w:hAnsi="Times New Roman" w:cs="Times New Roman"/>
          <w:sz w:val="24"/>
          <w:szCs w:val="24"/>
          <w:lang w:eastAsia="en-US"/>
        </w:rPr>
        <w:t xml:space="preserve"> m. </w:t>
      </w:r>
      <w:r w:rsidR="00D75379">
        <w:rPr>
          <w:rFonts w:ascii="Times New Roman" w:eastAsia="Times New Roman" w:hAnsi="Times New Roman" w:cs="Times New Roman"/>
          <w:sz w:val="24"/>
          <w:szCs w:val="24"/>
          <w:lang w:eastAsia="en-US"/>
        </w:rPr>
        <w:t>birželio 4</w:t>
      </w:r>
      <w:r w:rsidR="00A539D6">
        <w:rPr>
          <w:rFonts w:ascii="Times New Roman" w:eastAsia="Times New Roman" w:hAnsi="Times New Roman" w:cs="Times New Roman"/>
          <w:sz w:val="24"/>
          <w:szCs w:val="24"/>
          <w:lang w:eastAsia="en-US"/>
        </w:rPr>
        <w:t xml:space="preserve"> </w:t>
      </w:r>
      <w:r w:rsidRPr="00742B67">
        <w:rPr>
          <w:rFonts w:ascii="Times New Roman" w:eastAsia="Times New Roman" w:hAnsi="Times New Roman" w:cs="Times New Roman"/>
          <w:sz w:val="24"/>
          <w:szCs w:val="24"/>
          <w:lang w:eastAsia="en-US"/>
        </w:rPr>
        <w:t>d.</w:t>
      </w:r>
    </w:p>
    <w:p w14:paraId="51B169B1" w14:textId="77777777" w:rsidR="005E775F"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18AC7356"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D75379">
        <w:rPr>
          <w:rFonts w:ascii="Times New Roman" w:hAnsi="Times New Roman" w:cs="Times New Roman"/>
          <w:sz w:val="24"/>
          <w:szCs w:val="24"/>
        </w:rPr>
        <w:t>Nr. VPD-</w:t>
      </w:r>
      <w:r w:rsidR="00D75379" w:rsidRPr="00D75379">
        <w:rPr>
          <w:rFonts w:ascii="Times New Roman" w:hAnsi="Times New Roman" w:cs="Times New Roman"/>
          <w:sz w:val="24"/>
          <w:szCs w:val="24"/>
        </w:rPr>
        <w:t>6</w:t>
      </w:r>
      <w:r w:rsidRPr="00D75379">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14331B" w:rsidRDefault="00C471F3" w:rsidP="00C471F3">
          <w:pPr>
            <w:spacing w:after="120"/>
            <w:ind w:left="567" w:firstLine="0"/>
            <w:contextualSpacing/>
            <w:jc w:val="center"/>
            <w:rPr>
              <w:rFonts w:ascii="Times New Roman" w:hAnsi="Times New Roman" w:cs="Times New Roman"/>
              <w:sz w:val="28"/>
              <w:szCs w:val="28"/>
            </w:rPr>
          </w:pPr>
        </w:p>
        <w:p w14:paraId="2317D783" w14:textId="363AA329" w:rsidR="00C471F3"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MAŽOS VERTĖS VIEŠOJO PIRKIMO </w:t>
          </w:r>
          <w:r w:rsidR="0014331B" w:rsidRPr="0014331B">
            <w:rPr>
              <w:rFonts w:ascii="Times New Roman" w:hAnsi="Times New Roman" w:cs="Times New Roman"/>
              <w:b/>
              <w:bCs/>
              <w:sz w:val="28"/>
              <w:szCs w:val="28"/>
            </w:rPr>
            <w:t>„</w:t>
          </w:r>
          <w:r w:rsidR="00412AFA">
            <w:rPr>
              <w:rFonts w:ascii="Times New Roman" w:hAnsi="Times New Roman" w:cs="Times New Roman"/>
              <w:b/>
              <w:bCs/>
              <w:sz w:val="28"/>
              <w:szCs w:val="28"/>
            </w:rPr>
            <w:t>GYDOMIEJI MINERALINIO PURVO PAKETAI</w:t>
          </w:r>
          <w:r w:rsidR="0014331B" w:rsidRPr="0014331B">
            <w:rPr>
              <w:rFonts w:ascii="Times New Roman" w:hAnsi="Times New Roman" w:cs="Times New Roman"/>
              <w:b/>
              <w:bCs/>
              <w:sz w:val="28"/>
              <w:szCs w:val="28"/>
            </w:rPr>
            <w:t xml:space="preserve">“ </w:t>
          </w:r>
          <w:r w:rsidRPr="0014331B">
            <w:rPr>
              <w:rFonts w:ascii="Times New Roman" w:hAnsi="Times New Roman" w:cs="Times New Roman"/>
              <w:b/>
              <w:bCs/>
              <w:sz w:val="28"/>
              <w:szCs w:val="28"/>
            </w:rPr>
            <w:t>SKELBIAMOS APKLAUSOS SPECIALIOSIOS SĄLYGOS</w:t>
          </w:r>
        </w:p>
        <w:p w14:paraId="756F74BE" w14:textId="77777777" w:rsidR="005E775F"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Versija Nr. </w:t>
          </w:r>
          <w:r w:rsidR="00095EE0" w:rsidRPr="0014331B">
            <w:rPr>
              <w:rFonts w:ascii="Times New Roman" w:hAnsi="Times New Roman" w:cs="Times New Roman"/>
              <w:b/>
              <w:bCs/>
              <w:sz w:val="28"/>
              <w:szCs w:val="28"/>
            </w:rPr>
            <w:t>1</w:t>
          </w:r>
        </w:p>
        <w:p w14:paraId="165B1701" w14:textId="77777777" w:rsidR="005E775F" w:rsidRPr="0014331B"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pPr>
        <w:pStyle w:val="Antrat1"/>
        <w:numPr>
          <w:ilvl w:val="0"/>
          <w:numId w:val="5"/>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pPr>
        <w:pStyle w:val="Sraopastraipa"/>
        <w:numPr>
          <w:ilvl w:val="1"/>
          <w:numId w:val="8"/>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w:t>
      </w:r>
      <w:proofErr w:type="spellStart"/>
      <w:r w:rsidRPr="00011F27">
        <w:rPr>
          <w:lang w:val="lt-LT"/>
        </w:rPr>
        <w:t>jurgita.urboniene@fmrc.lt</w:t>
      </w:r>
      <w:proofErr w:type="spellEnd"/>
      <w:r w:rsidRPr="00011F27">
        <w:rPr>
          <w:lang w:val="lt-LT"/>
        </w:rPr>
        <w:t xml:space="preserve">.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04779">
        <w:rPr>
          <w:rFonts w:ascii="Times New Roman" w:hAnsi="Times New Roman" w:cs="Times New Roman"/>
          <w:sz w:val="24"/>
          <w:szCs w:val="24"/>
          <w:lang w:val="lt-LT"/>
        </w:rPr>
        <w:t>1.</w:t>
      </w:r>
      <w:r w:rsidR="00011F27" w:rsidRPr="00004779">
        <w:rPr>
          <w:rFonts w:ascii="Times New Roman" w:hAnsi="Times New Roman" w:cs="Times New Roman"/>
          <w:sz w:val="24"/>
          <w:szCs w:val="24"/>
          <w:lang w:val="lt-LT"/>
        </w:rPr>
        <w:t>5</w:t>
      </w:r>
      <w:r w:rsidRPr="00004779">
        <w:rPr>
          <w:rFonts w:ascii="Times New Roman" w:hAnsi="Times New Roman" w:cs="Times New Roman"/>
          <w:sz w:val="24"/>
          <w:szCs w:val="24"/>
          <w:lang w:val="lt-LT"/>
        </w:rPr>
        <w:t>.</w:t>
      </w:r>
      <w:r w:rsidRPr="00004779">
        <w:rPr>
          <w:rFonts w:ascii="Times New Roman" w:hAnsi="Times New Roman" w:cs="Times New Roman"/>
          <w:i/>
          <w:iCs/>
          <w:sz w:val="24"/>
          <w:szCs w:val="24"/>
          <w:lang w:val="lt-LT"/>
        </w:rPr>
        <w:t xml:space="preserve"> </w:t>
      </w:r>
      <w:r w:rsidR="00A20F5A" w:rsidRPr="00004779">
        <w:rPr>
          <w:rFonts w:ascii="Times New Roman" w:hAnsi="Times New Roman" w:cs="Times New Roman"/>
          <w:sz w:val="24"/>
          <w:szCs w:val="24"/>
          <w:lang w:val="lt-LT"/>
        </w:rPr>
        <w:t xml:space="preserve">Atliekamas žaliasis pirkimas. Pirkimas vykdomas vadovaujantis </w:t>
      </w:r>
      <w:hyperlink r:id="rId7" w:history="1">
        <w:r w:rsidR="00A20F5A" w:rsidRPr="00004779">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004779">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F01085">
      <w:pPr>
        <w:shd w:val="clear" w:color="auto" w:fill="FFFFFF" w:themeFill="background1"/>
        <w:spacing w:line="240" w:lineRule="auto"/>
        <w:ind w:firstLine="0"/>
        <w:rPr>
          <w:rFonts w:ascii="Times New Roman" w:hAnsi="Times New Roman" w:cs="Times New Roman"/>
          <w:sz w:val="24"/>
          <w:szCs w:val="24"/>
        </w:rPr>
      </w:pPr>
    </w:p>
    <w:p w14:paraId="682D575F" w14:textId="2C86F010" w:rsidR="00C471F3" w:rsidRPr="00456F84" w:rsidRDefault="00C471F3">
      <w:pPr>
        <w:pStyle w:val="Betarp"/>
        <w:numPr>
          <w:ilvl w:val="1"/>
          <w:numId w:val="7"/>
        </w:numPr>
        <w:shd w:val="clear" w:color="auto" w:fill="FFFFFF" w:themeFill="background1"/>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w:t>
      </w:r>
      <w:r w:rsidRPr="00866B0C">
        <w:rPr>
          <w:rFonts w:ascii="Times New Roman" w:hAnsi="Times New Roman" w:cs="Times New Roman"/>
          <w:sz w:val="24"/>
          <w:szCs w:val="24"/>
        </w:rPr>
        <w:t xml:space="preserve">Perkančioji organizacija </w:t>
      </w:r>
      <w:r w:rsidRPr="00866B0C">
        <w:rPr>
          <w:rFonts w:ascii="Times New Roman" w:eastAsia="Calibri" w:hAnsi="Times New Roman" w:cs="Times New Roman"/>
          <w:color w:val="000000" w:themeColor="text1"/>
          <w:sz w:val="24"/>
          <w:szCs w:val="24"/>
        </w:rPr>
        <w:t xml:space="preserve">numato įsigyti </w:t>
      </w:r>
      <w:r w:rsidR="00133587" w:rsidRPr="00866B0C">
        <w:rPr>
          <w:rFonts w:ascii="Times New Roman" w:eastAsia="Calibri" w:hAnsi="Times New Roman" w:cs="Times New Roman"/>
          <w:b/>
          <w:bCs/>
          <w:color w:val="000000" w:themeColor="text1"/>
          <w:sz w:val="24"/>
          <w:szCs w:val="24"/>
        </w:rPr>
        <w:t>Gydomuosius mineralinio purvo paketus</w:t>
      </w:r>
      <w:r w:rsidR="00011F27" w:rsidRPr="00866B0C">
        <w:rPr>
          <w:rFonts w:ascii="Times New Roman" w:eastAsia="Calibri" w:hAnsi="Times New Roman" w:cs="Times New Roman"/>
          <w:b/>
          <w:bCs/>
          <w:color w:val="000000" w:themeColor="text1"/>
          <w:sz w:val="24"/>
          <w:szCs w:val="24"/>
        </w:rPr>
        <w:t xml:space="preserve"> </w:t>
      </w:r>
      <w:r w:rsidR="00011F27" w:rsidRPr="00866B0C">
        <w:rPr>
          <w:rFonts w:ascii="Times New Roman" w:eastAsia="Calibri" w:hAnsi="Times New Roman" w:cs="Times New Roman"/>
          <w:color w:val="00B050"/>
          <w:sz w:val="24"/>
          <w:szCs w:val="24"/>
        </w:rPr>
        <w:t>(</w:t>
      </w:r>
      <w:r w:rsidR="00D703B9" w:rsidRPr="00866B0C">
        <w:rPr>
          <w:rFonts w:ascii="Times New Roman" w:hAnsi="Times New Roman" w:cs="Times New Roman"/>
          <w:sz w:val="24"/>
          <w:szCs w:val="24"/>
        </w:rPr>
        <w:t xml:space="preserve">BVPŽ kodas – </w:t>
      </w:r>
      <w:r w:rsidR="00F01085" w:rsidRPr="00866B0C">
        <w:rPr>
          <w:rFonts w:ascii="Times New Roman" w:hAnsi="Times New Roman" w:cs="Times New Roman"/>
          <w:sz w:val="24"/>
          <w:szCs w:val="24"/>
        </w:rPr>
        <w:t>33</w:t>
      </w:r>
      <w:r w:rsidR="00866B0C" w:rsidRPr="00866B0C">
        <w:rPr>
          <w:rFonts w:ascii="Times New Roman" w:hAnsi="Times New Roman" w:cs="Times New Roman"/>
          <w:sz w:val="24"/>
          <w:szCs w:val="24"/>
        </w:rPr>
        <w:t>693000</w:t>
      </w:r>
      <w:r w:rsidR="00F01085" w:rsidRPr="00866B0C">
        <w:rPr>
          <w:rFonts w:ascii="Times New Roman" w:hAnsi="Times New Roman" w:cs="Times New Roman"/>
          <w:sz w:val="24"/>
          <w:szCs w:val="24"/>
        </w:rPr>
        <w:t>-</w:t>
      </w:r>
      <w:r w:rsidR="00866B0C" w:rsidRPr="00866B0C">
        <w:rPr>
          <w:rFonts w:ascii="Times New Roman" w:hAnsi="Times New Roman" w:cs="Times New Roman"/>
          <w:sz w:val="24"/>
          <w:szCs w:val="24"/>
        </w:rPr>
        <w:t>4</w:t>
      </w:r>
      <w:r w:rsidR="00D703B9" w:rsidRPr="00866B0C">
        <w:rPr>
          <w:rFonts w:ascii="Times New Roman" w:hAnsi="Times New Roman" w:cs="Times New Roman"/>
          <w:sz w:val="24"/>
          <w:szCs w:val="24"/>
        </w:rPr>
        <w:t>).</w:t>
      </w:r>
      <w:r w:rsidRPr="00A539D6">
        <w:rPr>
          <w:rFonts w:ascii="Times New Roman" w:hAnsi="Times New Roman" w:cs="Times New Roman"/>
          <w:sz w:val="24"/>
          <w:szCs w:val="24"/>
        </w:rPr>
        <w:t xml:space="preserve"> Reikalavimai</w:t>
      </w:r>
      <w:r w:rsidRPr="00456F84">
        <w:rPr>
          <w:rFonts w:ascii="Times New Roman" w:hAnsi="Times New Roman" w:cs="Times New Roman"/>
          <w:sz w:val="24"/>
          <w:szCs w:val="24"/>
        </w:rPr>
        <w:t xml:space="preserve">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7F91FADC"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 xml:space="preserve">Maksimali planuojamos sudaryti </w:t>
      </w:r>
      <w:r w:rsidR="00E0453C" w:rsidRPr="00F01085">
        <w:rPr>
          <w:rFonts w:ascii="Times New Roman" w:hAnsi="Times New Roman" w:cs="Times New Roman"/>
          <w:sz w:val="24"/>
          <w:szCs w:val="24"/>
        </w:rPr>
        <w:t>sutarties vertė (36 mėn.) – 1</w:t>
      </w:r>
      <w:r w:rsidR="009F7211" w:rsidRPr="00F01085">
        <w:rPr>
          <w:rFonts w:ascii="Times New Roman" w:hAnsi="Times New Roman" w:cs="Times New Roman"/>
          <w:sz w:val="24"/>
          <w:szCs w:val="24"/>
        </w:rPr>
        <w:t>4</w:t>
      </w:r>
      <w:r w:rsidR="00E0453C" w:rsidRPr="00F01085">
        <w:rPr>
          <w:rFonts w:ascii="Times New Roman" w:hAnsi="Times New Roman" w:cs="Times New Roman"/>
          <w:sz w:val="24"/>
          <w:szCs w:val="24"/>
        </w:rPr>
        <w:t xml:space="preserve"> </w:t>
      </w:r>
      <w:r w:rsidR="00866B0C">
        <w:rPr>
          <w:rFonts w:ascii="Times New Roman" w:hAnsi="Times New Roman" w:cs="Times New Roman"/>
          <w:sz w:val="24"/>
          <w:szCs w:val="24"/>
        </w:rPr>
        <w:t>5</w:t>
      </w:r>
      <w:r w:rsidR="00E0453C" w:rsidRPr="00F01085">
        <w:rPr>
          <w:rFonts w:ascii="Times New Roman" w:hAnsi="Times New Roman" w:cs="Times New Roman"/>
          <w:sz w:val="24"/>
          <w:szCs w:val="24"/>
        </w:rPr>
        <w:t xml:space="preserve">00,00 Eur be PVM. </w:t>
      </w:r>
      <w:r w:rsidR="009E64F9">
        <w:rPr>
          <w:rFonts w:ascii="Times New Roman" w:hAnsi="Times New Roman" w:cs="Times New Roman"/>
          <w:sz w:val="24"/>
          <w:szCs w:val="24"/>
        </w:rPr>
        <w:t>Gydomieji mineralinio purvo paketai</w:t>
      </w:r>
      <w:r w:rsidR="00E0453C" w:rsidRPr="00E0453C">
        <w:rPr>
          <w:rFonts w:ascii="Times New Roman" w:hAnsi="Times New Roman" w:cs="Times New Roman"/>
          <w:sz w:val="24"/>
          <w:szCs w:val="24"/>
        </w:rPr>
        <w:t xml:space="preserve"> bus perkam</w:t>
      </w:r>
      <w:r w:rsidR="00F050B8">
        <w:rPr>
          <w:rFonts w:ascii="Times New Roman" w:hAnsi="Times New Roman" w:cs="Times New Roman"/>
          <w:sz w:val="24"/>
          <w:szCs w:val="24"/>
        </w:rPr>
        <w:t>i</w:t>
      </w:r>
      <w:r w:rsidR="00E0453C" w:rsidRPr="00E0453C">
        <w:rPr>
          <w:rFonts w:ascii="Times New Roman" w:hAnsi="Times New Roman" w:cs="Times New Roman"/>
          <w:sz w:val="24"/>
          <w:szCs w:val="24"/>
        </w:rPr>
        <w:t xml:space="preserve">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pPr>
        <w:pStyle w:val="Sraopastraipa"/>
        <w:numPr>
          <w:ilvl w:val="1"/>
          <w:numId w:val="7"/>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pPr>
        <w:pStyle w:val="Sraopastraipa"/>
        <w:numPr>
          <w:ilvl w:val="1"/>
          <w:numId w:val="7"/>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pPr>
        <w:pStyle w:val="Sraopastraipa"/>
        <w:numPr>
          <w:ilvl w:val="1"/>
          <w:numId w:val="7"/>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lastRenderedPageBreak/>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pPr>
        <w:pStyle w:val="Sraopastraipa"/>
        <w:numPr>
          <w:ilvl w:val="1"/>
          <w:numId w:val="7"/>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pPr>
        <w:pStyle w:val="Antrat1"/>
        <w:numPr>
          <w:ilvl w:val="0"/>
          <w:numId w:val="7"/>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pPr>
        <w:pStyle w:val="Antrat1"/>
        <w:numPr>
          <w:ilvl w:val="0"/>
          <w:numId w:val="7"/>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784D9217" w14:textId="77777777" w:rsidR="00C471F3" w:rsidRDefault="00C471F3" w:rsidP="001810B5">
      <w:pPr>
        <w:pStyle w:val="Sraopastraipa"/>
        <w:spacing w:line="240" w:lineRule="auto"/>
        <w:ind w:left="0" w:firstLine="567"/>
        <w:rPr>
          <w:rFonts w:ascii="Times New Roman" w:hAnsi="Times New Roman" w:cs="Times New Roman"/>
          <w:sz w:val="24"/>
          <w:szCs w:val="24"/>
          <w:lang w:val="lt-LT"/>
        </w:rPr>
      </w:pPr>
    </w:p>
    <w:p w14:paraId="3AE06876" w14:textId="77777777" w:rsidR="00866B0C" w:rsidRPr="00B862F1" w:rsidRDefault="00866B0C"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lastRenderedPageBreak/>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pPr>
        <w:pStyle w:val="Antrat1"/>
        <w:numPr>
          <w:ilvl w:val="0"/>
          <w:numId w:val="6"/>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pPr>
        <w:pStyle w:val="Sraopastraipa"/>
        <w:numPr>
          <w:ilvl w:val="1"/>
          <w:numId w:val="9"/>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pPr>
        <w:pStyle w:val="Sraopastraipa"/>
        <w:numPr>
          <w:ilvl w:val="1"/>
          <w:numId w:val="9"/>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Default="00937176" w:rsidP="007176EC">
      <w:pPr>
        <w:spacing w:line="240" w:lineRule="auto"/>
        <w:ind w:left="6804" w:firstLine="0"/>
        <w:rPr>
          <w:rFonts w:ascii="Times New Roman" w:hAnsi="Times New Roman" w:cs="Times New Roman"/>
          <w:sz w:val="24"/>
          <w:szCs w:val="24"/>
        </w:rPr>
      </w:pPr>
    </w:p>
    <w:p w14:paraId="316A9CA0" w14:textId="77777777" w:rsidR="009E64F9" w:rsidRPr="00D649D9" w:rsidRDefault="009E64F9" w:rsidP="007176EC">
      <w:pPr>
        <w:spacing w:line="240" w:lineRule="auto"/>
        <w:ind w:left="6804" w:firstLine="0"/>
        <w:rPr>
          <w:rFonts w:ascii="Times New Roman" w:hAnsi="Times New Roman" w:cs="Times New Roman"/>
          <w:sz w:val="24"/>
          <w:szCs w:val="24"/>
        </w:rPr>
      </w:pPr>
    </w:p>
    <w:p w14:paraId="734AF90F" w14:textId="2BA39BC7" w:rsidR="00A539D6" w:rsidRPr="00833378" w:rsidRDefault="00833378" w:rsidP="00833378">
      <w:pPr>
        <w:pStyle w:val="Default"/>
        <w:spacing w:line="360" w:lineRule="auto"/>
        <w:jc w:val="center"/>
        <w:rPr>
          <w:b/>
          <w:bCs/>
          <w:lang w:val="lt-LT"/>
        </w:rPr>
      </w:pPr>
      <w:r w:rsidRPr="00833378">
        <w:rPr>
          <w:b/>
          <w:bCs/>
          <w:lang w:val="lt-LT"/>
        </w:rPr>
        <w:t>GYDOMŲJŲ MINERALINIO PURVO PAKETŲ</w:t>
      </w:r>
      <w:r w:rsidR="0067215B" w:rsidRPr="00833378">
        <w:rPr>
          <w:b/>
          <w:bCs/>
          <w:lang w:val="lt-LT"/>
        </w:rPr>
        <w:t xml:space="preserve"> T</w:t>
      </w:r>
      <w:r w:rsidR="00A539D6" w:rsidRPr="00833378">
        <w:rPr>
          <w:b/>
          <w:bCs/>
          <w:lang w:val="lt-LT"/>
        </w:rPr>
        <w:t>ECHNINĖ SPECIFIKACIJA</w:t>
      </w:r>
    </w:p>
    <w:tbl>
      <w:tblPr>
        <w:tblW w:w="10093" w:type="dxa"/>
        <w:tblInd w:w="108" w:type="dxa"/>
        <w:tblLayout w:type="fixed"/>
        <w:tblLook w:val="0000" w:firstRow="0" w:lastRow="0" w:firstColumn="0" w:lastColumn="0" w:noHBand="0" w:noVBand="0"/>
      </w:tblPr>
      <w:tblGrid>
        <w:gridCol w:w="784"/>
        <w:gridCol w:w="6474"/>
        <w:gridCol w:w="2835"/>
      </w:tblGrid>
      <w:tr w:rsidR="00833378" w:rsidRPr="00833378" w14:paraId="1093C910" w14:textId="77777777" w:rsidTr="00833378">
        <w:tc>
          <w:tcPr>
            <w:tcW w:w="784" w:type="dxa"/>
            <w:tcBorders>
              <w:top w:val="single" w:sz="4" w:space="0" w:color="000000"/>
              <w:left w:val="single" w:sz="4" w:space="0" w:color="000000"/>
              <w:bottom w:val="single" w:sz="4" w:space="0" w:color="000000"/>
              <w:right w:val="single" w:sz="4" w:space="0" w:color="000000"/>
            </w:tcBorders>
            <w:vAlign w:val="center"/>
          </w:tcPr>
          <w:p w14:paraId="6D657D59" w14:textId="206BF490" w:rsidR="00833378" w:rsidRPr="00833378" w:rsidRDefault="00833378" w:rsidP="00833378">
            <w:pPr>
              <w:snapToGrid w:val="0"/>
              <w:spacing w:line="360" w:lineRule="auto"/>
              <w:ind w:firstLine="0"/>
              <w:rPr>
                <w:rFonts w:ascii="Times New Roman" w:eastAsia="Times New Roman" w:hAnsi="Times New Roman" w:cs="Times New Roman"/>
                <w:b/>
                <w:bCs/>
                <w:sz w:val="24"/>
                <w:szCs w:val="24"/>
              </w:rPr>
            </w:pPr>
            <w:r w:rsidRPr="00833378">
              <w:rPr>
                <w:rFonts w:ascii="Times New Roman" w:eastAsia="Times New Roman" w:hAnsi="Times New Roman" w:cs="Times New Roman"/>
                <w:b/>
                <w:bCs/>
                <w:sz w:val="24"/>
                <w:szCs w:val="24"/>
              </w:rPr>
              <w:t>Eil. Nr.</w:t>
            </w:r>
          </w:p>
        </w:tc>
        <w:tc>
          <w:tcPr>
            <w:tcW w:w="6474" w:type="dxa"/>
            <w:tcBorders>
              <w:top w:val="single" w:sz="4" w:space="0" w:color="000000"/>
              <w:left w:val="single" w:sz="4" w:space="0" w:color="000000"/>
              <w:bottom w:val="single" w:sz="4" w:space="0" w:color="000000"/>
              <w:right w:val="single" w:sz="4" w:space="0" w:color="000000"/>
            </w:tcBorders>
            <w:vAlign w:val="center"/>
          </w:tcPr>
          <w:p w14:paraId="6986C0F5" w14:textId="41A20F76" w:rsidR="00833378" w:rsidRPr="00833378" w:rsidRDefault="00833378" w:rsidP="00833378">
            <w:pPr>
              <w:snapToGrid w:val="0"/>
              <w:spacing w:line="360" w:lineRule="auto"/>
              <w:ind w:hanging="11"/>
              <w:jc w:val="center"/>
              <w:rPr>
                <w:rFonts w:ascii="Times New Roman" w:eastAsia="Times New Roman" w:hAnsi="Times New Roman" w:cs="Times New Roman"/>
                <w:b/>
                <w:bCs/>
                <w:sz w:val="24"/>
                <w:szCs w:val="24"/>
              </w:rPr>
            </w:pPr>
            <w:r w:rsidRPr="00833378">
              <w:rPr>
                <w:rFonts w:ascii="Times New Roman" w:eastAsia="Times New Roman" w:hAnsi="Times New Roman" w:cs="Times New Roman"/>
                <w:b/>
                <w:bCs/>
                <w:sz w:val="24"/>
                <w:szCs w:val="24"/>
              </w:rPr>
              <w:t>Savybės / komponentai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55A22" w14:textId="58EEA0E3" w:rsidR="00833378" w:rsidRPr="00833378" w:rsidRDefault="00833378" w:rsidP="00833378">
            <w:pPr>
              <w:spacing w:line="360" w:lineRule="auto"/>
              <w:ind w:firstLine="40"/>
              <w:jc w:val="center"/>
              <w:rPr>
                <w:rFonts w:ascii="Times New Roman" w:eastAsia="Times New Roman" w:hAnsi="Times New Roman" w:cs="Times New Roman"/>
                <w:bCs/>
                <w:sz w:val="24"/>
                <w:szCs w:val="24"/>
              </w:rPr>
            </w:pPr>
            <w:r w:rsidRPr="00833378">
              <w:rPr>
                <w:rFonts w:ascii="Times New Roman" w:eastAsia="Times New Roman" w:hAnsi="Times New Roman" w:cs="Times New Roman"/>
                <w:b/>
                <w:bCs/>
                <w:sz w:val="24"/>
                <w:szCs w:val="24"/>
              </w:rPr>
              <w:t>Techniniai rodikliai</w:t>
            </w:r>
          </w:p>
        </w:tc>
      </w:tr>
      <w:tr w:rsidR="00833378" w:rsidRPr="00833378" w14:paraId="6BCBE15D" w14:textId="77777777" w:rsidTr="00833378">
        <w:tc>
          <w:tcPr>
            <w:tcW w:w="784" w:type="dxa"/>
            <w:tcBorders>
              <w:top w:val="single" w:sz="4" w:space="0" w:color="000000"/>
              <w:left w:val="single" w:sz="4" w:space="0" w:color="000000"/>
              <w:bottom w:val="single" w:sz="4" w:space="0" w:color="000000"/>
              <w:right w:val="single" w:sz="4" w:space="0" w:color="000000"/>
            </w:tcBorders>
          </w:tcPr>
          <w:p w14:paraId="109528C8" w14:textId="4F46F6B4"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bCs/>
                <w:sz w:val="24"/>
                <w:szCs w:val="24"/>
              </w:rPr>
              <w:t>1.</w:t>
            </w:r>
          </w:p>
        </w:tc>
        <w:tc>
          <w:tcPr>
            <w:tcW w:w="6474" w:type="dxa"/>
            <w:tcBorders>
              <w:top w:val="single" w:sz="4" w:space="0" w:color="000000"/>
              <w:left w:val="single" w:sz="4" w:space="0" w:color="000000"/>
              <w:bottom w:val="single" w:sz="4" w:space="0" w:color="000000"/>
              <w:right w:val="single" w:sz="4" w:space="0" w:color="000000"/>
            </w:tcBorders>
          </w:tcPr>
          <w:p w14:paraId="4BFDDFAB" w14:textId="43358141"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hAnsi="Times New Roman" w:cs="Times New Roman"/>
                <w:sz w:val="24"/>
                <w:szCs w:val="24"/>
              </w:rPr>
              <w:t>Gydomųjų mineralinio purvo paketų preliminarus kiekis</w:t>
            </w:r>
          </w:p>
        </w:tc>
        <w:tc>
          <w:tcPr>
            <w:tcW w:w="2835" w:type="dxa"/>
            <w:tcBorders>
              <w:top w:val="single" w:sz="4" w:space="0" w:color="000000"/>
              <w:left w:val="single" w:sz="4" w:space="0" w:color="000000"/>
              <w:bottom w:val="single" w:sz="4" w:space="0" w:color="000000"/>
              <w:right w:val="single" w:sz="4" w:space="0" w:color="000000"/>
            </w:tcBorders>
          </w:tcPr>
          <w:p w14:paraId="461710B6" w14:textId="6F76DA02"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 xml:space="preserve">20 000 vnt. </w:t>
            </w:r>
          </w:p>
        </w:tc>
      </w:tr>
      <w:tr w:rsidR="00833378" w:rsidRPr="00833378" w14:paraId="437865DC" w14:textId="77777777" w:rsidTr="00833378">
        <w:tc>
          <w:tcPr>
            <w:tcW w:w="784" w:type="dxa"/>
            <w:tcBorders>
              <w:top w:val="single" w:sz="4" w:space="0" w:color="000000"/>
              <w:left w:val="single" w:sz="4" w:space="0" w:color="000000"/>
              <w:bottom w:val="single" w:sz="4" w:space="0" w:color="000000"/>
              <w:right w:val="single" w:sz="4" w:space="0" w:color="000000"/>
            </w:tcBorders>
          </w:tcPr>
          <w:p w14:paraId="0791A234" w14:textId="5054106F"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2.</w:t>
            </w:r>
          </w:p>
        </w:tc>
        <w:tc>
          <w:tcPr>
            <w:tcW w:w="6474" w:type="dxa"/>
            <w:tcBorders>
              <w:top w:val="single" w:sz="4" w:space="0" w:color="000000"/>
              <w:left w:val="single" w:sz="4" w:space="0" w:color="000000"/>
              <w:bottom w:val="single" w:sz="4" w:space="0" w:color="000000"/>
              <w:right w:val="single" w:sz="4" w:space="0" w:color="000000"/>
            </w:tcBorders>
          </w:tcPr>
          <w:p w14:paraId="4E167822" w14:textId="3794629C"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hAnsi="Times New Roman" w:cs="Times New Roman"/>
                <w:sz w:val="24"/>
                <w:szCs w:val="24"/>
              </w:rPr>
              <w:t xml:space="preserve">Paketų vnt. pakuotėje </w:t>
            </w:r>
          </w:p>
        </w:tc>
        <w:tc>
          <w:tcPr>
            <w:tcW w:w="2835" w:type="dxa"/>
            <w:tcBorders>
              <w:top w:val="single" w:sz="4" w:space="0" w:color="000000"/>
              <w:left w:val="single" w:sz="4" w:space="0" w:color="000000"/>
              <w:bottom w:val="single" w:sz="4" w:space="0" w:color="000000"/>
              <w:right w:val="single" w:sz="4" w:space="0" w:color="000000"/>
            </w:tcBorders>
          </w:tcPr>
          <w:p w14:paraId="404A9B20" w14:textId="6807E47B"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Pr>
                <w:rFonts w:ascii="Times New Roman" w:eastAsia="Times New Roman" w:hAnsi="Times New Roman" w:cs="Times New Roman"/>
                <w:sz w:val="24"/>
                <w:szCs w:val="24"/>
              </w:rPr>
              <w:t>N</w:t>
            </w:r>
            <w:r w:rsidRPr="00833378">
              <w:rPr>
                <w:rFonts w:ascii="Times New Roman" w:eastAsia="Times New Roman" w:hAnsi="Times New Roman" w:cs="Times New Roman"/>
                <w:sz w:val="24"/>
                <w:szCs w:val="24"/>
              </w:rPr>
              <w:t>e daugiau 10 vnt.</w:t>
            </w:r>
          </w:p>
        </w:tc>
      </w:tr>
      <w:tr w:rsidR="00833378" w:rsidRPr="00833378" w14:paraId="1F32D819" w14:textId="77777777" w:rsidTr="00833378">
        <w:tc>
          <w:tcPr>
            <w:tcW w:w="784" w:type="dxa"/>
            <w:tcBorders>
              <w:top w:val="single" w:sz="4" w:space="0" w:color="000000"/>
              <w:left w:val="single" w:sz="4" w:space="0" w:color="000000"/>
              <w:bottom w:val="single" w:sz="4" w:space="0" w:color="000000"/>
              <w:right w:val="single" w:sz="4" w:space="0" w:color="000000"/>
            </w:tcBorders>
          </w:tcPr>
          <w:p w14:paraId="7CE87B0A" w14:textId="75C87F67"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3.</w:t>
            </w:r>
          </w:p>
        </w:tc>
        <w:tc>
          <w:tcPr>
            <w:tcW w:w="6474" w:type="dxa"/>
            <w:tcBorders>
              <w:top w:val="single" w:sz="4" w:space="0" w:color="000000"/>
              <w:left w:val="single" w:sz="4" w:space="0" w:color="000000"/>
              <w:bottom w:val="single" w:sz="4" w:space="0" w:color="000000"/>
              <w:right w:val="single" w:sz="4" w:space="0" w:color="000000"/>
            </w:tcBorders>
          </w:tcPr>
          <w:p w14:paraId="11159452" w14:textId="27CC7B8B" w:rsidR="00833378" w:rsidRPr="00833378" w:rsidRDefault="00833378" w:rsidP="00833378">
            <w:pPr>
              <w:suppressAutoHyphens/>
              <w:spacing w:line="360" w:lineRule="auto"/>
              <w:ind w:firstLine="0"/>
              <w:textAlignment w:val="baseline"/>
              <w:rPr>
                <w:rFonts w:ascii="Times New Roman" w:eastAsia="Times New Roman" w:hAnsi="Times New Roman" w:cs="Times New Roman"/>
                <w:kern w:val="1"/>
                <w:sz w:val="24"/>
                <w:szCs w:val="24"/>
                <w:lang w:eastAsia="ar-SA"/>
              </w:rPr>
            </w:pPr>
            <w:r w:rsidRPr="00833378">
              <w:rPr>
                <w:rFonts w:ascii="Times New Roman" w:hAnsi="Times New Roman" w:cs="Times New Roman"/>
                <w:sz w:val="24"/>
                <w:szCs w:val="24"/>
                <w:lang w:bidi="hi-IN"/>
              </w:rPr>
              <w:t>Vienkartiniai, skirti šilumos terapijai (tolygūs, nesukrentantys gabalais).</w:t>
            </w:r>
          </w:p>
        </w:tc>
        <w:tc>
          <w:tcPr>
            <w:tcW w:w="2835" w:type="dxa"/>
            <w:tcBorders>
              <w:top w:val="single" w:sz="4" w:space="0" w:color="000000"/>
              <w:left w:val="single" w:sz="4" w:space="0" w:color="000000"/>
              <w:bottom w:val="single" w:sz="4" w:space="0" w:color="000000"/>
              <w:right w:val="single" w:sz="4" w:space="0" w:color="000000"/>
            </w:tcBorders>
          </w:tcPr>
          <w:p w14:paraId="11987B8C" w14:textId="709F8842" w:rsidR="00833378" w:rsidRPr="00833378" w:rsidRDefault="00833378" w:rsidP="00833378">
            <w:pPr>
              <w:suppressAutoHyphens/>
              <w:autoSpaceDN w:val="0"/>
              <w:spacing w:line="360" w:lineRule="auto"/>
              <w:ind w:firstLine="0"/>
              <w:textAlignment w:val="baseline"/>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Būtina</w:t>
            </w:r>
          </w:p>
        </w:tc>
      </w:tr>
      <w:tr w:rsidR="00833378" w:rsidRPr="00833378" w14:paraId="0C321911" w14:textId="77777777" w:rsidTr="00833378">
        <w:tc>
          <w:tcPr>
            <w:tcW w:w="784" w:type="dxa"/>
            <w:tcBorders>
              <w:top w:val="single" w:sz="4" w:space="0" w:color="000000"/>
              <w:left w:val="single" w:sz="4" w:space="0" w:color="000000"/>
              <w:bottom w:val="single" w:sz="4" w:space="0" w:color="000000"/>
              <w:right w:val="single" w:sz="4" w:space="0" w:color="000000"/>
            </w:tcBorders>
          </w:tcPr>
          <w:p w14:paraId="650C968E" w14:textId="333B3C25"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4.</w:t>
            </w:r>
          </w:p>
        </w:tc>
        <w:tc>
          <w:tcPr>
            <w:tcW w:w="6474" w:type="dxa"/>
            <w:tcBorders>
              <w:top w:val="single" w:sz="4" w:space="0" w:color="000000"/>
              <w:left w:val="single" w:sz="4" w:space="0" w:color="000000"/>
              <w:bottom w:val="single" w:sz="4" w:space="0" w:color="000000"/>
              <w:right w:val="single" w:sz="4" w:space="0" w:color="000000"/>
            </w:tcBorders>
          </w:tcPr>
          <w:p w14:paraId="2EF8A86B" w14:textId="027F2E23" w:rsidR="00833378" w:rsidRPr="00833378" w:rsidRDefault="00833378" w:rsidP="00833378">
            <w:pPr>
              <w:suppressAutoHyphens/>
              <w:spacing w:line="360" w:lineRule="auto"/>
              <w:ind w:hanging="11"/>
              <w:textAlignment w:val="baseline"/>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Viena paketo pusė iš integruotos neaustinės medžiagos, kuri pralaidi veikliosioms purvo medžiagoms.</w:t>
            </w:r>
          </w:p>
        </w:tc>
        <w:tc>
          <w:tcPr>
            <w:tcW w:w="2835" w:type="dxa"/>
            <w:tcBorders>
              <w:top w:val="single" w:sz="4" w:space="0" w:color="000000"/>
              <w:left w:val="single" w:sz="4" w:space="0" w:color="000000"/>
              <w:bottom w:val="single" w:sz="4" w:space="0" w:color="000000"/>
              <w:right w:val="single" w:sz="4" w:space="0" w:color="000000"/>
            </w:tcBorders>
          </w:tcPr>
          <w:p w14:paraId="1461DAC1" w14:textId="6419AE42"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Būtina</w:t>
            </w:r>
          </w:p>
        </w:tc>
      </w:tr>
      <w:tr w:rsidR="00833378" w:rsidRPr="00833378" w14:paraId="26E88B7F" w14:textId="77777777" w:rsidTr="00833378">
        <w:tc>
          <w:tcPr>
            <w:tcW w:w="784" w:type="dxa"/>
            <w:tcBorders>
              <w:top w:val="single" w:sz="4" w:space="0" w:color="000000"/>
              <w:left w:val="single" w:sz="4" w:space="0" w:color="000000"/>
              <w:bottom w:val="single" w:sz="4" w:space="0" w:color="000000"/>
              <w:right w:val="single" w:sz="4" w:space="0" w:color="000000"/>
            </w:tcBorders>
          </w:tcPr>
          <w:p w14:paraId="78F845F6" w14:textId="483F0700"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5.</w:t>
            </w:r>
          </w:p>
        </w:tc>
        <w:tc>
          <w:tcPr>
            <w:tcW w:w="6474" w:type="dxa"/>
            <w:tcBorders>
              <w:top w:val="single" w:sz="4" w:space="0" w:color="000000"/>
              <w:left w:val="single" w:sz="4" w:space="0" w:color="000000"/>
              <w:bottom w:val="single" w:sz="4" w:space="0" w:color="000000"/>
              <w:right w:val="single" w:sz="4" w:space="0" w:color="000000"/>
            </w:tcBorders>
          </w:tcPr>
          <w:p w14:paraId="67A0F5B0" w14:textId="2A3A067A"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hAnsi="Times New Roman" w:cs="Times New Roman"/>
                <w:sz w:val="24"/>
                <w:szCs w:val="24"/>
              </w:rPr>
              <w:t>Turi pakankamą kiekį drėgmės</w:t>
            </w:r>
          </w:p>
        </w:tc>
        <w:tc>
          <w:tcPr>
            <w:tcW w:w="2835" w:type="dxa"/>
            <w:tcBorders>
              <w:top w:val="single" w:sz="4" w:space="0" w:color="000000"/>
              <w:left w:val="single" w:sz="4" w:space="0" w:color="000000"/>
              <w:bottom w:val="single" w:sz="4" w:space="0" w:color="000000"/>
              <w:right w:val="single" w:sz="4" w:space="0" w:color="000000"/>
            </w:tcBorders>
          </w:tcPr>
          <w:p w14:paraId="24FE3C94" w14:textId="510EA547"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Būtina</w:t>
            </w:r>
          </w:p>
        </w:tc>
      </w:tr>
      <w:tr w:rsidR="00833378" w:rsidRPr="00833378" w14:paraId="22E69EE3" w14:textId="77777777" w:rsidTr="00833378">
        <w:tc>
          <w:tcPr>
            <w:tcW w:w="784" w:type="dxa"/>
            <w:tcBorders>
              <w:top w:val="single" w:sz="4" w:space="0" w:color="000000"/>
              <w:left w:val="single" w:sz="4" w:space="0" w:color="000000"/>
              <w:bottom w:val="single" w:sz="4" w:space="0" w:color="000000"/>
              <w:right w:val="single" w:sz="4" w:space="0" w:color="000000"/>
            </w:tcBorders>
          </w:tcPr>
          <w:p w14:paraId="423C5E5A" w14:textId="39E77706"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6.</w:t>
            </w:r>
          </w:p>
        </w:tc>
        <w:tc>
          <w:tcPr>
            <w:tcW w:w="6474" w:type="dxa"/>
            <w:tcBorders>
              <w:top w:val="single" w:sz="4" w:space="0" w:color="000000"/>
              <w:left w:val="single" w:sz="4" w:space="0" w:color="000000"/>
              <w:bottom w:val="single" w:sz="4" w:space="0" w:color="000000"/>
              <w:right w:val="single" w:sz="4" w:space="0" w:color="000000"/>
            </w:tcBorders>
          </w:tcPr>
          <w:p w14:paraId="20FC8D05" w14:textId="7FCE0009" w:rsidR="00833378" w:rsidRPr="00833378" w:rsidRDefault="00833378" w:rsidP="00833378">
            <w:pPr>
              <w:suppressAutoHyphens/>
              <w:spacing w:line="360" w:lineRule="auto"/>
              <w:ind w:hanging="11"/>
              <w:textAlignment w:val="baseline"/>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Su natūraliomis priemaišomis, kurios užkerta kelią didesnio vandens kiekio ištekėjimui iš maišelio.</w:t>
            </w:r>
          </w:p>
        </w:tc>
        <w:tc>
          <w:tcPr>
            <w:tcW w:w="2835" w:type="dxa"/>
            <w:tcBorders>
              <w:top w:val="single" w:sz="4" w:space="0" w:color="000000"/>
              <w:left w:val="single" w:sz="4" w:space="0" w:color="000000"/>
              <w:bottom w:val="single" w:sz="4" w:space="0" w:color="000000"/>
              <w:right w:val="single" w:sz="4" w:space="0" w:color="000000"/>
            </w:tcBorders>
          </w:tcPr>
          <w:p w14:paraId="13BAC8FE" w14:textId="1CE457D3"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Būtina</w:t>
            </w:r>
          </w:p>
        </w:tc>
      </w:tr>
      <w:tr w:rsidR="00833378" w:rsidRPr="00833378" w14:paraId="6F83469C" w14:textId="77777777" w:rsidTr="00833378">
        <w:tc>
          <w:tcPr>
            <w:tcW w:w="784" w:type="dxa"/>
            <w:tcBorders>
              <w:top w:val="single" w:sz="4" w:space="0" w:color="000000"/>
              <w:left w:val="single" w:sz="4" w:space="0" w:color="000000"/>
              <w:bottom w:val="single" w:sz="4" w:space="0" w:color="000000"/>
              <w:right w:val="single" w:sz="4" w:space="0" w:color="000000"/>
            </w:tcBorders>
          </w:tcPr>
          <w:p w14:paraId="086209FB" w14:textId="7F0A0B8C"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7.</w:t>
            </w:r>
          </w:p>
        </w:tc>
        <w:tc>
          <w:tcPr>
            <w:tcW w:w="6474" w:type="dxa"/>
            <w:tcBorders>
              <w:top w:val="single" w:sz="4" w:space="0" w:color="000000"/>
              <w:left w:val="single" w:sz="4" w:space="0" w:color="000000"/>
              <w:bottom w:val="single" w:sz="4" w:space="0" w:color="000000"/>
              <w:right w:val="single" w:sz="4" w:space="0" w:color="000000"/>
            </w:tcBorders>
          </w:tcPr>
          <w:p w14:paraId="34259E0D" w14:textId="187DB94A"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Paketo dydis</w:t>
            </w:r>
          </w:p>
        </w:tc>
        <w:tc>
          <w:tcPr>
            <w:tcW w:w="2835" w:type="dxa"/>
            <w:tcBorders>
              <w:top w:val="single" w:sz="4" w:space="0" w:color="000000"/>
              <w:left w:val="single" w:sz="4" w:space="0" w:color="000000"/>
              <w:bottom w:val="single" w:sz="4" w:space="0" w:color="000000"/>
              <w:right w:val="single" w:sz="4" w:space="0" w:color="000000"/>
            </w:tcBorders>
          </w:tcPr>
          <w:p w14:paraId="222D3796" w14:textId="5CFC0864"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hAnsi="Times New Roman" w:cs="Times New Roman"/>
                <w:sz w:val="24"/>
                <w:szCs w:val="24"/>
              </w:rPr>
              <w:t>28 x 38 cm. ± 10 proc.</w:t>
            </w:r>
          </w:p>
        </w:tc>
      </w:tr>
      <w:tr w:rsidR="00833378" w:rsidRPr="00833378" w14:paraId="1AA65546" w14:textId="77777777" w:rsidTr="00833378">
        <w:tc>
          <w:tcPr>
            <w:tcW w:w="784" w:type="dxa"/>
            <w:tcBorders>
              <w:top w:val="single" w:sz="4" w:space="0" w:color="000000"/>
              <w:left w:val="single" w:sz="4" w:space="0" w:color="000000"/>
              <w:bottom w:val="single" w:sz="4" w:space="0" w:color="000000"/>
              <w:right w:val="single" w:sz="4" w:space="0" w:color="000000"/>
            </w:tcBorders>
          </w:tcPr>
          <w:p w14:paraId="1A38B600" w14:textId="4BDAD791"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8.</w:t>
            </w:r>
          </w:p>
        </w:tc>
        <w:tc>
          <w:tcPr>
            <w:tcW w:w="6474" w:type="dxa"/>
            <w:tcBorders>
              <w:top w:val="single" w:sz="4" w:space="0" w:color="000000"/>
              <w:left w:val="single" w:sz="4" w:space="0" w:color="000000"/>
              <w:bottom w:val="single" w:sz="4" w:space="0" w:color="000000"/>
              <w:right w:val="single" w:sz="4" w:space="0" w:color="000000"/>
            </w:tcBorders>
          </w:tcPr>
          <w:p w14:paraId="0CAAE410" w14:textId="0F1751D0"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Paketo svoris</w:t>
            </w:r>
          </w:p>
        </w:tc>
        <w:tc>
          <w:tcPr>
            <w:tcW w:w="2835" w:type="dxa"/>
            <w:tcBorders>
              <w:top w:val="single" w:sz="4" w:space="0" w:color="000000"/>
              <w:left w:val="single" w:sz="4" w:space="0" w:color="000000"/>
              <w:bottom w:val="single" w:sz="4" w:space="0" w:color="000000"/>
              <w:right w:val="single" w:sz="4" w:space="0" w:color="000000"/>
            </w:tcBorders>
          </w:tcPr>
          <w:p w14:paraId="12FBE6EC" w14:textId="234CD493"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 xml:space="preserve">Ne mažiau 300 </w:t>
            </w:r>
            <w:proofErr w:type="spellStart"/>
            <w:r w:rsidRPr="00833378">
              <w:rPr>
                <w:rFonts w:ascii="Times New Roman" w:eastAsia="Times New Roman" w:hAnsi="Times New Roman" w:cs="Times New Roman"/>
                <w:sz w:val="24"/>
                <w:szCs w:val="24"/>
              </w:rPr>
              <w:t>gr</w:t>
            </w:r>
            <w:proofErr w:type="spellEnd"/>
            <w:r w:rsidRPr="00833378">
              <w:rPr>
                <w:rFonts w:ascii="Times New Roman" w:eastAsia="Times New Roman" w:hAnsi="Times New Roman" w:cs="Times New Roman"/>
                <w:sz w:val="24"/>
                <w:szCs w:val="24"/>
              </w:rPr>
              <w:t>.</w:t>
            </w:r>
          </w:p>
        </w:tc>
      </w:tr>
      <w:tr w:rsidR="00833378" w:rsidRPr="00833378" w14:paraId="162CE3F2" w14:textId="77777777" w:rsidTr="00833378">
        <w:tc>
          <w:tcPr>
            <w:tcW w:w="784" w:type="dxa"/>
            <w:tcBorders>
              <w:top w:val="single" w:sz="4" w:space="0" w:color="000000"/>
              <w:left w:val="single" w:sz="4" w:space="0" w:color="000000"/>
              <w:bottom w:val="single" w:sz="4" w:space="0" w:color="000000"/>
              <w:right w:val="single" w:sz="4" w:space="0" w:color="000000"/>
            </w:tcBorders>
          </w:tcPr>
          <w:p w14:paraId="7A220CCF" w14:textId="5583BF2D"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9.</w:t>
            </w:r>
          </w:p>
        </w:tc>
        <w:tc>
          <w:tcPr>
            <w:tcW w:w="6474" w:type="dxa"/>
            <w:tcBorders>
              <w:top w:val="single" w:sz="4" w:space="0" w:color="000000"/>
              <w:left w:val="single" w:sz="4" w:space="0" w:color="000000"/>
              <w:bottom w:val="single" w:sz="4" w:space="0" w:color="000000"/>
              <w:right w:val="single" w:sz="4" w:space="0" w:color="000000"/>
            </w:tcBorders>
          </w:tcPr>
          <w:p w14:paraId="07524BC0" w14:textId="0CAA43BA" w:rsidR="00833378" w:rsidRPr="00833378" w:rsidRDefault="00833378" w:rsidP="00833378">
            <w:pPr>
              <w:spacing w:line="360" w:lineRule="auto"/>
              <w:ind w:firstLine="0"/>
              <w:rPr>
                <w:rFonts w:ascii="Times New Roman" w:eastAsia="Times New Roman" w:hAnsi="Times New Roman" w:cs="Times New Roman"/>
                <w:kern w:val="1"/>
                <w:sz w:val="24"/>
                <w:szCs w:val="24"/>
                <w:lang w:eastAsia="ar-SA"/>
              </w:rPr>
            </w:pPr>
            <w:r w:rsidRPr="00833378">
              <w:rPr>
                <w:rFonts w:ascii="Times New Roman" w:eastAsia="Times New Roman" w:hAnsi="Times New Roman" w:cs="Times New Roman"/>
                <w:sz w:val="24"/>
                <w:szCs w:val="24"/>
              </w:rPr>
              <w:t>Gaminys paženklintas CE ženklu</w:t>
            </w:r>
          </w:p>
        </w:tc>
        <w:tc>
          <w:tcPr>
            <w:tcW w:w="2835" w:type="dxa"/>
            <w:tcBorders>
              <w:top w:val="single" w:sz="4" w:space="0" w:color="000000"/>
              <w:left w:val="single" w:sz="4" w:space="0" w:color="000000"/>
              <w:bottom w:val="single" w:sz="4" w:space="0" w:color="000000"/>
              <w:right w:val="single" w:sz="4" w:space="0" w:color="000000"/>
            </w:tcBorders>
          </w:tcPr>
          <w:p w14:paraId="7B30C39D" w14:textId="462A3019"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Būtina</w:t>
            </w:r>
          </w:p>
        </w:tc>
      </w:tr>
      <w:tr w:rsidR="00833378" w:rsidRPr="00833378" w14:paraId="7F4819E9" w14:textId="77777777" w:rsidTr="00833378">
        <w:tc>
          <w:tcPr>
            <w:tcW w:w="784" w:type="dxa"/>
            <w:tcBorders>
              <w:top w:val="single" w:sz="4" w:space="0" w:color="000000"/>
              <w:left w:val="single" w:sz="4" w:space="0" w:color="000000"/>
              <w:bottom w:val="single" w:sz="4" w:space="0" w:color="000000"/>
              <w:right w:val="single" w:sz="4" w:space="0" w:color="000000"/>
            </w:tcBorders>
          </w:tcPr>
          <w:p w14:paraId="06E4624B" w14:textId="5B83FECE" w:rsidR="00833378" w:rsidRPr="00833378" w:rsidRDefault="00833378" w:rsidP="00833378">
            <w:pPr>
              <w:snapToGrid w:val="0"/>
              <w:spacing w:line="360" w:lineRule="auto"/>
              <w:ind w:firstLine="0"/>
              <w:jc w:val="center"/>
              <w:rPr>
                <w:rFonts w:ascii="Times New Roman" w:eastAsia="Times New Roman" w:hAnsi="Times New Roman" w:cs="Times New Roman"/>
                <w:bCs/>
                <w:sz w:val="24"/>
                <w:szCs w:val="24"/>
              </w:rPr>
            </w:pPr>
            <w:r w:rsidRPr="00833378">
              <w:rPr>
                <w:rFonts w:ascii="Times New Roman" w:eastAsia="Times New Roman" w:hAnsi="Times New Roman" w:cs="Times New Roman"/>
                <w:sz w:val="24"/>
                <w:szCs w:val="24"/>
              </w:rPr>
              <w:t>10.</w:t>
            </w:r>
          </w:p>
        </w:tc>
        <w:tc>
          <w:tcPr>
            <w:tcW w:w="6474" w:type="dxa"/>
            <w:tcBorders>
              <w:top w:val="single" w:sz="4" w:space="0" w:color="000000"/>
              <w:left w:val="single" w:sz="4" w:space="0" w:color="000000"/>
              <w:bottom w:val="single" w:sz="4" w:space="0" w:color="000000"/>
              <w:right w:val="single" w:sz="4" w:space="0" w:color="000000"/>
            </w:tcBorders>
          </w:tcPr>
          <w:p w14:paraId="029B827C" w14:textId="1E9BB8DD" w:rsidR="00833378" w:rsidRPr="00833378" w:rsidRDefault="00833378" w:rsidP="00833378">
            <w:pPr>
              <w:pStyle w:val="Standard"/>
              <w:spacing w:line="360" w:lineRule="auto"/>
              <w:rPr>
                <w:rFonts w:eastAsia="Times New Roman"/>
                <w:lang w:eastAsia="ar-SA"/>
              </w:rPr>
            </w:pPr>
            <w:proofErr w:type="spellStart"/>
            <w:r w:rsidRPr="00833378">
              <w:rPr>
                <w:lang w:bidi="hi-IN"/>
              </w:rPr>
              <w:t>Naudojimo</w:t>
            </w:r>
            <w:proofErr w:type="spellEnd"/>
            <w:r w:rsidRPr="00833378">
              <w:rPr>
                <w:lang w:bidi="hi-IN"/>
              </w:rPr>
              <w:t xml:space="preserve"> </w:t>
            </w:r>
            <w:proofErr w:type="spellStart"/>
            <w:r w:rsidRPr="00833378">
              <w:rPr>
                <w:lang w:bidi="hi-IN"/>
              </w:rPr>
              <w:t>instrukcija</w:t>
            </w:r>
            <w:proofErr w:type="spellEnd"/>
            <w:r w:rsidRPr="00833378">
              <w:rPr>
                <w:lang w:bidi="hi-IN"/>
              </w:rPr>
              <w:t xml:space="preserve"> (</w:t>
            </w:r>
            <w:proofErr w:type="spellStart"/>
            <w:r w:rsidRPr="00833378">
              <w:rPr>
                <w:lang w:bidi="hi-IN"/>
              </w:rPr>
              <w:t>originalo</w:t>
            </w:r>
            <w:proofErr w:type="spellEnd"/>
            <w:r w:rsidRPr="00833378">
              <w:rPr>
                <w:lang w:bidi="hi-IN"/>
              </w:rPr>
              <w:t xml:space="preserve"> ir </w:t>
            </w:r>
            <w:proofErr w:type="spellStart"/>
            <w:r w:rsidRPr="00833378">
              <w:rPr>
                <w:lang w:bidi="hi-IN"/>
              </w:rPr>
              <w:t>lietuvių</w:t>
            </w:r>
            <w:proofErr w:type="spellEnd"/>
            <w:r w:rsidRPr="00833378">
              <w:rPr>
                <w:lang w:bidi="hi-IN"/>
              </w:rPr>
              <w:t xml:space="preserve"> </w:t>
            </w:r>
            <w:proofErr w:type="spellStart"/>
            <w:r w:rsidRPr="00833378">
              <w:rPr>
                <w:lang w:bidi="hi-IN"/>
              </w:rPr>
              <w:t>kalba</w:t>
            </w:r>
            <w:proofErr w:type="spellEnd"/>
            <w:r w:rsidRPr="00833378">
              <w:rPr>
                <w:lang w:bidi="hi-IN"/>
              </w:rPr>
              <w:t>)</w:t>
            </w:r>
          </w:p>
        </w:tc>
        <w:tc>
          <w:tcPr>
            <w:tcW w:w="2835" w:type="dxa"/>
            <w:tcBorders>
              <w:top w:val="single" w:sz="4" w:space="0" w:color="000000"/>
              <w:left w:val="single" w:sz="4" w:space="0" w:color="000000"/>
              <w:bottom w:val="single" w:sz="4" w:space="0" w:color="000000"/>
              <w:right w:val="single" w:sz="4" w:space="0" w:color="000000"/>
            </w:tcBorders>
          </w:tcPr>
          <w:p w14:paraId="22E97B1B" w14:textId="4807F2EE" w:rsidR="00833378" w:rsidRPr="00833378" w:rsidRDefault="00833378" w:rsidP="00833378">
            <w:pPr>
              <w:spacing w:line="360" w:lineRule="auto"/>
              <w:ind w:firstLine="0"/>
              <w:rPr>
                <w:rFonts w:ascii="Times New Roman" w:hAnsi="Times New Roman" w:cs="Times New Roman"/>
                <w:sz w:val="24"/>
                <w:szCs w:val="24"/>
              </w:rPr>
            </w:pPr>
            <w:r w:rsidRPr="00833378">
              <w:rPr>
                <w:rFonts w:ascii="Times New Roman" w:eastAsia="Times New Roman" w:hAnsi="Times New Roman" w:cs="Times New Roman"/>
                <w:sz w:val="24"/>
                <w:szCs w:val="24"/>
              </w:rPr>
              <w:t>Būtina</w:t>
            </w:r>
          </w:p>
        </w:tc>
      </w:tr>
    </w:tbl>
    <w:p w14:paraId="55C49FB8" w14:textId="77777777" w:rsidR="00F050B8" w:rsidRPr="00833378" w:rsidRDefault="00F050B8" w:rsidP="00833378">
      <w:pPr>
        <w:pStyle w:val="Default"/>
        <w:spacing w:line="360" w:lineRule="auto"/>
        <w:jc w:val="center"/>
        <w:rPr>
          <w:b/>
          <w:bCs/>
          <w:lang w:val="lt-LT"/>
        </w:rPr>
      </w:pPr>
    </w:p>
    <w:p w14:paraId="446868BA" w14:textId="375D35F7" w:rsidR="00077D0F" w:rsidRPr="00833378" w:rsidRDefault="00077D0F" w:rsidP="00833378">
      <w:pPr>
        <w:pStyle w:val="Default"/>
        <w:spacing w:line="360" w:lineRule="auto"/>
        <w:ind w:firstLine="851"/>
        <w:jc w:val="both"/>
        <w:rPr>
          <w:lang w:val="lt-LT"/>
        </w:rPr>
      </w:pPr>
      <w:r w:rsidRPr="00833378">
        <w:rPr>
          <w:lang w:val="lt-LT"/>
        </w:rPr>
        <w:t xml:space="preserve"> 1. Prekės pristatomos pagal Pirkėjo poreikį, pagal Pirkėjo pateiktus atskirus užsakymus, pagal fiksuotus Prekių įkainius nurodytus Tiekėjo pasiūlyme. </w:t>
      </w:r>
    </w:p>
    <w:p w14:paraId="62331550" w14:textId="12AF153B" w:rsidR="00077D0F" w:rsidRPr="00833378" w:rsidRDefault="00077D0F" w:rsidP="00833378">
      <w:pPr>
        <w:pStyle w:val="Default"/>
        <w:spacing w:line="360" w:lineRule="auto"/>
        <w:ind w:firstLine="851"/>
        <w:jc w:val="both"/>
        <w:rPr>
          <w:lang w:val="lt-LT"/>
        </w:rPr>
      </w:pPr>
      <w:r w:rsidRPr="00833378">
        <w:rPr>
          <w:lang w:val="lt-LT"/>
        </w:rPr>
        <w:t xml:space="preserve">2. Prekių pristatymo išlaidos turi būti įskaičiuotos į Prekių kainą. </w:t>
      </w:r>
    </w:p>
    <w:p w14:paraId="5CC58E14" w14:textId="442DA73D" w:rsidR="00077D0F" w:rsidRPr="00833378" w:rsidRDefault="00F050B8" w:rsidP="00833378">
      <w:pPr>
        <w:pStyle w:val="Default"/>
        <w:spacing w:line="360" w:lineRule="auto"/>
        <w:ind w:firstLine="851"/>
        <w:jc w:val="both"/>
        <w:rPr>
          <w:lang w:val="lt-LT"/>
        </w:rPr>
      </w:pPr>
      <w:r w:rsidRPr="00833378">
        <w:rPr>
          <w:lang w:val="lt-LT"/>
        </w:rPr>
        <w:t xml:space="preserve">3. </w:t>
      </w:r>
      <w:r w:rsidR="00077D0F" w:rsidRPr="00833378">
        <w:rPr>
          <w:lang w:val="lt-LT"/>
        </w:rPr>
        <w:t xml:space="preserve">Tiekėjas tiekia Prekes pagal pateiktus užsakymus, ne vėliau kaip per </w:t>
      </w:r>
      <w:r w:rsidR="00911A35" w:rsidRPr="00833378">
        <w:rPr>
          <w:lang w:val="lt-LT"/>
        </w:rPr>
        <w:t>3</w:t>
      </w:r>
      <w:r w:rsidR="00077D0F" w:rsidRPr="00833378">
        <w:rPr>
          <w:lang w:val="lt-LT"/>
        </w:rPr>
        <w:t xml:space="preserve"> (</w:t>
      </w:r>
      <w:r w:rsidR="00911A35" w:rsidRPr="00833378">
        <w:rPr>
          <w:lang w:val="lt-LT"/>
        </w:rPr>
        <w:t>tris</w:t>
      </w:r>
      <w:r w:rsidR="00077D0F" w:rsidRPr="00833378">
        <w:rPr>
          <w:lang w:val="lt-LT"/>
        </w:rPr>
        <w:t xml:space="preserve">) darbo dienas nuo užsakymo pateikimo el. paštu dienos. </w:t>
      </w:r>
    </w:p>
    <w:p w14:paraId="21E88450" w14:textId="75175A71" w:rsidR="00077D0F" w:rsidRPr="00833378" w:rsidRDefault="00911A35" w:rsidP="00833378">
      <w:pPr>
        <w:pStyle w:val="Default"/>
        <w:spacing w:line="360" w:lineRule="auto"/>
        <w:ind w:firstLine="851"/>
        <w:jc w:val="both"/>
        <w:rPr>
          <w:lang w:val="lt-LT"/>
        </w:rPr>
      </w:pPr>
      <w:r w:rsidRPr="00833378">
        <w:rPr>
          <w:lang w:val="lt-LT"/>
        </w:rPr>
        <w:t xml:space="preserve">4. </w:t>
      </w:r>
      <w:r w:rsidR="00077D0F" w:rsidRPr="00833378">
        <w:rPr>
          <w:lang w:val="lt-LT"/>
        </w:rPr>
        <w:t xml:space="preserve">Prekių tiekimo adresas: Nemuno g. 75, Panevėžys. </w:t>
      </w:r>
    </w:p>
    <w:p w14:paraId="725CA219" w14:textId="77777777" w:rsidR="00077D0F" w:rsidRPr="00833378" w:rsidRDefault="00077D0F" w:rsidP="00833378">
      <w:pPr>
        <w:spacing w:line="360" w:lineRule="auto"/>
        <w:ind w:firstLine="851"/>
        <w:rPr>
          <w:rFonts w:ascii="Times New Roman" w:hAnsi="Times New Roman" w:cs="Times New Roman"/>
          <w:sz w:val="24"/>
          <w:szCs w:val="24"/>
        </w:rPr>
      </w:pPr>
    </w:p>
    <w:p w14:paraId="202DA1FD" w14:textId="579144B8" w:rsidR="000F7CA5" w:rsidRPr="00833378" w:rsidRDefault="000F7CA5" w:rsidP="00833378">
      <w:pPr>
        <w:spacing w:line="360" w:lineRule="auto"/>
        <w:ind w:firstLine="0"/>
        <w:jc w:val="center"/>
        <w:rPr>
          <w:rFonts w:ascii="Times New Roman" w:eastAsia="Times New Roman" w:hAnsi="Times New Roman" w:cs="Times New Roman"/>
          <w:sz w:val="24"/>
          <w:szCs w:val="24"/>
          <w:lang w:eastAsia="en-US"/>
        </w:rPr>
      </w:pPr>
      <w:r w:rsidRPr="00833378">
        <w:rPr>
          <w:rFonts w:ascii="Times New Roman" w:eastAsia="Times New Roman" w:hAnsi="Times New Roman" w:cs="Times New Roman"/>
          <w:sz w:val="24"/>
          <w:szCs w:val="24"/>
          <w:lang w:eastAsia="en-US"/>
        </w:rPr>
        <w:t>__________________________________</w:t>
      </w:r>
    </w:p>
    <w:p w14:paraId="4A0B8DDB" w14:textId="7D0B6672" w:rsidR="000F7CA5" w:rsidRPr="00833378" w:rsidRDefault="00EE31F1" w:rsidP="00833378">
      <w:pPr>
        <w:spacing w:line="360" w:lineRule="auto"/>
        <w:ind w:firstLine="0"/>
        <w:jc w:val="left"/>
        <w:rPr>
          <w:rFonts w:ascii="Times New Roman" w:hAnsi="Times New Roman" w:cs="Times New Roman"/>
          <w:sz w:val="24"/>
          <w:szCs w:val="24"/>
        </w:rPr>
      </w:pPr>
      <w:r w:rsidRPr="00833378">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3"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3"/>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4" w:name="_Pirkimo_sąlygų_2"/>
      <w:bookmarkStart w:id="25" w:name="_Pirkimo_sąlygų_3"/>
      <w:bookmarkEnd w:id="24"/>
      <w:bookmarkEnd w:id="25"/>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77777777" w:rsidR="00BE537C" w:rsidRDefault="00BE537C" w:rsidP="00BE537C">
      <w:pPr>
        <w:shd w:val="clear" w:color="auto" w:fill="FFFFFF"/>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dalyvaujantis </w:t>
      </w:r>
      <w:r>
        <w:rPr>
          <w:rFonts w:ascii="Times New Roman" w:hAnsi="Times New Roman" w:cs="Times New Roman"/>
          <w:iCs/>
          <w:sz w:val="22"/>
          <w:szCs w:val="22"/>
        </w:rPr>
        <w:t>pirkime</w:t>
      </w:r>
      <w:r>
        <w:rPr>
          <w:rFonts w:ascii="Times New Roman" w:hAnsi="Times New Roman" w:cs="Times New Roman"/>
          <w:iCs/>
          <w:color w:val="000000"/>
          <w:sz w:val="24"/>
          <w:lang w:eastAsia="en-US"/>
        </w:rPr>
        <w:t>, pirkimo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7BDA6F53"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8346" w14:textId="77777777" w:rsidR="00C52E43" w:rsidRDefault="00C52E43" w:rsidP="00C471F3">
      <w:pPr>
        <w:spacing w:line="240" w:lineRule="auto"/>
      </w:pPr>
      <w:r>
        <w:separator/>
      </w:r>
    </w:p>
  </w:endnote>
  <w:endnote w:type="continuationSeparator" w:id="0">
    <w:p w14:paraId="3617C207" w14:textId="77777777" w:rsidR="00C52E43" w:rsidRDefault="00C52E43"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4395" w14:textId="77777777" w:rsidR="00C52E43" w:rsidRDefault="00C52E43" w:rsidP="00C471F3">
      <w:pPr>
        <w:spacing w:line="240" w:lineRule="auto"/>
      </w:pPr>
      <w:r>
        <w:separator/>
      </w:r>
    </w:p>
  </w:footnote>
  <w:footnote w:type="continuationSeparator" w:id="0">
    <w:p w14:paraId="048143E0" w14:textId="77777777" w:rsidR="00C52E43" w:rsidRDefault="00C52E43"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02564330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04779"/>
    <w:rsid w:val="00011F27"/>
    <w:rsid w:val="00036249"/>
    <w:rsid w:val="00045838"/>
    <w:rsid w:val="00052347"/>
    <w:rsid w:val="00064771"/>
    <w:rsid w:val="00077D0F"/>
    <w:rsid w:val="00095EE0"/>
    <w:rsid w:val="000A16A6"/>
    <w:rsid w:val="000A6D25"/>
    <w:rsid w:val="000A7327"/>
    <w:rsid w:val="000B261F"/>
    <w:rsid w:val="000E1854"/>
    <w:rsid w:val="000E49AF"/>
    <w:rsid w:val="000F4505"/>
    <w:rsid w:val="000F7CA5"/>
    <w:rsid w:val="00104697"/>
    <w:rsid w:val="00110E72"/>
    <w:rsid w:val="0011684D"/>
    <w:rsid w:val="0011765C"/>
    <w:rsid w:val="00117E21"/>
    <w:rsid w:val="00127F3D"/>
    <w:rsid w:val="001304F4"/>
    <w:rsid w:val="00132479"/>
    <w:rsid w:val="00133587"/>
    <w:rsid w:val="0014331B"/>
    <w:rsid w:val="001810B5"/>
    <w:rsid w:val="001966B8"/>
    <w:rsid w:val="001B00F7"/>
    <w:rsid w:val="001B0EB6"/>
    <w:rsid w:val="001C436C"/>
    <w:rsid w:val="001D0F7F"/>
    <w:rsid w:val="001D20D3"/>
    <w:rsid w:val="001F0922"/>
    <w:rsid w:val="0020238E"/>
    <w:rsid w:val="002169CA"/>
    <w:rsid w:val="002225DF"/>
    <w:rsid w:val="002553E1"/>
    <w:rsid w:val="00260E4A"/>
    <w:rsid w:val="00283345"/>
    <w:rsid w:val="002B43A5"/>
    <w:rsid w:val="002E7D0D"/>
    <w:rsid w:val="0031571E"/>
    <w:rsid w:val="00333A9B"/>
    <w:rsid w:val="003457ED"/>
    <w:rsid w:val="00376A13"/>
    <w:rsid w:val="00381A33"/>
    <w:rsid w:val="003C7550"/>
    <w:rsid w:val="003D6156"/>
    <w:rsid w:val="003E780A"/>
    <w:rsid w:val="00404B08"/>
    <w:rsid w:val="00412AFA"/>
    <w:rsid w:val="00416130"/>
    <w:rsid w:val="00417C5A"/>
    <w:rsid w:val="00434E03"/>
    <w:rsid w:val="00455300"/>
    <w:rsid w:val="00456F84"/>
    <w:rsid w:val="004606CE"/>
    <w:rsid w:val="00484969"/>
    <w:rsid w:val="00496ECD"/>
    <w:rsid w:val="004B43B3"/>
    <w:rsid w:val="004B7D8E"/>
    <w:rsid w:val="004C03ED"/>
    <w:rsid w:val="004C273B"/>
    <w:rsid w:val="004D40F2"/>
    <w:rsid w:val="00515705"/>
    <w:rsid w:val="005430EF"/>
    <w:rsid w:val="005472EA"/>
    <w:rsid w:val="005D1669"/>
    <w:rsid w:val="005E775F"/>
    <w:rsid w:val="0060071E"/>
    <w:rsid w:val="00626609"/>
    <w:rsid w:val="006335B5"/>
    <w:rsid w:val="006434E7"/>
    <w:rsid w:val="006509E9"/>
    <w:rsid w:val="0067215B"/>
    <w:rsid w:val="006C04E6"/>
    <w:rsid w:val="006C090F"/>
    <w:rsid w:val="006D4FE0"/>
    <w:rsid w:val="006F272D"/>
    <w:rsid w:val="006F7F87"/>
    <w:rsid w:val="00700B6D"/>
    <w:rsid w:val="007033FF"/>
    <w:rsid w:val="007176EC"/>
    <w:rsid w:val="007306A0"/>
    <w:rsid w:val="00742B67"/>
    <w:rsid w:val="007601E5"/>
    <w:rsid w:val="007B377C"/>
    <w:rsid w:val="007D445A"/>
    <w:rsid w:val="007F54FC"/>
    <w:rsid w:val="00804034"/>
    <w:rsid w:val="00806539"/>
    <w:rsid w:val="00810B0C"/>
    <w:rsid w:val="00833378"/>
    <w:rsid w:val="00841C1B"/>
    <w:rsid w:val="00862680"/>
    <w:rsid w:val="00866B0C"/>
    <w:rsid w:val="00884281"/>
    <w:rsid w:val="0088693A"/>
    <w:rsid w:val="008B401E"/>
    <w:rsid w:val="008B79B1"/>
    <w:rsid w:val="008F1635"/>
    <w:rsid w:val="00911A35"/>
    <w:rsid w:val="009121AD"/>
    <w:rsid w:val="00913984"/>
    <w:rsid w:val="00922655"/>
    <w:rsid w:val="00937176"/>
    <w:rsid w:val="00974691"/>
    <w:rsid w:val="0098318D"/>
    <w:rsid w:val="00990D45"/>
    <w:rsid w:val="009979C7"/>
    <w:rsid w:val="009B1883"/>
    <w:rsid w:val="009C4827"/>
    <w:rsid w:val="009D113B"/>
    <w:rsid w:val="009E64F9"/>
    <w:rsid w:val="009F7211"/>
    <w:rsid w:val="00A20F5A"/>
    <w:rsid w:val="00A35B90"/>
    <w:rsid w:val="00A5399C"/>
    <w:rsid w:val="00A539D6"/>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E537C"/>
    <w:rsid w:val="00BF4413"/>
    <w:rsid w:val="00C209B7"/>
    <w:rsid w:val="00C23126"/>
    <w:rsid w:val="00C471F3"/>
    <w:rsid w:val="00C519C5"/>
    <w:rsid w:val="00C52E43"/>
    <w:rsid w:val="00C55D5A"/>
    <w:rsid w:val="00C655FC"/>
    <w:rsid w:val="00C82922"/>
    <w:rsid w:val="00CA5E91"/>
    <w:rsid w:val="00CB471A"/>
    <w:rsid w:val="00CD12F2"/>
    <w:rsid w:val="00D21AE8"/>
    <w:rsid w:val="00D649D9"/>
    <w:rsid w:val="00D703B9"/>
    <w:rsid w:val="00D75379"/>
    <w:rsid w:val="00D87EFA"/>
    <w:rsid w:val="00E02C74"/>
    <w:rsid w:val="00E0453C"/>
    <w:rsid w:val="00E072FD"/>
    <w:rsid w:val="00E10879"/>
    <w:rsid w:val="00E1538E"/>
    <w:rsid w:val="00E30AFD"/>
    <w:rsid w:val="00E47C83"/>
    <w:rsid w:val="00E558B4"/>
    <w:rsid w:val="00E7044E"/>
    <w:rsid w:val="00E70A03"/>
    <w:rsid w:val="00E9222D"/>
    <w:rsid w:val="00E92F54"/>
    <w:rsid w:val="00EA3E05"/>
    <w:rsid w:val="00ED27CB"/>
    <w:rsid w:val="00ED6C63"/>
    <w:rsid w:val="00EE31F1"/>
    <w:rsid w:val="00F01085"/>
    <w:rsid w:val="00F03CA5"/>
    <w:rsid w:val="00F050B8"/>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0B8"/>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9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64771"/>
    <w:rsid w:val="000A6D25"/>
    <w:rsid w:val="000C6F03"/>
    <w:rsid w:val="00117E21"/>
    <w:rsid w:val="001A097C"/>
    <w:rsid w:val="001F69EC"/>
    <w:rsid w:val="00233F03"/>
    <w:rsid w:val="002553E1"/>
    <w:rsid w:val="002C0FC5"/>
    <w:rsid w:val="003457ED"/>
    <w:rsid w:val="003E6EB1"/>
    <w:rsid w:val="00455300"/>
    <w:rsid w:val="0047404B"/>
    <w:rsid w:val="004A2B68"/>
    <w:rsid w:val="004B3848"/>
    <w:rsid w:val="004B3C13"/>
    <w:rsid w:val="00515705"/>
    <w:rsid w:val="005430EF"/>
    <w:rsid w:val="006509E9"/>
    <w:rsid w:val="00682847"/>
    <w:rsid w:val="006C04E6"/>
    <w:rsid w:val="006F272D"/>
    <w:rsid w:val="006F7F87"/>
    <w:rsid w:val="007306A0"/>
    <w:rsid w:val="00764D93"/>
    <w:rsid w:val="007B377C"/>
    <w:rsid w:val="008108A1"/>
    <w:rsid w:val="008604C6"/>
    <w:rsid w:val="008A5087"/>
    <w:rsid w:val="008B401E"/>
    <w:rsid w:val="008B71FF"/>
    <w:rsid w:val="008E631B"/>
    <w:rsid w:val="009037C0"/>
    <w:rsid w:val="00931537"/>
    <w:rsid w:val="00AA157E"/>
    <w:rsid w:val="00AB70EC"/>
    <w:rsid w:val="00B00D8F"/>
    <w:rsid w:val="00B26AC9"/>
    <w:rsid w:val="00B41AD0"/>
    <w:rsid w:val="00B80975"/>
    <w:rsid w:val="00BA46EE"/>
    <w:rsid w:val="00BD0728"/>
    <w:rsid w:val="00C73A37"/>
    <w:rsid w:val="00C82922"/>
    <w:rsid w:val="00CB471A"/>
    <w:rsid w:val="00D355E5"/>
    <w:rsid w:val="00D5088C"/>
    <w:rsid w:val="00DB1C25"/>
    <w:rsid w:val="00DE4A5A"/>
    <w:rsid w:val="00E1538E"/>
    <w:rsid w:val="00E36650"/>
    <w:rsid w:val="00E70A03"/>
    <w:rsid w:val="00ED27CB"/>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2870</Words>
  <Characters>16361</Characters>
  <Application>Microsoft Office Word</Application>
  <DocSecurity>0</DocSecurity>
  <Lines>136</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6</cp:revision>
  <cp:lastPrinted>2024-07-16T07:30:00Z</cp:lastPrinted>
  <dcterms:created xsi:type="dcterms:W3CDTF">2026-05-28T11:49:00Z</dcterms:created>
  <dcterms:modified xsi:type="dcterms:W3CDTF">2026-06-04T11:00:00Z</dcterms:modified>
</cp:coreProperties>
</file>