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16D3" w14:textId="2886F0B3" w:rsidR="0066747F" w:rsidRPr="000B6D03" w:rsidRDefault="0066747F" w:rsidP="0066747F">
      <w:pPr>
        <w:rPr>
          <w:rFonts w:ascii="Times New Roman" w:hAnsi="Times New Roman" w:cs="Times New Roman"/>
          <w:sz w:val="20"/>
          <w:szCs w:val="20"/>
        </w:rPr>
      </w:pPr>
      <w:r w:rsidRPr="000B6D03">
        <w:rPr>
          <w:rFonts w:ascii="Times New Roman" w:hAnsi="Times New Roman" w:cs="Times New Roman"/>
          <w:sz w:val="20"/>
          <w:szCs w:val="20"/>
        </w:rPr>
        <w:t xml:space="preserve">Vadovaudamiesi </w:t>
      </w:r>
      <w:r w:rsidR="00FD1BF4" w:rsidRPr="000B6D03">
        <w:rPr>
          <w:rFonts w:ascii="Times New Roman" w:hAnsi="Times New Roman" w:cs="Times New Roman"/>
          <w:sz w:val="20"/>
          <w:szCs w:val="20"/>
        </w:rPr>
        <w:t xml:space="preserve">Nuotekų valymo įrenginių projektavimas, statyba (Beinaičių k, Kėdainių r. ir Meironiškių k., Kėdainių r.) ir rekonstravimas (Nociūnų k., Kėdainių r. ir Pajieslio k., Kėdainių r. pirkimo Nr. 8082252 </w:t>
      </w:r>
      <w:r w:rsidRPr="000B6D03">
        <w:rPr>
          <w:rFonts w:ascii="Times New Roman" w:hAnsi="Times New Roman" w:cs="Times New Roman"/>
          <w:sz w:val="20"/>
          <w:szCs w:val="20"/>
        </w:rPr>
        <w:t>(toliau – pirkimas) bendrųjų sąlygų 5 skyriumi pateikiame atsakymus į klausimus užduotus CVP IS priemonėmis:</w:t>
      </w:r>
    </w:p>
    <w:tbl>
      <w:tblPr>
        <w:tblStyle w:val="Lentelstinklelis1"/>
        <w:tblW w:w="0" w:type="auto"/>
        <w:tblLook w:val="04A0" w:firstRow="1" w:lastRow="0" w:firstColumn="1" w:lastColumn="0" w:noHBand="0" w:noVBand="1"/>
      </w:tblPr>
      <w:tblGrid>
        <w:gridCol w:w="451"/>
        <w:gridCol w:w="5050"/>
        <w:gridCol w:w="4127"/>
      </w:tblGrid>
      <w:tr w:rsidR="0066747F" w:rsidRPr="000B6D03" w14:paraId="09EB0DCC" w14:textId="77777777" w:rsidTr="00D96461">
        <w:tc>
          <w:tcPr>
            <w:tcW w:w="451" w:type="dxa"/>
          </w:tcPr>
          <w:p w14:paraId="72E05991" w14:textId="77777777" w:rsidR="0066747F" w:rsidRPr="000B6D03" w:rsidRDefault="0066747F" w:rsidP="0066747F">
            <w:pPr>
              <w:ind w:left="-109" w:right="-131"/>
              <w:jc w:val="center"/>
              <w:rPr>
                <w:rFonts w:ascii="Times New Roman" w:hAnsi="Times New Roman" w:cs="Times New Roman"/>
                <w:b/>
                <w:bCs/>
                <w:sz w:val="20"/>
                <w:szCs w:val="20"/>
              </w:rPr>
            </w:pPr>
            <w:r w:rsidRPr="000B6D03">
              <w:rPr>
                <w:rFonts w:ascii="Times New Roman" w:hAnsi="Times New Roman" w:cs="Times New Roman"/>
                <w:b/>
                <w:bCs/>
                <w:sz w:val="20"/>
                <w:szCs w:val="20"/>
              </w:rPr>
              <w:t>Eil. Nr.</w:t>
            </w:r>
          </w:p>
        </w:tc>
        <w:tc>
          <w:tcPr>
            <w:tcW w:w="5050" w:type="dxa"/>
          </w:tcPr>
          <w:p w14:paraId="23D9035E" w14:textId="77777777" w:rsidR="0066747F" w:rsidRPr="000B6D03" w:rsidRDefault="0066747F" w:rsidP="0066747F">
            <w:pPr>
              <w:jc w:val="center"/>
              <w:rPr>
                <w:rFonts w:ascii="Times New Roman" w:hAnsi="Times New Roman" w:cs="Times New Roman"/>
                <w:b/>
                <w:bCs/>
                <w:sz w:val="20"/>
                <w:szCs w:val="20"/>
              </w:rPr>
            </w:pPr>
            <w:r w:rsidRPr="000B6D03">
              <w:rPr>
                <w:rFonts w:ascii="Times New Roman" w:hAnsi="Times New Roman" w:cs="Times New Roman"/>
                <w:b/>
                <w:bCs/>
                <w:sz w:val="20"/>
                <w:szCs w:val="20"/>
              </w:rPr>
              <w:t>Tiekėjų klausimai</w:t>
            </w:r>
          </w:p>
        </w:tc>
        <w:tc>
          <w:tcPr>
            <w:tcW w:w="4127" w:type="dxa"/>
          </w:tcPr>
          <w:p w14:paraId="5762F202" w14:textId="77777777" w:rsidR="0066747F" w:rsidRPr="000B6D03" w:rsidRDefault="0066747F" w:rsidP="0066747F">
            <w:pPr>
              <w:jc w:val="center"/>
              <w:rPr>
                <w:rFonts w:ascii="Times New Roman" w:hAnsi="Times New Roman" w:cs="Times New Roman"/>
                <w:b/>
                <w:bCs/>
                <w:sz w:val="20"/>
                <w:szCs w:val="20"/>
              </w:rPr>
            </w:pPr>
            <w:r w:rsidRPr="000B6D03">
              <w:rPr>
                <w:rFonts w:ascii="Times New Roman" w:hAnsi="Times New Roman" w:cs="Times New Roman"/>
                <w:b/>
                <w:bCs/>
                <w:sz w:val="20"/>
                <w:szCs w:val="20"/>
              </w:rPr>
              <w:t>Pirkimo sąlygų paaiškinimas</w:t>
            </w:r>
          </w:p>
        </w:tc>
      </w:tr>
      <w:tr w:rsidR="00FD1BF4" w:rsidRPr="000B6D03" w14:paraId="46B15503" w14:textId="77777777" w:rsidTr="0070072C">
        <w:tc>
          <w:tcPr>
            <w:tcW w:w="9628" w:type="dxa"/>
            <w:gridSpan w:val="3"/>
          </w:tcPr>
          <w:p w14:paraId="4C9336FD" w14:textId="764A964F" w:rsidR="00FD1BF4" w:rsidRPr="000B6D03" w:rsidRDefault="00FD1BF4" w:rsidP="00593780">
            <w:pPr>
              <w:rPr>
                <w:rFonts w:ascii="Times New Roman" w:hAnsi="Times New Roman" w:cs="Times New Roman"/>
                <w:b/>
                <w:bCs/>
                <w:sz w:val="20"/>
                <w:szCs w:val="20"/>
              </w:rPr>
            </w:pPr>
            <w:r w:rsidRPr="000B6D03">
              <w:rPr>
                <w:rFonts w:ascii="Times New Roman" w:hAnsi="Times New Roman" w:cs="Times New Roman"/>
                <w:b/>
                <w:bCs/>
                <w:sz w:val="20"/>
                <w:szCs w:val="20"/>
              </w:rPr>
              <w:t>Dėl I pirkimo dalies</w:t>
            </w:r>
          </w:p>
        </w:tc>
      </w:tr>
      <w:tr w:rsidR="00B405F3" w:rsidRPr="000B6D03" w14:paraId="4A480B80" w14:textId="77777777" w:rsidTr="00D96461">
        <w:tc>
          <w:tcPr>
            <w:tcW w:w="451" w:type="dxa"/>
          </w:tcPr>
          <w:p w14:paraId="197D0123" w14:textId="77777777" w:rsidR="00B405F3" w:rsidRPr="000B6D03" w:rsidRDefault="00B405F3" w:rsidP="00B405F3">
            <w:pPr>
              <w:numPr>
                <w:ilvl w:val="0"/>
                <w:numId w:val="5"/>
              </w:numPr>
              <w:ind w:left="-109" w:right="-131" w:firstLine="0"/>
              <w:contextualSpacing/>
              <w:jc w:val="both"/>
              <w:rPr>
                <w:rFonts w:ascii="Times New Roman" w:hAnsi="Times New Roman" w:cs="Times New Roman"/>
                <w:sz w:val="20"/>
                <w:szCs w:val="20"/>
              </w:rPr>
            </w:pPr>
          </w:p>
        </w:tc>
        <w:tc>
          <w:tcPr>
            <w:tcW w:w="5050" w:type="dxa"/>
          </w:tcPr>
          <w:p w14:paraId="6BA14DC4" w14:textId="587DA5D5" w:rsidR="00B405F3" w:rsidRPr="000B6D03" w:rsidRDefault="00B405F3" w:rsidP="00B405F3">
            <w:pPr>
              <w:jc w:val="both"/>
              <w:rPr>
                <w:rFonts w:ascii="Times New Roman" w:hAnsi="Times New Roman" w:cs="Times New Roman"/>
                <w:sz w:val="20"/>
                <w:szCs w:val="20"/>
              </w:rPr>
            </w:pPr>
            <w:r w:rsidRPr="000B6D03">
              <w:rPr>
                <w:rFonts w:ascii="Times New Roman" w:hAnsi="Times New Roman" w:cs="Times New Roman"/>
                <w:sz w:val="20"/>
                <w:szCs w:val="20"/>
              </w:rPr>
              <w:t>Prašome patikslinti, ar pagal užsakovo reikalavimų 2.19 punktą anglies šaltinio (pvz. melasos) dozavimo įranga yra privaloma visais atvejais, ar ji turi būti numatoma tik tuo atveju, jei Rangovo atlikti technologiniai skaičiavimai pagrindžia papildomo nitratų šalinimo būtinybę. Kadangi reikalavime nurodyta, jog tiek fosforo, tiek nitratų papildomas cheminis šalinimas turi būti pagrįstas technologiniais skaičiavimais, nėra aišku, ar anglies šaltinio dozavimo sprendinys laikomas privalomu pirkimo apimties elementu, ar galimu technologiniu sprendimu, taikomu tik esant poreikiui.</w:t>
            </w:r>
          </w:p>
        </w:tc>
        <w:tc>
          <w:tcPr>
            <w:tcW w:w="4127" w:type="dxa"/>
          </w:tcPr>
          <w:p w14:paraId="26313EEF" w14:textId="3B06C895" w:rsidR="00B405F3" w:rsidRPr="000B6D03" w:rsidRDefault="00E72916" w:rsidP="00B405F3">
            <w:pPr>
              <w:jc w:val="both"/>
              <w:rPr>
                <w:rFonts w:ascii="Times New Roman" w:hAnsi="Times New Roman" w:cs="Times New Roman"/>
                <w:sz w:val="20"/>
                <w:szCs w:val="20"/>
              </w:rPr>
            </w:pPr>
            <w:r w:rsidRPr="000B6D03">
              <w:rPr>
                <w:rFonts w:ascii="Times New Roman" w:hAnsi="Times New Roman" w:cs="Times New Roman"/>
                <w:sz w:val="20"/>
                <w:szCs w:val="20"/>
              </w:rPr>
              <w:t>Paaiškiname, kad anglies šaltinio dozavimo įranga turi būti numatoma tik tuo atveju, jei Rangovo atlikti technologiniai skaičiavimai pagrindžia papildomo nitratų šalinimo būtinybę.</w:t>
            </w:r>
          </w:p>
        </w:tc>
      </w:tr>
      <w:tr w:rsidR="00B405F3" w:rsidRPr="000B6D03" w14:paraId="4438ED3D" w14:textId="77777777" w:rsidTr="00D96461">
        <w:tc>
          <w:tcPr>
            <w:tcW w:w="451" w:type="dxa"/>
          </w:tcPr>
          <w:p w14:paraId="7242906A" w14:textId="77777777" w:rsidR="00B405F3" w:rsidRPr="000B6D03" w:rsidRDefault="00B405F3" w:rsidP="00B405F3">
            <w:pPr>
              <w:numPr>
                <w:ilvl w:val="0"/>
                <w:numId w:val="5"/>
              </w:numPr>
              <w:ind w:left="-109" w:right="-131" w:firstLine="0"/>
              <w:contextualSpacing/>
              <w:rPr>
                <w:rFonts w:ascii="Times New Roman" w:hAnsi="Times New Roman" w:cs="Times New Roman"/>
                <w:sz w:val="20"/>
                <w:szCs w:val="20"/>
              </w:rPr>
            </w:pPr>
          </w:p>
        </w:tc>
        <w:tc>
          <w:tcPr>
            <w:tcW w:w="5050" w:type="dxa"/>
          </w:tcPr>
          <w:p w14:paraId="7EAB1E7A" w14:textId="674FC8A6" w:rsidR="00B405F3" w:rsidRPr="000B6D03" w:rsidRDefault="00B405F3" w:rsidP="00B405F3">
            <w:pPr>
              <w:jc w:val="both"/>
              <w:rPr>
                <w:rFonts w:ascii="Times New Roman" w:hAnsi="Times New Roman" w:cs="Times New Roman"/>
                <w:sz w:val="20"/>
                <w:szCs w:val="20"/>
              </w:rPr>
            </w:pPr>
            <w:r w:rsidRPr="000B6D03">
              <w:rPr>
                <w:rFonts w:ascii="Times New Roman" w:hAnsi="Times New Roman" w:cs="Times New Roman"/>
                <w:sz w:val="20"/>
                <w:szCs w:val="20"/>
              </w:rPr>
              <w:t>Prašome patikslinti, ar reikalavimas kontroliuoti „dumblo vandens siurblio (dekanterio) būseną“ taikomas tik tuo atveju, jei rangovo siūlomame technologiniame sprendime numatomas dekanteris. Kadangi dekanterio naudojimas gali būti technologinio sprendinio pasirinkimas, prašome patvirtinti, jog šis reikalavimas nėra taikomas tais atvejais, kai dekanteris rangovo sprendime nenumatomas.</w:t>
            </w:r>
          </w:p>
        </w:tc>
        <w:tc>
          <w:tcPr>
            <w:tcW w:w="4127" w:type="dxa"/>
          </w:tcPr>
          <w:p w14:paraId="05BD24C9" w14:textId="595D7E47" w:rsidR="00B405F3" w:rsidRPr="000B6D03" w:rsidRDefault="00E72916" w:rsidP="00B405F3">
            <w:pPr>
              <w:jc w:val="both"/>
              <w:rPr>
                <w:rFonts w:ascii="Times New Roman" w:hAnsi="Times New Roman" w:cs="Times New Roman"/>
                <w:sz w:val="20"/>
                <w:szCs w:val="20"/>
              </w:rPr>
            </w:pPr>
            <w:r w:rsidRPr="000B6D03">
              <w:rPr>
                <w:rFonts w:ascii="Times New Roman" w:hAnsi="Times New Roman" w:cs="Times New Roman"/>
                <w:sz w:val="20"/>
                <w:szCs w:val="20"/>
              </w:rPr>
              <w:t>Paaiškiname, kad reikalavimas kontroliuoti „dumblo vandens siurblio (dekanterio) būseną“ taikomas tik tuo atveju, jei rangovo siūlomame technologiniame sprendime numatomas dekanteris.</w:t>
            </w:r>
          </w:p>
        </w:tc>
      </w:tr>
      <w:tr w:rsidR="00B405F3" w:rsidRPr="000B6D03" w14:paraId="7BBF11E6" w14:textId="77777777" w:rsidTr="00D96461">
        <w:tc>
          <w:tcPr>
            <w:tcW w:w="451" w:type="dxa"/>
          </w:tcPr>
          <w:p w14:paraId="03714C98" w14:textId="77777777" w:rsidR="00B405F3" w:rsidRPr="000B6D03" w:rsidRDefault="00B405F3" w:rsidP="00B405F3">
            <w:pPr>
              <w:numPr>
                <w:ilvl w:val="0"/>
                <w:numId w:val="5"/>
              </w:numPr>
              <w:ind w:left="-109" w:right="-131" w:firstLine="0"/>
              <w:contextualSpacing/>
              <w:rPr>
                <w:rFonts w:ascii="Times New Roman" w:hAnsi="Times New Roman" w:cs="Times New Roman"/>
                <w:sz w:val="20"/>
                <w:szCs w:val="20"/>
              </w:rPr>
            </w:pPr>
          </w:p>
        </w:tc>
        <w:tc>
          <w:tcPr>
            <w:tcW w:w="5050" w:type="dxa"/>
          </w:tcPr>
          <w:p w14:paraId="2C942229" w14:textId="7AD17433" w:rsidR="00B405F3" w:rsidRPr="000B6D03" w:rsidRDefault="00B405F3" w:rsidP="00B405F3">
            <w:pPr>
              <w:jc w:val="both"/>
              <w:rPr>
                <w:rFonts w:ascii="Times New Roman" w:hAnsi="Times New Roman" w:cs="Times New Roman"/>
                <w:sz w:val="20"/>
                <w:szCs w:val="20"/>
              </w:rPr>
            </w:pPr>
            <w:r w:rsidRPr="000B6D03">
              <w:rPr>
                <w:rFonts w:ascii="Times New Roman" w:hAnsi="Times New Roman" w:cs="Times New Roman"/>
                <w:sz w:val="20"/>
                <w:szCs w:val="20"/>
              </w:rPr>
              <w:t xml:space="preserve">Pirkimo sąlygų 4 priede 1.2 punkte, 2.1 eilutėje nurodyta ,, **Paskutiniai 2 finansiniai metai yra 2025 ir 2026, jei tiekėjo finansiniai metai sutampa su kalendoriniais metais“. Prašome patikslinti, nes 2026 metai dar nepasibaigę. </w:t>
            </w:r>
          </w:p>
        </w:tc>
        <w:tc>
          <w:tcPr>
            <w:tcW w:w="4127" w:type="dxa"/>
          </w:tcPr>
          <w:p w14:paraId="49EF488C" w14:textId="633C3019" w:rsidR="00B405F3" w:rsidRPr="000B6D03" w:rsidRDefault="00B405F3" w:rsidP="00B405F3">
            <w:pPr>
              <w:tabs>
                <w:tab w:val="left" w:pos="404"/>
              </w:tabs>
              <w:ind w:right="-116"/>
              <w:rPr>
                <w:rFonts w:ascii="Times New Roman" w:hAnsi="Times New Roman" w:cs="Times New Roman"/>
                <w:sz w:val="20"/>
                <w:szCs w:val="20"/>
              </w:rPr>
            </w:pPr>
            <w:r w:rsidRPr="000B6D03">
              <w:rPr>
                <w:rFonts w:ascii="Times New Roman" w:hAnsi="Times New Roman" w:cs="Times New Roman"/>
                <w:sz w:val="20"/>
                <w:szCs w:val="20"/>
              </w:rPr>
              <w:t>Pateikiame patikslintą 1 pirkimo dalies 4 priedą.</w:t>
            </w:r>
          </w:p>
        </w:tc>
      </w:tr>
      <w:tr w:rsidR="00B405F3" w:rsidRPr="000B6D03" w14:paraId="41BDB8CE" w14:textId="77777777" w:rsidTr="00D96461">
        <w:tc>
          <w:tcPr>
            <w:tcW w:w="451" w:type="dxa"/>
          </w:tcPr>
          <w:p w14:paraId="78E40118" w14:textId="77777777" w:rsidR="00B405F3" w:rsidRPr="000B6D03" w:rsidRDefault="00B405F3" w:rsidP="00B405F3">
            <w:pPr>
              <w:numPr>
                <w:ilvl w:val="0"/>
                <w:numId w:val="5"/>
              </w:numPr>
              <w:ind w:left="-109" w:right="-131" w:firstLine="0"/>
              <w:contextualSpacing/>
              <w:rPr>
                <w:rFonts w:ascii="Times New Roman" w:hAnsi="Times New Roman" w:cs="Times New Roman"/>
                <w:sz w:val="20"/>
                <w:szCs w:val="20"/>
              </w:rPr>
            </w:pPr>
          </w:p>
        </w:tc>
        <w:tc>
          <w:tcPr>
            <w:tcW w:w="5050" w:type="dxa"/>
          </w:tcPr>
          <w:p w14:paraId="5E0AEB34" w14:textId="5063B7F2" w:rsidR="00B405F3" w:rsidRPr="000B6D03" w:rsidRDefault="00B405F3" w:rsidP="00B405F3">
            <w:pPr>
              <w:jc w:val="both"/>
              <w:rPr>
                <w:rFonts w:ascii="Times New Roman" w:hAnsi="Times New Roman" w:cs="Times New Roman"/>
                <w:sz w:val="20"/>
                <w:szCs w:val="20"/>
              </w:rPr>
            </w:pPr>
            <w:r w:rsidRPr="000B6D03">
              <w:rPr>
                <w:rFonts w:ascii="Times New Roman" w:hAnsi="Times New Roman" w:cs="Times New Roman"/>
                <w:sz w:val="20"/>
                <w:szCs w:val="20"/>
              </w:rPr>
              <w:t>Efektyvumo garantijų žiniaraštyje nustatyta Rangovo atsakomybė nėra ribojama nei maksimaliu baudų dydžiu, nei siejama su realiais Užsakovo nuostoliais ar jam taikomomis aplinkosauginėmis sankcijomis. Baudos skaičiuojamos nuo visos Sutarties kainos, todėl gali akivaizdžiai viršyti galimą žalą. Pažymime, kad civilinėje teisėje netesybos atlieka kompensacinę, o ne baudžiamąją funkciją, todėl Rangovo atsakomybė turi būti: proporcinga galimiems nuostoliams, aiškiai apribota (maksimali riba), nesukurianti nepagrįsto Užsakovo praturtėjimo. Prašome patikslinti pirkimo dokumentus, nustatant maksimalią bendrą Rangovo atsakomybės ribą pagal Efektyvumo garantijas ir aiškiai susiejant ją su faktiškai patirtais Užsakovo nuostoliais ar jam taikomomis sankcijomis.</w:t>
            </w:r>
          </w:p>
        </w:tc>
        <w:tc>
          <w:tcPr>
            <w:tcW w:w="4127" w:type="dxa"/>
          </w:tcPr>
          <w:p w14:paraId="6BF0FFFB" w14:textId="77777777" w:rsidR="00D96461" w:rsidRPr="000B6D03" w:rsidRDefault="00D96461" w:rsidP="00D96461">
            <w:pPr>
              <w:jc w:val="both"/>
              <w:rPr>
                <w:rFonts w:ascii="Times New Roman" w:hAnsi="Times New Roman" w:cs="Times New Roman"/>
                <w:sz w:val="20"/>
                <w:szCs w:val="20"/>
              </w:rPr>
            </w:pPr>
            <w:r w:rsidRPr="000B6D03">
              <w:rPr>
                <w:rFonts w:ascii="Times New Roman" w:hAnsi="Times New Roman" w:cs="Times New Roman"/>
                <w:sz w:val="20"/>
                <w:szCs w:val="20"/>
              </w:rPr>
              <w:t>Nustatytos baudos nėra abstrakčios ar neapibrėžtos – jos siejamos su objektyviai išmatuojamu išleidžiamų valytų nuotekų kokybės rodiklių viršijimu. Šie rodikliai yra esminiai pirkimo objektui ir tiesiogiai susiję su pagrindiniu Sutarties rezultatu – tinkamai veikiančiais nuotekų valymo įrenginiais bei išleidžiamų valytų nuotekų atitiktimi pirkimo dokumentuose nustatytiems reikalavimams.</w:t>
            </w:r>
          </w:p>
          <w:p w14:paraId="6B707CEB" w14:textId="77777777" w:rsidR="00D96461" w:rsidRPr="000B6D03" w:rsidRDefault="00D96461" w:rsidP="00D96461">
            <w:pPr>
              <w:jc w:val="both"/>
              <w:rPr>
                <w:rFonts w:ascii="Times New Roman" w:hAnsi="Times New Roman" w:cs="Times New Roman"/>
                <w:sz w:val="20"/>
                <w:szCs w:val="20"/>
              </w:rPr>
            </w:pPr>
            <w:r w:rsidRPr="000B6D03">
              <w:rPr>
                <w:rFonts w:ascii="Times New Roman" w:hAnsi="Times New Roman" w:cs="Times New Roman"/>
                <w:sz w:val="20"/>
                <w:szCs w:val="20"/>
              </w:rPr>
              <w:t>Tiekėjo siūlymas baudas sieti tik su Užsakovo faktiškai patirtais nuostoliais ar jam pritaikytomis sankcijomis iš esmės paneigtų netesybų ir efektyvumo garantijų paskirtį, nes kiekvienu atveju Užsakovas turėtų atskirai įrodinėti patirtų nuostolių dydį, nors išleidžiamų valytų nuotekų neatitiktis gali lemti ne tik tiesiogines sankcijas, bet ir papildomas eksploatacines, technologines, aplinkosaugines bei kitas rizikas.</w:t>
            </w:r>
          </w:p>
          <w:p w14:paraId="0D74DE53" w14:textId="77777777" w:rsidR="00D96461" w:rsidRPr="000B6D03" w:rsidRDefault="00D96461" w:rsidP="00D96461">
            <w:pPr>
              <w:jc w:val="both"/>
              <w:rPr>
                <w:rFonts w:ascii="Times New Roman" w:hAnsi="Times New Roman" w:cs="Times New Roman"/>
                <w:sz w:val="20"/>
                <w:szCs w:val="20"/>
              </w:rPr>
            </w:pPr>
            <w:r w:rsidRPr="000B6D03">
              <w:rPr>
                <w:rFonts w:ascii="Times New Roman" w:hAnsi="Times New Roman" w:cs="Times New Roman"/>
                <w:sz w:val="20"/>
                <w:szCs w:val="20"/>
              </w:rPr>
              <w:t>Perkančioji organizacija taip pat nesutinka, kad baudų skaičiavimas nuo Sutarties kainos savaime yra neproporcingas. Efektyvumo garantijos yra susijusios su viso pirkimo objekto galutiniu rezultatu, o ne su atskiru darbų ar įrangos elementu. Jeigu garantuojami išvalymo rodikliai nėra pasiekiami, Užsakovas negauna to rezultato, dėl kurio sudaroma Sutartis.</w:t>
            </w:r>
          </w:p>
          <w:p w14:paraId="297A1327" w14:textId="77777777" w:rsidR="00D96461" w:rsidRPr="000B6D03" w:rsidRDefault="00D96461" w:rsidP="00D96461">
            <w:pPr>
              <w:jc w:val="both"/>
              <w:rPr>
                <w:rFonts w:ascii="Times New Roman" w:hAnsi="Times New Roman" w:cs="Times New Roman"/>
                <w:sz w:val="20"/>
                <w:szCs w:val="20"/>
              </w:rPr>
            </w:pPr>
            <w:r w:rsidRPr="000B6D03">
              <w:rPr>
                <w:rFonts w:ascii="Times New Roman" w:hAnsi="Times New Roman" w:cs="Times New Roman"/>
                <w:sz w:val="20"/>
                <w:szCs w:val="20"/>
              </w:rPr>
              <w:t>Nustatytas baudų mechanizmas yra aiškus, objektyvus, vienodai taikomas visiems tiekėjams ir leidžia tiekėjams įsivertinti riziką rengiant pasiūlymą. Todėl nėra pagrindo keisti pirkimo dokumentų ir nustatyti tiekėjo prašomą maksimalią bendrą atsakomybės ribą ar sieti baudas tik su faktiškai Užsakovo patirtais nuostoliais ar jam pritaikytomis sankcijomis.</w:t>
            </w:r>
          </w:p>
          <w:p w14:paraId="63EE22E6" w14:textId="132CAA09" w:rsidR="00B405F3" w:rsidRPr="000B6D03" w:rsidRDefault="00D96461" w:rsidP="00D96461">
            <w:pPr>
              <w:jc w:val="both"/>
              <w:rPr>
                <w:rFonts w:ascii="Times New Roman" w:hAnsi="Times New Roman" w:cs="Times New Roman"/>
                <w:sz w:val="20"/>
                <w:szCs w:val="20"/>
              </w:rPr>
            </w:pPr>
            <w:r w:rsidRPr="000B6D03">
              <w:rPr>
                <w:rFonts w:ascii="Times New Roman" w:hAnsi="Times New Roman" w:cs="Times New Roman"/>
                <w:sz w:val="20"/>
                <w:szCs w:val="20"/>
              </w:rPr>
              <w:lastRenderedPageBreak/>
              <w:t>Atsižvelgiant į tai, tiekėjo prašymas netenkinamas, pirkimo dokumentų nuostatos nekeičiamos.</w:t>
            </w:r>
          </w:p>
        </w:tc>
      </w:tr>
      <w:tr w:rsidR="00B405F3" w:rsidRPr="000B6D03" w14:paraId="2525A122" w14:textId="77777777" w:rsidTr="00D96461">
        <w:tc>
          <w:tcPr>
            <w:tcW w:w="451" w:type="dxa"/>
          </w:tcPr>
          <w:p w14:paraId="55B97647" w14:textId="77777777" w:rsidR="00B405F3" w:rsidRPr="000B6D03" w:rsidRDefault="00B405F3" w:rsidP="00B405F3">
            <w:pPr>
              <w:numPr>
                <w:ilvl w:val="0"/>
                <w:numId w:val="5"/>
              </w:numPr>
              <w:ind w:left="-109" w:right="-131" w:firstLine="0"/>
              <w:contextualSpacing/>
              <w:rPr>
                <w:rFonts w:ascii="Times New Roman" w:hAnsi="Times New Roman" w:cs="Times New Roman"/>
                <w:sz w:val="20"/>
                <w:szCs w:val="20"/>
              </w:rPr>
            </w:pPr>
          </w:p>
        </w:tc>
        <w:tc>
          <w:tcPr>
            <w:tcW w:w="5050" w:type="dxa"/>
          </w:tcPr>
          <w:p w14:paraId="46FB75A2" w14:textId="1C949CA7" w:rsidR="00B405F3" w:rsidRPr="000B6D03" w:rsidRDefault="00B405F3" w:rsidP="00B405F3">
            <w:pPr>
              <w:jc w:val="both"/>
              <w:rPr>
                <w:rFonts w:ascii="Times New Roman" w:hAnsi="Times New Roman" w:cs="Times New Roman"/>
                <w:sz w:val="20"/>
                <w:szCs w:val="20"/>
              </w:rPr>
            </w:pPr>
            <w:r w:rsidRPr="000B6D03">
              <w:rPr>
                <w:rFonts w:ascii="Times New Roman" w:hAnsi="Times New Roman" w:cs="Times New Roman"/>
                <w:sz w:val="20"/>
                <w:szCs w:val="20"/>
              </w:rPr>
              <w:t>Koks pirkimo biudžetas?</w:t>
            </w:r>
          </w:p>
        </w:tc>
        <w:tc>
          <w:tcPr>
            <w:tcW w:w="4127" w:type="dxa"/>
          </w:tcPr>
          <w:p w14:paraId="560C4DFD" w14:textId="77777777" w:rsidR="00D96461" w:rsidRPr="000B6D03" w:rsidRDefault="00D96461" w:rsidP="00D96461">
            <w:pPr>
              <w:rPr>
                <w:rFonts w:ascii="Times New Roman" w:hAnsi="Times New Roman" w:cs="Times New Roman"/>
                <w:sz w:val="20"/>
                <w:szCs w:val="20"/>
              </w:rPr>
            </w:pPr>
            <w:r w:rsidRPr="000B6D03">
              <w:rPr>
                <w:rFonts w:ascii="Times New Roman" w:hAnsi="Times New Roman" w:cs="Times New Roman"/>
                <w:sz w:val="20"/>
                <w:szCs w:val="20"/>
              </w:rPr>
              <w:t>Pirkimo biudžetas neskelbiamas.</w:t>
            </w:r>
          </w:p>
          <w:p w14:paraId="37DC9AA6" w14:textId="330F717D" w:rsidR="00B405F3" w:rsidRPr="000B6D03" w:rsidRDefault="00D96461" w:rsidP="00D96461">
            <w:pPr>
              <w:jc w:val="both"/>
              <w:rPr>
                <w:rFonts w:ascii="Times New Roman" w:hAnsi="Times New Roman" w:cs="Times New Roman"/>
                <w:sz w:val="20"/>
                <w:szCs w:val="20"/>
              </w:rPr>
            </w:pPr>
            <w:hyperlink r:id="rId6" w:history="1">
              <w:r w:rsidRPr="000B6D03">
                <w:rPr>
                  <w:rStyle w:val="Hipersaitas"/>
                  <w:rFonts w:ascii="Times New Roman" w:hAnsi="Times New Roman" w:cs="Times New Roman"/>
                  <w:color w:val="auto"/>
                  <w:sz w:val="20"/>
                  <w:szCs w:val="20"/>
                </w:rPr>
                <w:t>https://klausk.vpt.lt/hc/lt/articles/360001331325-Ar-perkan%C4%8Dioji-organizacija-apie-tai-informuodama-tiek%C4%97jus-privalo-jiems-nurodyti-perkan%C4%8Diosios-organizacijos-%C5%A1iam-pirkimui-suplanuotas-l%C4%97%C5%A1as-kai-tiek%C4%97jas-to-pra%C5%A1o-</w:t>
              </w:r>
            </w:hyperlink>
            <w:r w:rsidRPr="000B6D03">
              <w:rPr>
                <w:rFonts w:ascii="Times New Roman" w:hAnsi="Times New Roman" w:cs="Times New Roman"/>
                <w:sz w:val="20"/>
                <w:szCs w:val="20"/>
              </w:rPr>
              <w:t xml:space="preserve"> </w:t>
            </w:r>
          </w:p>
        </w:tc>
      </w:tr>
      <w:tr w:rsidR="00E90E94" w:rsidRPr="000B6D03" w14:paraId="6BA66BBE" w14:textId="77777777" w:rsidTr="00F572EE">
        <w:tc>
          <w:tcPr>
            <w:tcW w:w="9628" w:type="dxa"/>
            <w:gridSpan w:val="3"/>
          </w:tcPr>
          <w:p w14:paraId="26AD9128" w14:textId="692D5A84" w:rsidR="00E90E94" w:rsidRPr="000B6D03" w:rsidRDefault="00E90E94" w:rsidP="00593780">
            <w:pPr>
              <w:jc w:val="both"/>
              <w:rPr>
                <w:rFonts w:ascii="Times New Roman" w:hAnsi="Times New Roman" w:cs="Times New Roman"/>
                <w:b/>
                <w:bCs/>
                <w:sz w:val="20"/>
                <w:szCs w:val="20"/>
              </w:rPr>
            </w:pPr>
            <w:r w:rsidRPr="000B6D03">
              <w:rPr>
                <w:rFonts w:ascii="Times New Roman" w:hAnsi="Times New Roman" w:cs="Times New Roman"/>
                <w:b/>
                <w:bCs/>
                <w:sz w:val="20"/>
                <w:szCs w:val="20"/>
              </w:rPr>
              <w:t>Dėl II pirkimo dalies</w:t>
            </w:r>
          </w:p>
        </w:tc>
      </w:tr>
      <w:tr w:rsidR="00E72916" w:rsidRPr="000B6D03" w14:paraId="34C5C3AB" w14:textId="77777777" w:rsidTr="00D96461">
        <w:tc>
          <w:tcPr>
            <w:tcW w:w="451" w:type="dxa"/>
          </w:tcPr>
          <w:p w14:paraId="6B70B20F" w14:textId="77777777" w:rsidR="00E72916" w:rsidRPr="000B6D03" w:rsidRDefault="00E72916" w:rsidP="00E72916">
            <w:pPr>
              <w:numPr>
                <w:ilvl w:val="0"/>
                <w:numId w:val="5"/>
              </w:numPr>
              <w:ind w:left="-109" w:right="-131" w:firstLine="0"/>
              <w:contextualSpacing/>
              <w:rPr>
                <w:rFonts w:ascii="Times New Roman" w:hAnsi="Times New Roman" w:cs="Times New Roman"/>
                <w:sz w:val="20"/>
                <w:szCs w:val="20"/>
              </w:rPr>
            </w:pPr>
          </w:p>
        </w:tc>
        <w:tc>
          <w:tcPr>
            <w:tcW w:w="5050" w:type="dxa"/>
          </w:tcPr>
          <w:p w14:paraId="5D6BCFF4" w14:textId="63226E4F" w:rsidR="00E72916" w:rsidRPr="000B6D03" w:rsidRDefault="00E72916" w:rsidP="00E72916">
            <w:pPr>
              <w:jc w:val="both"/>
              <w:rPr>
                <w:rFonts w:ascii="Times New Roman" w:hAnsi="Times New Roman" w:cs="Times New Roman"/>
                <w:sz w:val="20"/>
                <w:szCs w:val="20"/>
              </w:rPr>
            </w:pPr>
            <w:r w:rsidRPr="000B6D03">
              <w:rPr>
                <w:rFonts w:ascii="Times New Roman" w:hAnsi="Times New Roman" w:cs="Times New Roman"/>
                <w:sz w:val="20"/>
                <w:szCs w:val="20"/>
              </w:rPr>
              <w:t>Prašome patikslinti, ar pagal užsakovo reikalavimų 2.19 punktą anglies šaltinio (pvz. melasos) dozavimo įranga yra privaloma visais atvejais, ar ji turi būti numatoma tik tuo atveju, jei Rangovo atlikti technologiniai skaičiavimai pagrindžia papildomo nitratų šalinimo būtinybę. Kadangi reikalavime nurodyta, jog tiek fosforo, tiek nitratų papildomas cheminis šalinimas turi būti pagrįstas technologiniais skaičiavimais, nėra aišku, ar anglies šaltinio dozavimo sprendinys laikomas privalomu pirkimo apimties elementu, ar galimu technologiniu sprendimu, taikomu tik esant poreikiui.</w:t>
            </w:r>
          </w:p>
        </w:tc>
        <w:tc>
          <w:tcPr>
            <w:tcW w:w="4127" w:type="dxa"/>
          </w:tcPr>
          <w:p w14:paraId="0C15A0C8" w14:textId="592B93BD" w:rsidR="00E72916" w:rsidRPr="000B6D03" w:rsidRDefault="00E72916" w:rsidP="00E72916">
            <w:pPr>
              <w:jc w:val="both"/>
              <w:rPr>
                <w:rFonts w:ascii="Times New Roman" w:hAnsi="Times New Roman" w:cs="Times New Roman"/>
                <w:sz w:val="20"/>
                <w:szCs w:val="20"/>
              </w:rPr>
            </w:pPr>
            <w:r w:rsidRPr="000B6D03">
              <w:rPr>
                <w:rFonts w:ascii="Times New Roman" w:hAnsi="Times New Roman" w:cs="Times New Roman"/>
                <w:sz w:val="20"/>
                <w:szCs w:val="20"/>
              </w:rPr>
              <w:t>Paaiškiname, kad anglies šaltinio dozavimo įranga turi būti numatoma tik tuo atveju, jei Rangovo atlikti technologiniai skaičiavimai pagrindžia papildomo nitratų šalinimo būtinybę.</w:t>
            </w:r>
          </w:p>
        </w:tc>
      </w:tr>
      <w:tr w:rsidR="00E72916" w:rsidRPr="000B6D03" w14:paraId="7978FAA3" w14:textId="77777777" w:rsidTr="00D96461">
        <w:tc>
          <w:tcPr>
            <w:tcW w:w="451" w:type="dxa"/>
          </w:tcPr>
          <w:p w14:paraId="2C9C51CA" w14:textId="77777777" w:rsidR="00E72916" w:rsidRPr="000B6D03" w:rsidRDefault="00E72916" w:rsidP="00E72916">
            <w:pPr>
              <w:numPr>
                <w:ilvl w:val="0"/>
                <w:numId w:val="5"/>
              </w:numPr>
              <w:ind w:left="-109" w:right="-131" w:firstLine="0"/>
              <w:contextualSpacing/>
              <w:rPr>
                <w:rFonts w:ascii="Times New Roman" w:hAnsi="Times New Roman" w:cs="Times New Roman"/>
                <w:sz w:val="20"/>
                <w:szCs w:val="20"/>
              </w:rPr>
            </w:pPr>
          </w:p>
        </w:tc>
        <w:tc>
          <w:tcPr>
            <w:tcW w:w="5050" w:type="dxa"/>
          </w:tcPr>
          <w:p w14:paraId="03FA881B" w14:textId="3AEECB07" w:rsidR="00E72916" w:rsidRPr="000B6D03" w:rsidRDefault="00E72916" w:rsidP="00E72916">
            <w:pPr>
              <w:jc w:val="both"/>
              <w:rPr>
                <w:rFonts w:ascii="Times New Roman" w:hAnsi="Times New Roman" w:cs="Times New Roman"/>
                <w:sz w:val="20"/>
                <w:szCs w:val="20"/>
              </w:rPr>
            </w:pPr>
            <w:r w:rsidRPr="000B6D03">
              <w:rPr>
                <w:rFonts w:ascii="Times New Roman" w:hAnsi="Times New Roman" w:cs="Times New Roman"/>
                <w:sz w:val="20"/>
                <w:szCs w:val="20"/>
              </w:rPr>
              <w:t>Prašome patikslinti, ar reikalavimas kontroliuoti „dumblo vandens siurblio (dekanterio) būseną“ taikomas tik tuo atveju, jei rangovo siūlomame technologiniame sprendime numatomas dekanteris. Kadangi dekanterio naudojimas gali būti technologinio sprendinio pasirinkimas, prašome patvirtinti, jog šis reikalavimas nėra taikomas tais atvejais, kai dekanteris rangovo sprendime nenumatomas.</w:t>
            </w:r>
          </w:p>
        </w:tc>
        <w:tc>
          <w:tcPr>
            <w:tcW w:w="4127" w:type="dxa"/>
          </w:tcPr>
          <w:p w14:paraId="3D441F7E" w14:textId="77CFA1CF" w:rsidR="00E72916" w:rsidRPr="000B6D03" w:rsidRDefault="00E72916" w:rsidP="00E72916">
            <w:pPr>
              <w:jc w:val="both"/>
              <w:rPr>
                <w:rFonts w:ascii="Times New Roman" w:hAnsi="Times New Roman" w:cs="Times New Roman"/>
                <w:sz w:val="20"/>
                <w:szCs w:val="20"/>
              </w:rPr>
            </w:pPr>
            <w:r w:rsidRPr="000B6D03">
              <w:rPr>
                <w:rFonts w:ascii="Times New Roman" w:hAnsi="Times New Roman" w:cs="Times New Roman"/>
                <w:sz w:val="20"/>
                <w:szCs w:val="20"/>
              </w:rPr>
              <w:t>Paaiškiname, kad reikalavimas kontroliuoti „dumblo vandens siurblio (dekanterio) būseną“ taikomas tik tuo atveju, jei rangovo siūlomame technologiniame sprendime numatomas dekanteris.</w:t>
            </w:r>
          </w:p>
        </w:tc>
      </w:tr>
      <w:tr w:rsidR="00E72916" w:rsidRPr="000B6D03" w14:paraId="0D4528ED" w14:textId="77777777" w:rsidTr="00D96461">
        <w:tc>
          <w:tcPr>
            <w:tcW w:w="451" w:type="dxa"/>
          </w:tcPr>
          <w:p w14:paraId="6D59632C" w14:textId="77777777" w:rsidR="00E72916" w:rsidRPr="000B6D03" w:rsidRDefault="00E72916" w:rsidP="00E72916">
            <w:pPr>
              <w:numPr>
                <w:ilvl w:val="0"/>
                <w:numId w:val="5"/>
              </w:numPr>
              <w:ind w:left="-109" w:right="-131" w:firstLine="0"/>
              <w:contextualSpacing/>
              <w:rPr>
                <w:rFonts w:ascii="Times New Roman" w:hAnsi="Times New Roman" w:cs="Times New Roman"/>
                <w:sz w:val="20"/>
                <w:szCs w:val="20"/>
              </w:rPr>
            </w:pPr>
          </w:p>
        </w:tc>
        <w:tc>
          <w:tcPr>
            <w:tcW w:w="5050" w:type="dxa"/>
          </w:tcPr>
          <w:p w14:paraId="193E799C" w14:textId="75EFAED2" w:rsidR="00E72916" w:rsidRPr="000B6D03" w:rsidRDefault="00E72916" w:rsidP="00E72916">
            <w:pPr>
              <w:rPr>
                <w:rFonts w:ascii="Times New Roman" w:hAnsi="Times New Roman" w:cs="Times New Roman"/>
                <w:sz w:val="20"/>
                <w:szCs w:val="20"/>
              </w:rPr>
            </w:pPr>
            <w:r w:rsidRPr="000B6D03">
              <w:rPr>
                <w:rFonts w:ascii="Times New Roman" w:hAnsi="Times New Roman" w:cs="Times New Roman"/>
                <w:sz w:val="20"/>
                <w:szCs w:val="20"/>
              </w:rPr>
              <w:t>Prašome nurodyti atitekančių nuotekų savitakinio tinklo vamzdžio skersmenį.</w:t>
            </w:r>
          </w:p>
        </w:tc>
        <w:tc>
          <w:tcPr>
            <w:tcW w:w="4127" w:type="dxa"/>
          </w:tcPr>
          <w:p w14:paraId="1F1A10E3" w14:textId="72FE2C9B" w:rsidR="00E9056E" w:rsidRPr="000B6D03" w:rsidRDefault="00E9056E" w:rsidP="00E9056E">
            <w:pPr>
              <w:rPr>
                <w:rFonts w:ascii="Times New Roman" w:hAnsi="Times New Roman" w:cs="Times New Roman"/>
                <w:sz w:val="20"/>
                <w:szCs w:val="20"/>
              </w:rPr>
            </w:pPr>
            <w:r w:rsidRPr="000B6D03">
              <w:rPr>
                <w:rFonts w:ascii="Times New Roman" w:hAnsi="Times New Roman" w:cs="Times New Roman"/>
                <w:sz w:val="20"/>
                <w:szCs w:val="20"/>
              </w:rPr>
              <w:t>Savitakinio tinklo skersmuo DN200</w:t>
            </w:r>
            <w:r w:rsidR="0079354F" w:rsidRPr="000B6D03">
              <w:rPr>
                <w:rFonts w:ascii="Times New Roman" w:hAnsi="Times New Roman" w:cs="Times New Roman"/>
                <w:sz w:val="20"/>
                <w:szCs w:val="20"/>
              </w:rPr>
              <w:t>, kuris baigiasi g/b d1000 šuliniu. Šulinio gylis 2,09 m</w:t>
            </w:r>
            <w:r w:rsidRPr="000B6D03">
              <w:rPr>
                <w:rFonts w:ascii="Times New Roman" w:hAnsi="Times New Roman" w:cs="Times New Roman"/>
                <w:sz w:val="20"/>
                <w:szCs w:val="20"/>
              </w:rPr>
              <w:t>. Pridedame Vandentiekio ir nuotek</w:t>
            </w:r>
            <w:r w:rsidRPr="000B6D03">
              <w:rPr>
                <w:rFonts w:ascii="Times New Roman" w:hAnsi="Times New Roman" w:cs="Times New Roman" w:hint="eastAsia"/>
                <w:sz w:val="20"/>
                <w:szCs w:val="20"/>
              </w:rPr>
              <w:t>ų</w:t>
            </w:r>
            <w:r w:rsidRPr="000B6D03">
              <w:rPr>
                <w:rFonts w:ascii="Times New Roman" w:hAnsi="Times New Roman" w:cs="Times New Roman"/>
                <w:sz w:val="20"/>
                <w:szCs w:val="20"/>
              </w:rPr>
              <w:t xml:space="preserve"> </w:t>
            </w:r>
            <w:r w:rsidRPr="000B6D03">
              <w:rPr>
                <w:rFonts w:ascii="Times New Roman" w:hAnsi="Times New Roman" w:cs="Times New Roman" w:hint="eastAsia"/>
                <w:sz w:val="20"/>
                <w:szCs w:val="20"/>
              </w:rPr>
              <w:t>š</w:t>
            </w:r>
            <w:r w:rsidRPr="000B6D03">
              <w:rPr>
                <w:rFonts w:ascii="Times New Roman" w:hAnsi="Times New Roman" w:cs="Times New Roman"/>
                <w:sz w:val="20"/>
                <w:szCs w:val="20"/>
              </w:rPr>
              <w:t>alinimo tinkl</w:t>
            </w:r>
            <w:r w:rsidRPr="000B6D03">
              <w:rPr>
                <w:rFonts w:ascii="Times New Roman" w:hAnsi="Times New Roman" w:cs="Times New Roman" w:hint="eastAsia"/>
                <w:sz w:val="20"/>
                <w:szCs w:val="20"/>
              </w:rPr>
              <w:t>ų</w:t>
            </w:r>
            <w:r w:rsidRPr="000B6D03">
              <w:rPr>
                <w:rFonts w:ascii="Times New Roman" w:hAnsi="Times New Roman" w:cs="Times New Roman"/>
                <w:sz w:val="20"/>
                <w:szCs w:val="20"/>
              </w:rPr>
              <w:t xml:space="preserve"> Meironiškių k. supaprastinto statybos projekto ištrauką.</w:t>
            </w:r>
          </w:p>
          <w:p w14:paraId="58E1010F" w14:textId="77777777" w:rsidR="00E9056E" w:rsidRPr="000B6D03" w:rsidRDefault="00E9056E" w:rsidP="00E9056E">
            <w:pPr>
              <w:rPr>
                <w:rFonts w:ascii="Times New Roman" w:hAnsi="Times New Roman" w:cs="Times New Roman"/>
                <w:sz w:val="20"/>
                <w:szCs w:val="20"/>
              </w:rPr>
            </w:pPr>
            <w:r w:rsidRPr="000B6D03">
              <w:rPr>
                <w:rFonts w:ascii="Times New Roman" w:hAnsi="Times New Roman" w:cs="Times New Roman"/>
                <w:noProof/>
                <w:sz w:val="20"/>
                <w:szCs w:val="20"/>
                <w:lang w:val="en-US"/>
              </w:rPr>
              <w:drawing>
                <wp:inline distT="0" distB="0" distL="0" distR="0" wp14:anchorId="70FCC506" wp14:editId="6F382B46">
                  <wp:extent cx="2352705" cy="25069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99547" cy="2556893"/>
                          </a:xfrm>
                          <a:prstGeom prst="rect">
                            <a:avLst/>
                          </a:prstGeom>
                        </pic:spPr>
                      </pic:pic>
                    </a:graphicData>
                  </a:graphic>
                </wp:inline>
              </w:drawing>
            </w:r>
          </w:p>
          <w:p w14:paraId="0CCC1B6F" w14:textId="3416FD36" w:rsidR="00E9056E" w:rsidRPr="000B6D03" w:rsidRDefault="00E9056E" w:rsidP="00E9056E">
            <w:pPr>
              <w:rPr>
                <w:rFonts w:ascii="Times New Roman" w:hAnsi="Times New Roman" w:cs="Times New Roman"/>
                <w:sz w:val="20"/>
                <w:szCs w:val="20"/>
              </w:rPr>
            </w:pPr>
          </w:p>
        </w:tc>
      </w:tr>
      <w:tr w:rsidR="00E72916" w:rsidRPr="000B6D03" w14:paraId="2627ABF0" w14:textId="77777777" w:rsidTr="00D96461">
        <w:tc>
          <w:tcPr>
            <w:tcW w:w="451" w:type="dxa"/>
          </w:tcPr>
          <w:p w14:paraId="6C441A6E" w14:textId="77777777" w:rsidR="00E72916" w:rsidRPr="000B6D03" w:rsidRDefault="00E72916" w:rsidP="00E72916">
            <w:pPr>
              <w:numPr>
                <w:ilvl w:val="0"/>
                <w:numId w:val="5"/>
              </w:numPr>
              <w:ind w:left="-109" w:right="-131" w:firstLine="0"/>
              <w:contextualSpacing/>
              <w:rPr>
                <w:rFonts w:ascii="Times New Roman" w:hAnsi="Times New Roman" w:cs="Times New Roman"/>
                <w:sz w:val="20"/>
                <w:szCs w:val="20"/>
              </w:rPr>
            </w:pPr>
          </w:p>
        </w:tc>
        <w:tc>
          <w:tcPr>
            <w:tcW w:w="5050" w:type="dxa"/>
          </w:tcPr>
          <w:p w14:paraId="0BB6D285" w14:textId="0712A1FB" w:rsidR="00E72916" w:rsidRPr="000B6D03" w:rsidRDefault="00E72916" w:rsidP="00E72916">
            <w:pPr>
              <w:rPr>
                <w:rFonts w:ascii="Times New Roman" w:hAnsi="Times New Roman" w:cs="Times New Roman"/>
                <w:sz w:val="20"/>
                <w:szCs w:val="20"/>
              </w:rPr>
            </w:pPr>
            <w:r w:rsidRPr="000B6D03">
              <w:rPr>
                <w:rFonts w:ascii="Times New Roman" w:hAnsi="Times New Roman" w:cs="Times New Roman"/>
                <w:sz w:val="20"/>
                <w:szCs w:val="20"/>
              </w:rPr>
              <w:t xml:space="preserve">Prašome patikslinti, ar galima siūlyti kitą išleistuvo vietą negu nurodyta pateiktame plane, t. y. išvalytas nuotekas nuvesti tiesiai į Smilgaičio upelį? </w:t>
            </w:r>
          </w:p>
        </w:tc>
        <w:tc>
          <w:tcPr>
            <w:tcW w:w="4127" w:type="dxa"/>
          </w:tcPr>
          <w:p w14:paraId="7FB6E2CC" w14:textId="5957A85D" w:rsidR="00E72916" w:rsidRPr="000B6D03" w:rsidRDefault="00E9056E" w:rsidP="00E72916">
            <w:pPr>
              <w:rPr>
                <w:rFonts w:ascii="Times New Roman" w:hAnsi="Times New Roman" w:cs="Times New Roman"/>
                <w:sz w:val="20"/>
                <w:szCs w:val="20"/>
              </w:rPr>
            </w:pPr>
            <w:r w:rsidRPr="000B6D03">
              <w:rPr>
                <w:rFonts w:ascii="Times New Roman" w:hAnsi="Times New Roman" w:cs="Times New Roman"/>
                <w:sz w:val="20"/>
                <w:szCs w:val="20"/>
              </w:rPr>
              <w:t>Taip, galima.</w:t>
            </w:r>
          </w:p>
        </w:tc>
      </w:tr>
      <w:tr w:rsidR="00E72916" w:rsidRPr="000B6D03" w14:paraId="564AB69C" w14:textId="77777777" w:rsidTr="00D96461">
        <w:tc>
          <w:tcPr>
            <w:tcW w:w="451" w:type="dxa"/>
          </w:tcPr>
          <w:p w14:paraId="2AE5AF02" w14:textId="77777777" w:rsidR="00E72916" w:rsidRPr="000B6D03" w:rsidRDefault="00E72916" w:rsidP="00E72916">
            <w:pPr>
              <w:numPr>
                <w:ilvl w:val="0"/>
                <w:numId w:val="5"/>
              </w:numPr>
              <w:ind w:left="-109" w:right="-131" w:firstLine="0"/>
              <w:contextualSpacing/>
              <w:rPr>
                <w:rFonts w:ascii="Times New Roman" w:hAnsi="Times New Roman" w:cs="Times New Roman"/>
                <w:sz w:val="20"/>
                <w:szCs w:val="20"/>
              </w:rPr>
            </w:pPr>
          </w:p>
        </w:tc>
        <w:tc>
          <w:tcPr>
            <w:tcW w:w="5050" w:type="dxa"/>
          </w:tcPr>
          <w:p w14:paraId="4877B9A4" w14:textId="70DCDF0A" w:rsidR="00E72916" w:rsidRPr="000B6D03" w:rsidRDefault="00E72916" w:rsidP="00E72916">
            <w:pPr>
              <w:rPr>
                <w:rFonts w:ascii="Times New Roman" w:hAnsi="Times New Roman" w:cs="Times New Roman"/>
                <w:sz w:val="20"/>
                <w:szCs w:val="20"/>
              </w:rPr>
            </w:pPr>
            <w:r w:rsidRPr="000B6D03">
              <w:rPr>
                <w:rFonts w:ascii="Times New Roman" w:hAnsi="Times New Roman" w:cs="Times New Roman"/>
                <w:sz w:val="20"/>
                <w:szCs w:val="20"/>
              </w:rPr>
              <w:t xml:space="preserve">Efektyvumo garantijų žiniaraštyje nustatyta Rangovo atsakomybė nėra ribojama nei maksimaliu baudų dydžiu, nei siejama su realiais Užsakovo nuostoliais ar jam taikomomis aplinkosauginėmis sankcijomis. Baudos skaičiuojamos nuo visos Sutarties kainos, todėl gali akivaizdžiai viršyti galimą žalą. Pažymime, kad civilinėje </w:t>
            </w:r>
            <w:r w:rsidRPr="000B6D03">
              <w:rPr>
                <w:rFonts w:ascii="Times New Roman" w:hAnsi="Times New Roman" w:cs="Times New Roman"/>
                <w:sz w:val="20"/>
                <w:szCs w:val="20"/>
              </w:rPr>
              <w:lastRenderedPageBreak/>
              <w:t>teisėje netesybos atlieka kompensacinę, o ne baudžiamąją funkciją, todėl Rangovo atsakomybė turi būti: proporcinga galimiems nuostoliams, aiškiai apribota (maksimali riba), nesukurianti nepagrįsto Užsakovo praturtėjimo. Prašome patikslinti pirkimo dokumentus, nustatant maksimalią bendrą Rangovo atsakomybės ribą pagal Efektyvumo garantijas ir aiškiai susiejant ją su faktiškai patirtais Užsakovo nuostoliais ar jam taikomomis sankcijomis.</w:t>
            </w:r>
          </w:p>
        </w:tc>
        <w:tc>
          <w:tcPr>
            <w:tcW w:w="4127" w:type="dxa"/>
          </w:tcPr>
          <w:p w14:paraId="2739C222" w14:textId="77777777" w:rsidR="00E72916" w:rsidRPr="000B6D03" w:rsidRDefault="00E72916" w:rsidP="00E72916">
            <w:pPr>
              <w:jc w:val="both"/>
              <w:rPr>
                <w:rFonts w:ascii="Times New Roman" w:hAnsi="Times New Roman" w:cs="Times New Roman"/>
                <w:sz w:val="20"/>
                <w:szCs w:val="20"/>
              </w:rPr>
            </w:pPr>
            <w:r w:rsidRPr="000B6D03">
              <w:rPr>
                <w:rFonts w:ascii="Times New Roman" w:hAnsi="Times New Roman" w:cs="Times New Roman"/>
                <w:sz w:val="20"/>
                <w:szCs w:val="20"/>
              </w:rPr>
              <w:lastRenderedPageBreak/>
              <w:t xml:space="preserve">Nustatytos baudos nėra abstrakčios ar neapibrėžtos – jos siejamos su objektyviai išmatuojamu išleidžiamų valytų nuotekų kokybės rodiklių viršijimu. Šie rodikliai yra esminiai pirkimo objektui ir tiesiogiai susiję su pagrindiniu Sutarties rezultatu – tinkamai </w:t>
            </w:r>
            <w:r w:rsidRPr="000B6D03">
              <w:rPr>
                <w:rFonts w:ascii="Times New Roman" w:hAnsi="Times New Roman" w:cs="Times New Roman"/>
                <w:sz w:val="20"/>
                <w:szCs w:val="20"/>
              </w:rPr>
              <w:lastRenderedPageBreak/>
              <w:t>veikiančiais nuotekų valymo įrenginiais bei išleidžiamų valytų nuotekų atitiktimi pirkimo dokumentuose nustatytiems reikalavimams.</w:t>
            </w:r>
          </w:p>
          <w:p w14:paraId="6DD95E67" w14:textId="77777777" w:rsidR="00E72916" w:rsidRPr="000B6D03" w:rsidRDefault="00E72916" w:rsidP="00E72916">
            <w:pPr>
              <w:jc w:val="both"/>
              <w:rPr>
                <w:rFonts w:ascii="Times New Roman" w:hAnsi="Times New Roman" w:cs="Times New Roman"/>
                <w:sz w:val="20"/>
                <w:szCs w:val="20"/>
              </w:rPr>
            </w:pPr>
            <w:r w:rsidRPr="000B6D03">
              <w:rPr>
                <w:rFonts w:ascii="Times New Roman" w:hAnsi="Times New Roman" w:cs="Times New Roman"/>
                <w:sz w:val="20"/>
                <w:szCs w:val="20"/>
              </w:rPr>
              <w:t>Tiekėjo siūlymas baudas sieti tik su Užsakovo faktiškai patirtais nuostoliais ar jam pritaikytomis sankcijomis iš esmės paneigtų netesybų ir efektyvumo garantijų paskirtį, nes kiekvienu atveju Užsakovas turėtų atskirai įrodinėti patirtų nuostolių dydį, nors išleidžiamų valytų nuotekų neatitiktis gali lemti ne tik tiesiogines sankcijas, bet ir papildomas eksploatacines, technologines, aplinkosaugines bei kitas rizikas.</w:t>
            </w:r>
          </w:p>
          <w:p w14:paraId="47077D45" w14:textId="77777777" w:rsidR="00E72916" w:rsidRPr="000B6D03" w:rsidRDefault="00E72916" w:rsidP="00E72916">
            <w:pPr>
              <w:jc w:val="both"/>
              <w:rPr>
                <w:rFonts w:ascii="Times New Roman" w:hAnsi="Times New Roman" w:cs="Times New Roman"/>
                <w:sz w:val="20"/>
                <w:szCs w:val="20"/>
              </w:rPr>
            </w:pPr>
            <w:r w:rsidRPr="000B6D03">
              <w:rPr>
                <w:rFonts w:ascii="Times New Roman" w:hAnsi="Times New Roman" w:cs="Times New Roman"/>
                <w:sz w:val="20"/>
                <w:szCs w:val="20"/>
              </w:rPr>
              <w:t>Perkančioji organizacija taip pat nesutinka, kad baudų skaičiavimas nuo Sutarties kainos savaime yra neproporcingas. Efektyvumo garantijos yra susijusios su viso pirkimo objekto galutiniu rezultatu, o ne su atskiru darbų ar įrangos elementu. Jeigu garantuojami išvalymo rodikliai nėra pasiekiami, Užsakovas negauna to rezultato, dėl kurio sudaroma Sutartis.</w:t>
            </w:r>
          </w:p>
          <w:p w14:paraId="055D909E" w14:textId="77777777" w:rsidR="00E72916" w:rsidRPr="000B6D03" w:rsidRDefault="00E72916" w:rsidP="00E72916">
            <w:pPr>
              <w:jc w:val="both"/>
              <w:rPr>
                <w:rFonts w:ascii="Times New Roman" w:hAnsi="Times New Roman" w:cs="Times New Roman"/>
                <w:sz w:val="20"/>
                <w:szCs w:val="20"/>
              </w:rPr>
            </w:pPr>
            <w:r w:rsidRPr="000B6D03">
              <w:rPr>
                <w:rFonts w:ascii="Times New Roman" w:hAnsi="Times New Roman" w:cs="Times New Roman"/>
                <w:sz w:val="20"/>
                <w:szCs w:val="20"/>
              </w:rPr>
              <w:t>Nustatytas baudų mechanizmas yra aiškus, objektyvus, vienodai taikomas visiems tiekėjams ir leidžia tiekėjams įsivertinti riziką rengiant pasiūlymą. Todėl nėra pagrindo keisti pirkimo dokumentų ir nustatyti tiekėjo prašomą maksimalią bendrą atsakomybės ribą ar sieti baudas tik su faktiškai Užsakovo patirtais nuostoliais ar jam pritaikytomis sankcijomis.</w:t>
            </w:r>
          </w:p>
          <w:p w14:paraId="3419A138" w14:textId="7181BAFD" w:rsidR="00E72916" w:rsidRPr="000B6D03" w:rsidRDefault="00E72916" w:rsidP="00E72916">
            <w:pPr>
              <w:rPr>
                <w:rFonts w:ascii="Times New Roman" w:hAnsi="Times New Roman" w:cs="Times New Roman"/>
                <w:sz w:val="20"/>
                <w:szCs w:val="20"/>
              </w:rPr>
            </w:pPr>
            <w:r w:rsidRPr="000B6D03">
              <w:rPr>
                <w:rFonts w:ascii="Times New Roman" w:hAnsi="Times New Roman" w:cs="Times New Roman"/>
                <w:sz w:val="20"/>
                <w:szCs w:val="20"/>
              </w:rPr>
              <w:t>Atsižvelgiant į tai, tiekėjo prašymas netenkinamas, pirkimo dokumentų nuostatos nekeičiamos.</w:t>
            </w:r>
          </w:p>
        </w:tc>
      </w:tr>
      <w:tr w:rsidR="00E72916" w:rsidRPr="000B6D03" w14:paraId="30391FAA" w14:textId="77777777" w:rsidTr="00D96461">
        <w:tc>
          <w:tcPr>
            <w:tcW w:w="451" w:type="dxa"/>
          </w:tcPr>
          <w:p w14:paraId="54809792" w14:textId="77777777" w:rsidR="00E72916" w:rsidRPr="000B6D03" w:rsidRDefault="00E72916" w:rsidP="00E72916">
            <w:pPr>
              <w:numPr>
                <w:ilvl w:val="0"/>
                <w:numId w:val="5"/>
              </w:numPr>
              <w:ind w:left="-109" w:right="-131" w:firstLine="0"/>
              <w:contextualSpacing/>
              <w:rPr>
                <w:rFonts w:ascii="Times New Roman" w:hAnsi="Times New Roman" w:cs="Times New Roman"/>
                <w:sz w:val="20"/>
                <w:szCs w:val="20"/>
              </w:rPr>
            </w:pPr>
          </w:p>
        </w:tc>
        <w:tc>
          <w:tcPr>
            <w:tcW w:w="5050" w:type="dxa"/>
          </w:tcPr>
          <w:p w14:paraId="64439B45" w14:textId="25C1BFA4" w:rsidR="00E72916" w:rsidRPr="000B6D03" w:rsidRDefault="00E72916" w:rsidP="00E72916">
            <w:pPr>
              <w:rPr>
                <w:rFonts w:ascii="Times New Roman" w:hAnsi="Times New Roman" w:cs="Times New Roman"/>
                <w:sz w:val="20"/>
                <w:szCs w:val="20"/>
              </w:rPr>
            </w:pPr>
            <w:r w:rsidRPr="000B6D03">
              <w:rPr>
                <w:rFonts w:ascii="Times New Roman" w:hAnsi="Times New Roman" w:cs="Times New Roman"/>
                <w:sz w:val="20"/>
                <w:szCs w:val="20"/>
              </w:rPr>
              <w:t>Koks pirkimo biudžetas?</w:t>
            </w:r>
          </w:p>
        </w:tc>
        <w:tc>
          <w:tcPr>
            <w:tcW w:w="4127" w:type="dxa"/>
          </w:tcPr>
          <w:p w14:paraId="40F7D5E3" w14:textId="77777777" w:rsidR="00E72916" w:rsidRPr="000B6D03" w:rsidRDefault="00E72916" w:rsidP="00E72916">
            <w:pPr>
              <w:rPr>
                <w:rFonts w:ascii="Times New Roman" w:hAnsi="Times New Roman" w:cs="Times New Roman"/>
                <w:sz w:val="20"/>
                <w:szCs w:val="20"/>
              </w:rPr>
            </w:pPr>
            <w:r w:rsidRPr="000B6D03">
              <w:rPr>
                <w:rFonts w:ascii="Times New Roman" w:hAnsi="Times New Roman" w:cs="Times New Roman"/>
                <w:sz w:val="20"/>
                <w:szCs w:val="20"/>
              </w:rPr>
              <w:t>Pirkimo biudžetas neskelbiamas.</w:t>
            </w:r>
          </w:p>
          <w:p w14:paraId="10A8A11A" w14:textId="6C8EC9FC" w:rsidR="00E72916" w:rsidRPr="000B6D03" w:rsidRDefault="00E72916" w:rsidP="00E72916">
            <w:pPr>
              <w:rPr>
                <w:rFonts w:ascii="Times New Roman" w:hAnsi="Times New Roman" w:cs="Times New Roman"/>
                <w:sz w:val="20"/>
                <w:szCs w:val="20"/>
              </w:rPr>
            </w:pPr>
            <w:hyperlink r:id="rId8" w:history="1">
              <w:r w:rsidRPr="000B6D03">
                <w:rPr>
                  <w:rStyle w:val="Hipersaitas"/>
                  <w:rFonts w:ascii="Times New Roman" w:hAnsi="Times New Roman" w:cs="Times New Roman"/>
                  <w:color w:val="auto"/>
                  <w:sz w:val="20"/>
                  <w:szCs w:val="20"/>
                </w:rPr>
                <w:t>https://klausk.vpt.lt/hc/lt/articles/360001331325-Ar-perkan%C4%8Dioji-organizacija-apie-tai-informuodama-tiek%C4%97jus-privalo-jiems-nurodyti-perkan%C4%8Diosios-organizacijos-%C5%A1iam-pirkimui-suplanuotas-l%C4%97%C5%A1as-kai-tiek%C4%97jas-to-pra%C5%A1o-</w:t>
              </w:r>
            </w:hyperlink>
            <w:r w:rsidRPr="000B6D03">
              <w:rPr>
                <w:rFonts w:ascii="Times New Roman" w:hAnsi="Times New Roman" w:cs="Times New Roman"/>
                <w:sz w:val="20"/>
                <w:szCs w:val="20"/>
              </w:rPr>
              <w:t xml:space="preserve"> </w:t>
            </w:r>
          </w:p>
        </w:tc>
      </w:tr>
      <w:tr w:rsidR="00E72916" w:rsidRPr="000B6D03" w14:paraId="4C589DC5" w14:textId="77777777" w:rsidTr="003C02E3">
        <w:tc>
          <w:tcPr>
            <w:tcW w:w="9628" w:type="dxa"/>
            <w:gridSpan w:val="3"/>
          </w:tcPr>
          <w:p w14:paraId="375B805F" w14:textId="1C772EFF" w:rsidR="00E72916" w:rsidRPr="000B6D03" w:rsidRDefault="00E72916" w:rsidP="00E72916">
            <w:pPr>
              <w:rPr>
                <w:rFonts w:ascii="Times New Roman" w:hAnsi="Times New Roman" w:cs="Times New Roman"/>
                <w:b/>
                <w:bCs/>
                <w:sz w:val="20"/>
                <w:szCs w:val="20"/>
              </w:rPr>
            </w:pPr>
            <w:r w:rsidRPr="000B6D03">
              <w:rPr>
                <w:rFonts w:ascii="Times New Roman" w:hAnsi="Times New Roman" w:cs="Times New Roman"/>
                <w:b/>
                <w:bCs/>
                <w:sz w:val="20"/>
                <w:szCs w:val="20"/>
              </w:rPr>
              <w:t>Dėl III pirkimo dalies</w:t>
            </w:r>
          </w:p>
        </w:tc>
      </w:tr>
      <w:tr w:rsidR="00750803" w:rsidRPr="000B6D03" w14:paraId="6E36FBF4" w14:textId="77777777" w:rsidTr="00D96461">
        <w:tc>
          <w:tcPr>
            <w:tcW w:w="451" w:type="dxa"/>
          </w:tcPr>
          <w:p w14:paraId="11988DB5" w14:textId="77777777" w:rsidR="00750803" w:rsidRPr="000B6D03" w:rsidRDefault="00750803" w:rsidP="00750803">
            <w:pPr>
              <w:numPr>
                <w:ilvl w:val="0"/>
                <w:numId w:val="5"/>
              </w:numPr>
              <w:ind w:left="-109" w:right="-131" w:firstLine="0"/>
              <w:contextualSpacing/>
              <w:rPr>
                <w:rFonts w:ascii="Times New Roman" w:hAnsi="Times New Roman" w:cs="Times New Roman"/>
                <w:sz w:val="20"/>
                <w:szCs w:val="20"/>
              </w:rPr>
            </w:pPr>
          </w:p>
        </w:tc>
        <w:tc>
          <w:tcPr>
            <w:tcW w:w="5050" w:type="dxa"/>
          </w:tcPr>
          <w:p w14:paraId="24811E37" w14:textId="206EB3A6" w:rsidR="00750803" w:rsidRPr="000B6D03" w:rsidRDefault="00750803" w:rsidP="00750803">
            <w:pPr>
              <w:rPr>
                <w:rFonts w:ascii="Times New Roman" w:hAnsi="Times New Roman" w:cs="Times New Roman"/>
                <w:sz w:val="20"/>
                <w:szCs w:val="20"/>
              </w:rPr>
            </w:pPr>
            <w:r w:rsidRPr="000B6D03">
              <w:rPr>
                <w:rFonts w:ascii="Times New Roman" w:hAnsi="Times New Roman" w:cs="Times New Roman"/>
                <w:sz w:val="20"/>
                <w:szCs w:val="20"/>
              </w:rPr>
              <w:t>Prašome patikslinti, ar pagal užsakovo reikalavimų 2.19 punktą anglies šaltinio (pvz. melasos) dozavimo įranga yra privaloma visais atvejais, ar ji turi būti numatoma tik tuo atveju, jei Rangovo atlikti technologiniai skaičiavimai pagrindžia papildomo nitratų šalinimo būtinybę. Kadangi reikalavime nurodyta, jog tiek fosforo, tiek nitratų papildomas cheminis šalinimas turi būti pagrįstas technologiniais skaičiavimais, nėra aišku, ar anglies šaltinio dozavimo sprendinys laikomas privalomu pirkimo apimties elementu, ar galimu technologiniu sprendimu, taikomu tik esant poreikiui.</w:t>
            </w:r>
          </w:p>
        </w:tc>
        <w:tc>
          <w:tcPr>
            <w:tcW w:w="4127" w:type="dxa"/>
          </w:tcPr>
          <w:p w14:paraId="0870E612" w14:textId="7B372DC7" w:rsidR="00750803" w:rsidRPr="000B6D03" w:rsidRDefault="00750803" w:rsidP="00750803">
            <w:pPr>
              <w:rPr>
                <w:rFonts w:ascii="Times New Roman" w:hAnsi="Times New Roman" w:cs="Times New Roman"/>
                <w:sz w:val="20"/>
                <w:szCs w:val="20"/>
              </w:rPr>
            </w:pPr>
            <w:r w:rsidRPr="000B6D03">
              <w:rPr>
                <w:rFonts w:ascii="Times New Roman" w:hAnsi="Times New Roman" w:cs="Times New Roman"/>
                <w:sz w:val="20"/>
                <w:szCs w:val="20"/>
              </w:rPr>
              <w:t>Paaiškiname, kad anglies šaltinio dozavimo įranga turi būti numatoma tik tuo atveju, jei Rangovo atlikti technologiniai skaičiavimai pagrindžia papildomo nitratų šalinimo būtinybę.</w:t>
            </w:r>
          </w:p>
        </w:tc>
      </w:tr>
      <w:tr w:rsidR="00750803" w:rsidRPr="000B6D03" w14:paraId="143D0796" w14:textId="77777777" w:rsidTr="00D96461">
        <w:tc>
          <w:tcPr>
            <w:tcW w:w="451" w:type="dxa"/>
          </w:tcPr>
          <w:p w14:paraId="58784F13" w14:textId="77777777" w:rsidR="00750803" w:rsidRPr="000B6D03" w:rsidRDefault="00750803" w:rsidP="00750803">
            <w:pPr>
              <w:numPr>
                <w:ilvl w:val="0"/>
                <w:numId w:val="5"/>
              </w:numPr>
              <w:ind w:left="-109" w:right="-131" w:firstLine="0"/>
              <w:contextualSpacing/>
              <w:rPr>
                <w:rFonts w:ascii="Times New Roman" w:hAnsi="Times New Roman" w:cs="Times New Roman"/>
                <w:sz w:val="20"/>
                <w:szCs w:val="20"/>
              </w:rPr>
            </w:pPr>
          </w:p>
        </w:tc>
        <w:tc>
          <w:tcPr>
            <w:tcW w:w="5050" w:type="dxa"/>
          </w:tcPr>
          <w:p w14:paraId="1A7E80CB" w14:textId="51EEAC8A" w:rsidR="00750803" w:rsidRPr="000B6D03" w:rsidRDefault="00750803" w:rsidP="00750803">
            <w:pPr>
              <w:rPr>
                <w:rFonts w:ascii="Times New Roman" w:hAnsi="Times New Roman" w:cs="Times New Roman"/>
                <w:sz w:val="20"/>
                <w:szCs w:val="20"/>
              </w:rPr>
            </w:pPr>
            <w:r w:rsidRPr="000B6D03">
              <w:rPr>
                <w:rFonts w:ascii="Times New Roman" w:hAnsi="Times New Roman" w:cs="Times New Roman"/>
                <w:sz w:val="20"/>
                <w:szCs w:val="20"/>
              </w:rPr>
              <w:t xml:space="preserve"> Prašome patikslinti, ar reikalavimas kontroliuoti „dumblo vandens siurblio (dekanterio) būseną“ taikomas tik tuo atveju, jei rangovo siūlomame technologiniame sprendime numatomas dekanteris. Kadangi dekanterio naudojimas gali būti technologinio sprendinio pasirinkimas, prašome patvirtinti, jog šis reikalavimas nėra taikomas tais atvejais, kai dekanteris rangovo sprendime nenumatomas.</w:t>
            </w:r>
          </w:p>
        </w:tc>
        <w:tc>
          <w:tcPr>
            <w:tcW w:w="4127" w:type="dxa"/>
          </w:tcPr>
          <w:p w14:paraId="021FAD03" w14:textId="0EE41F49" w:rsidR="00750803" w:rsidRPr="000B6D03" w:rsidRDefault="00750803" w:rsidP="00750803">
            <w:pPr>
              <w:rPr>
                <w:rFonts w:ascii="Times New Roman" w:hAnsi="Times New Roman" w:cs="Times New Roman"/>
                <w:sz w:val="20"/>
                <w:szCs w:val="20"/>
              </w:rPr>
            </w:pPr>
            <w:r w:rsidRPr="000B6D03">
              <w:rPr>
                <w:rFonts w:ascii="Times New Roman" w:hAnsi="Times New Roman" w:cs="Times New Roman"/>
                <w:sz w:val="20"/>
                <w:szCs w:val="20"/>
              </w:rPr>
              <w:t>Paaiškiname, kad reikalavimas kontroliuoti „dumblo vandens siurblio (dekanterio) būseną“ taikomas tik tuo atveju, jei rangovo siūlomame technologiniame sprendime numatomas dekanteris.</w:t>
            </w:r>
          </w:p>
        </w:tc>
      </w:tr>
      <w:tr w:rsidR="00E72916" w:rsidRPr="000B6D03" w14:paraId="097E665A" w14:textId="77777777" w:rsidTr="00D96461">
        <w:tc>
          <w:tcPr>
            <w:tcW w:w="451" w:type="dxa"/>
          </w:tcPr>
          <w:p w14:paraId="073F4BFF" w14:textId="77777777" w:rsidR="00E72916" w:rsidRPr="000B6D03" w:rsidRDefault="00E72916" w:rsidP="00E72916">
            <w:pPr>
              <w:numPr>
                <w:ilvl w:val="0"/>
                <w:numId w:val="5"/>
              </w:numPr>
              <w:ind w:left="-109" w:right="-131" w:firstLine="0"/>
              <w:contextualSpacing/>
              <w:rPr>
                <w:rFonts w:ascii="Times New Roman" w:hAnsi="Times New Roman" w:cs="Times New Roman"/>
                <w:sz w:val="20"/>
                <w:szCs w:val="20"/>
              </w:rPr>
            </w:pPr>
          </w:p>
        </w:tc>
        <w:tc>
          <w:tcPr>
            <w:tcW w:w="5050" w:type="dxa"/>
          </w:tcPr>
          <w:p w14:paraId="22532F7C" w14:textId="4C5DFDAD" w:rsidR="00E72916" w:rsidRPr="000B6D03" w:rsidRDefault="00E72916" w:rsidP="00E72916">
            <w:pPr>
              <w:rPr>
                <w:rFonts w:ascii="Times New Roman" w:hAnsi="Times New Roman" w:cs="Times New Roman"/>
                <w:sz w:val="20"/>
                <w:szCs w:val="20"/>
              </w:rPr>
            </w:pPr>
            <w:r w:rsidRPr="000B6D03">
              <w:rPr>
                <w:rFonts w:ascii="Times New Roman" w:hAnsi="Times New Roman" w:cs="Times New Roman"/>
                <w:sz w:val="20"/>
                <w:szCs w:val="20"/>
              </w:rPr>
              <w:t xml:space="preserve">Prašome patikslinti, ar Perkančioji organizacija leidžia vietoje techninėse specifikacijose detaliai išvardytų atskirų parengtinio valymo įrenginių (automatinių ir rankinių grotų, aeruojamos smėliagaudės, ir pan.) siūlyti gamyklinius (kompaktinius) parengtinio nuotekų valymo įrenginius, </w:t>
            </w:r>
            <w:r w:rsidRPr="000B6D03">
              <w:rPr>
                <w:rFonts w:ascii="Times New Roman" w:hAnsi="Times New Roman" w:cs="Times New Roman"/>
                <w:sz w:val="20"/>
                <w:szCs w:val="20"/>
              </w:rPr>
              <w:lastRenderedPageBreak/>
              <w:t>kuriuose integruoti automatiniai nešmenų ir smėlio šalinimo sprendiniai, jeigu tokie įrenginiai užtikrina lygiavertę arba geresnę technologinę funkciją, eksploatacinį patikimumą ir atitinka visus kitus pirkimo dokumentuose nustatytus reikalavimus.</w:t>
            </w:r>
          </w:p>
        </w:tc>
        <w:tc>
          <w:tcPr>
            <w:tcW w:w="4127" w:type="dxa"/>
          </w:tcPr>
          <w:p w14:paraId="6C516436" w14:textId="1E8A6648" w:rsidR="00E72916" w:rsidRPr="000B6D03" w:rsidRDefault="00B37511" w:rsidP="00E72916">
            <w:pPr>
              <w:rPr>
                <w:rFonts w:ascii="Times New Roman" w:hAnsi="Times New Roman" w:cs="Times New Roman"/>
                <w:sz w:val="20"/>
                <w:szCs w:val="20"/>
              </w:rPr>
            </w:pPr>
            <w:r w:rsidRPr="000B6D03">
              <w:rPr>
                <w:rFonts w:ascii="Times New Roman" w:hAnsi="Times New Roman" w:cs="Times New Roman"/>
                <w:sz w:val="20"/>
                <w:szCs w:val="20"/>
              </w:rPr>
              <w:lastRenderedPageBreak/>
              <w:t xml:space="preserve">Taip, leidžiama, jei siūlyti gamyklinius (kompaktinius) parengtinio nuotekų valymo įrenginius, kuriuose integruoti automatiniai nešmenų ir smėlio šalinimo sprendiniai, jeigu tokie įrenginiai užtikrina lygiavertę arba geresnę </w:t>
            </w:r>
            <w:r w:rsidRPr="000B6D03">
              <w:rPr>
                <w:rFonts w:ascii="Times New Roman" w:hAnsi="Times New Roman" w:cs="Times New Roman"/>
                <w:sz w:val="20"/>
                <w:szCs w:val="20"/>
              </w:rPr>
              <w:lastRenderedPageBreak/>
              <w:t>technologinę funkciją, eksploatacinį patikimumą ir atitinka visus kitus pirkimo dokumentuose nustatytus reikalavimus.</w:t>
            </w:r>
          </w:p>
        </w:tc>
      </w:tr>
      <w:tr w:rsidR="00E72916" w:rsidRPr="000B6D03" w14:paraId="1A1BF505" w14:textId="77777777" w:rsidTr="00D96461">
        <w:tc>
          <w:tcPr>
            <w:tcW w:w="451" w:type="dxa"/>
          </w:tcPr>
          <w:p w14:paraId="53FF8BC1" w14:textId="77777777" w:rsidR="00E72916" w:rsidRPr="000B6D03" w:rsidRDefault="00E72916" w:rsidP="00E72916">
            <w:pPr>
              <w:numPr>
                <w:ilvl w:val="0"/>
                <w:numId w:val="5"/>
              </w:numPr>
              <w:ind w:left="-109" w:right="-131" w:firstLine="0"/>
              <w:contextualSpacing/>
              <w:rPr>
                <w:rFonts w:ascii="Times New Roman" w:hAnsi="Times New Roman" w:cs="Times New Roman"/>
                <w:sz w:val="20"/>
                <w:szCs w:val="20"/>
              </w:rPr>
            </w:pPr>
          </w:p>
        </w:tc>
        <w:tc>
          <w:tcPr>
            <w:tcW w:w="5050" w:type="dxa"/>
          </w:tcPr>
          <w:p w14:paraId="0DA14A0D" w14:textId="4CD9C3FE" w:rsidR="00E72916" w:rsidRPr="000B6D03" w:rsidRDefault="00E72916" w:rsidP="00E72916">
            <w:pPr>
              <w:rPr>
                <w:rFonts w:ascii="Times New Roman" w:hAnsi="Times New Roman" w:cs="Times New Roman"/>
                <w:sz w:val="20"/>
                <w:szCs w:val="20"/>
              </w:rPr>
            </w:pPr>
            <w:r w:rsidRPr="000B6D03">
              <w:rPr>
                <w:rFonts w:ascii="Times New Roman" w:hAnsi="Times New Roman" w:cs="Times New Roman"/>
                <w:sz w:val="20"/>
                <w:szCs w:val="20"/>
              </w:rPr>
              <w:t>Vertinant pirkimo dokumentuose pateiktus atitekančių nuotekų parametrus, prašytume papildomai pasitikslinti, ar nurodytos reikšmės yra teisingos ir galutinės, kadangi jos atrodo santykinai žemos tipinėms buitinėms nuotekoms. Esant tokioms organinės taršos koncentracijoms gali kilti rizika neužtikrinti stabilaus biologinio valymo proceso, pakankamo aktyviojo dumblo susidarymo ir išlaikymo sistemoje, taip pat gali būti sudėtinga stabiliai užtikrinti nitrifikacijos, denitrifikacijos bei biologinio fosforo šalinimo procesus. Tokios sąlygos taip pat gali turėti įtakos technologinio proceso stabilumui eksploatacijos metu bei reikalaujamų išvalymo rodiklių pasiekimui. Atsižvelgiant į tai, prašytume patikslinti, ar pateikti duomenys yra pagrįsti faktinių atitekančių nuotekų tyrimų protokolais ilgesniame stebėjimo intervale.</w:t>
            </w:r>
          </w:p>
        </w:tc>
        <w:tc>
          <w:tcPr>
            <w:tcW w:w="4127" w:type="dxa"/>
          </w:tcPr>
          <w:p w14:paraId="4A23A41A" w14:textId="77777777" w:rsidR="00E72916" w:rsidRPr="000B6D03" w:rsidRDefault="00D250C4" w:rsidP="00E72916">
            <w:pPr>
              <w:rPr>
                <w:rFonts w:ascii="Times New Roman" w:hAnsi="Times New Roman" w:cs="Times New Roman"/>
                <w:sz w:val="20"/>
                <w:szCs w:val="20"/>
              </w:rPr>
            </w:pPr>
            <w:r w:rsidRPr="000B6D03">
              <w:rPr>
                <w:rFonts w:ascii="Times New Roman" w:hAnsi="Times New Roman" w:cs="Times New Roman"/>
                <w:sz w:val="20"/>
                <w:szCs w:val="20"/>
              </w:rPr>
              <w:t>Atsižvelgiant į naujausius nuotekų užterštumo tyrimus, tiksliname tec</w:t>
            </w:r>
            <w:r w:rsidR="004067D5" w:rsidRPr="000B6D03">
              <w:rPr>
                <w:rFonts w:ascii="Times New Roman" w:hAnsi="Times New Roman" w:cs="Times New Roman"/>
                <w:sz w:val="20"/>
                <w:szCs w:val="20"/>
              </w:rPr>
              <w:t>hninės specifikacijos 2 lentelę:</w:t>
            </w:r>
          </w:p>
          <w:tbl>
            <w:tblPr>
              <w:tblW w:w="5000" w:type="pct"/>
              <w:tblLook w:val="04A0" w:firstRow="1" w:lastRow="0" w:firstColumn="1" w:lastColumn="0" w:noHBand="0" w:noVBand="1"/>
            </w:tblPr>
            <w:tblGrid>
              <w:gridCol w:w="452"/>
              <w:gridCol w:w="2047"/>
              <w:gridCol w:w="581"/>
              <w:gridCol w:w="821"/>
            </w:tblGrid>
            <w:tr w:rsidR="00C60161" w:rsidRPr="000B6D03" w14:paraId="03B02E73" w14:textId="77777777" w:rsidTr="004067D5">
              <w:trPr>
                <w:trHeight w:val="840"/>
              </w:trPr>
              <w:tc>
                <w:tcPr>
                  <w:tcW w:w="482"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2926DEC1" w14:textId="77777777" w:rsidR="004067D5" w:rsidRPr="000B6D03" w:rsidRDefault="004067D5" w:rsidP="004067D5">
                  <w:pPr>
                    <w:jc w:val="left"/>
                    <w:rPr>
                      <w:rFonts w:ascii="Times New Roman" w:eastAsia="Times New Roman" w:hAnsi="Times New Roman" w:cs="Times New Roman"/>
                      <w:b/>
                      <w:bCs/>
                      <w:sz w:val="16"/>
                      <w:szCs w:val="16"/>
                      <w:lang w:val="en-US"/>
                    </w:rPr>
                  </w:pPr>
                  <w:bookmarkStart w:id="0" w:name="RANGE!H2"/>
                  <w:bookmarkStart w:id="1" w:name="_Hlk183099204" w:colFirst="1" w:colLast="3"/>
                  <w:r w:rsidRPr="000B6D03">
                    <w:rPr>
                      <w:rFonts w:ascii="Times New Roman" w:eastAsia="Times New Roman" w:hAnsi="Times New Roman" w:cs="Times New Roman"/>
                      <w:b/>
                      <w:bCs/>
                      <w:sz w:val="16"/>
                      <w:szCs w:val="16"/>
                    </w:rPr>
                    <w:t>Eil. Nr.</w:t>
                  </w:r>
                  <w:bookmarkEnd w:id="0"/>
                </w:p>
              </w:tc>
              <w:tc>
                <w:tcPr>
                  <w:tcW w:w="2781" w:type="pct"/>
                  <w:tcBorders>
                    <w:top w:val="single" w:sz="4" w:space="0" w:color="auto"/>
                    <w:left w:val="nil"/>
                    <w:bottom w:val="single" w:sz="4" w:space="0" w:color="auto"/>
                    <w:right w:val="single" w:sz="4" w:space="0" w:color="auto"/>
                  </w:tcBorders>
                  <w:shd w:val="clear" w:color="000000" w:fill="E7E6E6"/>
                  <w:vAlign w:val="center"/>
                  <w:hideMark/>
                </w:tcPr>
                <w:p w14:paraId="533C68A8" w14:textId="77777777" w:rsidR="004067D5" w:rsidRPr="000B6D03" w:rsidRDefault="004067D5" w:rsidP="004067D5">
                  <w:pPr>
                    <w:jc w:val="center"/>
                    <w:rPr>
                      <w:rFonts w:ascii="Times New Roman" w:eastAsia="Times New Roman" w:hAnsi="Times New Roman" w:cs="Times New Roman"/>
                      <w:b/>
                      <w:bCs/>
                      <w:sz w:val="16"/>
                      <w:szCs w:val="16"/>
                      <w:lang w:val="en-US"/>
                    </w:rPr>
                  </w:pPr>
                  <w:r w:rsidRPr="000B6D03">
                    <w:rPr>
                      <w:rFonts w:ascii="Times New Roman" w:eastAsia="Times New Roman" w:hAnsi="Times New Roman" w:cs="Times New Roman"/>
                      <w:b/>
                      <w:bCs/>
                      <w:sz w:val="16"/>
                      <w:szCs w:val="16"/>
                    </w:rPr>
                    <w:t>Rodiklis</w:t>
                  </w:r>
                </w:p>
              </w:tc>
              <w:tc>
                <w:tcPr>
                  <w:tcW w:w="894" w:type="pct"/>
                  <w:tcBorders>
                    <w:top w:val="single" w:sz="4" w:space="0" w:color="auto"/>
                    <w:left w:val="nil"/>
                    <w:bottom w:val="single" w:sz="4" w:space="0" w:color="auto"/>
                    <w:right w:val="single" w:sz="4" w:space="0" w:color="auto"/>
                  </w:tcBorders>
                  <w:shd w:val="clear" w:color="000000" w:fill="E7E6E6"/>
                  <w:vAlign w:val="center"/>
                  <w:hideMark/>
                </w:tcPr>
                <w:p w14:paraId="4F87C701" w14:textId="77777777" w:rsidR="004067D5" w:rsidRPr="000B6D03" w:rsidRDefault="004067D5" w:rsidP="004067D5">
                  <w:pPr>
                    <w:jc w:val="left"/>
                    <w:rPr>
                      <w:rFonts w:ascii="Times New Roman" w:eastAsia="Times New Roman" w:hAnsi="Times New Roman" w:cs="Times New Roman"/>
                      <w:b/>
                      <w:bCs/>
                      <w:sz w:val="16"/>
                      <w:szCs w:val="16"/>
                      <w:lang w:val="en-US"/>
                    </w:rPr>
                  </w:pPr>
                  <w:r w:rsidRPr="000B6D03">
                    <w:rPr>
                      <w:rFonts w:ascii="Times New Roman" w:eastAsia="Times New Roman" w:hAnsi="Times New Roman" w:cs="Times New Roman"/>
                      <w:b/>
                      <w:bCs/>
                      <w:sz w:val="16"/>
                      <w:szCs w:val="16"/>
                    </w:rPr>
                    <w:t>Mato vnt.</w:t>
                  </w:r>
                </w:p>
              </w:tc>
              <w:tc>
                <w:tcPr>
                  <w:tcW w:w="843" w:type="pct"/>
                  <w:tcBorders>
                    <w:top w:val="single" w:sz="4" w:space="0" w:color="auto"/>
                    <w:left w:val="nil"/>
                    <w:bottom w:val="single" w:sz="4" w:space="0" w:color="auto"/>
                    <w:right w:val="single" w:sz="4" w:space="0" w:color="auto"/>
                  </w:tcBorders>
                  <w:shd w:val="clear" w:color="000000" w:fill="E7E6E6"/>
                  <w:vAlign w:val="center"/>
                  <w:hideMark/>
                </w:tcPr>
                <w:p w14:paraId="26EA4044" w14:textId="77777777" w:rsidR="004067D5" w:rsidRPr="000B6D03" w:rsidRDefault="004067D5" w:rsidP="004067D5">
                  <w:pPr>
                    <w:jc w:val="left"/>
                    <w:rPr>
                      <w:rFonts w:ascii="Times New Roman" w:eastAsia="Times New Roman" w:hAnsi="Times New Roman" w:cs="Times New Roman"/>
                      <w:b/>
                      <w:bCs/>
                      <w:sz w:val="16"/>
                      <w:szCs w:val="16"/>
                      <w:lang w:val="en-US"/>
                    </w:rPr>
                  </w:pPr>
                  <w:r w:rsidRPr="000B6D03">
                    <w:rPr>
                      <w:rFonts w:ascii="Times New Roman" w:eastAsia="Times New Roman" w:hAnsi="Times New Roman" w:cs="Times New Roman"/>
                      <w:b/>
                      <w:bCs/>
                      <w:sz w:val="16"/>
                      <w:szCs w:val="16"/>
                    </w:rPr>
                    <w:t xml:space="preserve"> Reikšmė</w:t>
                  </w:r>
                </w:p>
              </w:tc>
            </w:tr>
            <w:tr w:rsidR="00C60161" w:rsidRPr="000B6D03" w14:paraId="25FD09C6" w14:textId="77777777" w:rsidTr="004067D5">
              <w:trPr>
                <w:trHeight w:val="324"/>
              </w:trPr>
              <w:tc>
                <w:tcPr>
                  <w:tcW w:w="482" w:type="pct"/>
                  <w:vMerge w:val="restart"/>
                  <w:tcBorders>
                    <w:top w:val="nil"/>
                    <w:left w:val="single" w:sz="4" w:space="0" w:color="auto"/>
                    <w:bottom w:val="single" w:sz="4" w:space="0" w:color="auto"/>
                    <w:right w:val="single" w:sz="4" w:space="0" w:color="auto"/>
                  </w:tcBorders>
                  <w:vAlign w:val="center"/>
                  <w:hideMark/>
                </w:tcPr>
                <w:p w14:paraId="18F298AB"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1.</w:t>
                  </w:r>
                </w:p>
              </w:tc>
              <w:tc>
                <w:tcPr>
                  <w:tcW w:w="2781" w:type="pct"/>
                  <w:vMerge w:val="restart"/>
                  <w:tcBorders>
                    <w:top w:val="nil"/>
                    <w:left w:val="single" w:sz="4" w:space="0" w:color="auto"/>
                    <w:bottom w:val="single" w:sz="4" w:space="0" w:color="auto"/>
                    <w:right w:val="single" w:sz="4" w:space="0" w:color="auto"/>
                  </w:tcBorders>
                  <w:vAlign w:val="center"/>
                  <w:hideMark/>
                </w:tcPr>
                <w:p w14:paraId="2DD79603" w14:textId="77777777" w:rsidR="004067D5" w:rsidRPr="000B6D03" w:rsidRDefault="004067D5" w:rsidP="004067D5">
                  <w:pPr>
                    <w:jc w:val="left"/>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Biocheminis deguonies  suvartojimas  (BDS</w:t>
                  </w:r>
                  <w:r w:rsidRPr="000B6D03">
                    <w:rPr>
                      <w:rFonts w:ascii="Times New Roman" w:eastAsia="Times New Roman" w:hAnsi="Times New Roman" w:cs="Times New Roman"/>
                      <w:sz w:val="16"/>
                      <w:szCs w:val="16"/>
                      <w:vertAlign w:val="subscript"/>
                    </w:rPr>
                    <w:t>5</w:t>
                  </w:r>
                  <w:r w:rsidRPr="000B6D03">
                    <w:rPr>
                      <w:rFonts w:ascii="Times New Roman" w:eastAsia="Times New Roman" w:hAnsi="Times New Roman" w:cs="Times New Roman"/>
                      <w:sz w:val="16"/>
                      <w:szCs w:val="16"/>
                    </w:rPr>
                    <w:t>/BDS</w:t>
                  </w:r>
                  <w:r w:rsidRPr="000B6D03">
                    <w:rPr>
                      <w:rFonts w:ascii="Times New Roman" w:eastAsia="Times New Roman" w:hAnsi="Times New Roman" w:cs="Times New Roman"/>
                      <w:sz w:val="16"/>
                      <w:szCs w:val="16"/>
                      <w:vertAlign w:val="subscript"/>
                    </w:rPr>
                    <w:t>7</w:t>
                  </w:r>
                  <w:r w:rsidRPr="000B6D03">
                    <w:rPr>
                      <w:rFonts w:ascii="Times New Roman" w:eastAsia="Times New Roman" w:hAnsi="Times New Roman" w:cs="Times New Roman"/>
                      <w:sz w:val="16"/>
                      <w:szCs w:val="16"/>
                    </w:rPr>
                    <w:t>)</w:t>
                  </w:r>
                </w:p>
              </w:tc>
              <w:tc>
                <w:tcPr>
                  <w:tcW w:w="894" w:type="pct"/>
                  <w:tcBorders>
                    <w:top w:val="nil"/>
                    <w:left w:val="nil"/>
                    <w:bottom w:val="single" w:sz="4" w:space="0" w:color="auto"/>
                    <w:right w:val="single" w:sz="4" w:space="0" w:color="auto"/>
                  </w:tcBorders>
                  <w:vAlign w:val="center"/>
                  <w:hideMark/>
                </w:tcPr>
                <w:p w14:paraId="42A2CC47"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kg/d</w:t>
                  </w:r>
                </w:p>
              </w:tc>
              <w:tc>
                <w:tcPr>
                  <w:tcW w:w="843" w:type="pct"/>
                  <w:tcBorders>
                    <w:top w:val="nil"/>
                    <w:left w:val="nil"/>
                    <w:bottom w:val="single" w:sz="4" w:space="0" w:color="auto"/>
                    <w:right w:val="single" w:sz="4" w:space="0" w:color="auto"/>
                  </w:tcBorders>
                  <w:vAlign w:val="center"/>
                  <w:hideMark/>
                </w:tcPr>
                <w:p w14:paraId="7A839BCD"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14,7/16,9</w:t>
                  </w:r>
                </w:p>
              </w:tc>
            </w:tr>
            <w:tr w:rsidR="00C60161" w:rsidRPr="000B6D03" w14:paraId="4D3218D8" w14:textId="77777777" w:rsidTr="004067D5">
              <w:trPr>
                <w:trHeight w:val="312"/>
              </w:trPr>
              <w:tc>
                <w:tcPr>
                  <w:tcW w:w="482" w:type="pct"/>
                  <w:vMerge/>
                  <w:tcBorders>
                    <w:top w:val="nil"/>
                    <w:left w:val="single" w:sz="4" w:space="0" w:color="auto"/>
                    <w:bottom w:val="single" w:sz="4" w:space="0" w:color="auto"/>
                    <w:right w:val="single" w:sz="4" w:space="0" w:color="auto"/>
                  </w:tcBorders>
                  <w:vAlign w:val="center"/>
                  <w:hideMark/>
                </w:tcPr>
                <w:p w14:paraId="776CC5F8" w14:textId="77777777" w:rsidR="004067D5" w:rsidRPr="000B6D03" w:rsidRDefault="004067D5" w:rsidP="004067D5">
                  <w:pPr>
                    <w:jc w:val="left"/>
                    <w:rPr>
                      <w:rFonts w:ascii="Times New Roman" w:eastAsia="Times New Roman" w:hAnsi="Times New Roman" w:cs="Times New Roman"/>
                      <w:sz w:val="16"/>
                      <w:szCs w:val="16"/>
                      <w:lang w:val="en-US"/>
                    </w:rPr>
                  </w:pPr>
                </w:p>
              </w:tc>
              <w:tc>
                <w:tcPr>
                  <w:tcW w:w="2781" w:type="pct"/>
                  <w:vMerge/>
                  <w:tcBorders>
                    <w:top w:val="nil"/>
                    <w:left w:val="single" w:sz="4" w:space="0" w:color="auto"/>
                    <w:bottom w:val="single" w:sz="4" w:space="0" w:color="auto"/>
                    <w:right w:val="single" w:sz="4" w:space="0" w:color="auto"/>
                  </w:tcBorders>
                  <w:vAlign w:val="center"/>
                  <w:hideMark/>
                </w:tcPr>
                <w:p w14:paraId="22F3C184" w14:textId="77777777" w:rsidR="004067D5" w:rsidRPr="000B6D03" w:rsidRDefault="004067D5" w:rsidP="004067D5">
                  <w:pPr>
                    <w:jc w:val="left"/>
                    <w:rPr>
                      <w:rFonts w:ascii="Times New Roman" w:eastAsia="Times New Roman" w:hAnsi="Times New Roman" w:cs="Times New Roman"/>
                      <w:sz w:val="16"/>
                      <w:szCs w:val="16"/>
                      <w:lang w:val="en-US"/>
                    </w:rPr>
                  </w:pPr>
                </w:p>
              </w:tc>
              <w:tc>
                <w:tcPr>
                  <w:tcW w:w="894" w:type="pct"/>
                  <w:tcBorders>
                    <w:top w:val="nil"/>
                    <w:left w:val="nil"/>
                    <w:bottom w:val="single" w:sz="4" w:space="0" w:color="auto"/>
                    <w:right w:val="single" w:sz="4" w:space="0" w:color="auto"/>
                  </w:tcBorders>
                  <w:vAlign w:val="center"/>
                  <w:hideMark/>
                </w:tcPr>
                <w:p w14:paraId="7C53B9B2"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mg/l</w:t>
                  </w:r>
                </w:p>
              </w:tc>
              <w:tc>
                <w:tcPr>
                  <w:tcW w:w="843" w:type="pct"/>
                  <w:tcBorders>
                    <w:top w:val="nil"/>
                    <w:left w:val="nil"/>
                    <w:bottom w:val="single" w:sz="4" w:space="0" w:color="auto"/>
                    <w:right w:val="single" w:sz="4" w:space="0" w:color="auto"/>
                  </w:tcBorders>
                  <w:vAlign w:val="center"/>
                  <w:hideMark/>
                </w:tcPr>
                <w:p w14:paraId="3307CC37"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183/211</w:t>
                  </w:r>
                </w:p>
              </w:tc>
            </w:tr>
            <w:tr w:rsidR="00C60161" w:rsidRPr="000B6D03" w14:paraId="6DD2102C" w14:textId="77777777" w:rsidTr="004067D5">
              <w:trPr>
                <w:trHeight w:val="324"/>
              </w:trPr>
              <w:tc>
                <w:tcPr>
                  <w:tcW w:w="482" w:type="pct"/>
                  <w:vMerge w:val="restart"/>
                  <w:tcBorders>
                    <w:top w:val="nil"/>
                    <w:left w:val="single" w:sz="4" w:space="0" w:color="auto"/>
                    <w:bottom w:val="single" w:sz="4" w:space="0" w:color="auto"/>
                    <w:right w:val="single" w:sz="4" w:space="0" w:color="auto"/>
                  </w:tcBorders>
                  <w:vAlign w:val="center"/>
                  <w:hideMark/>
                </w:tcPr>
                <w:p w14:paraId="15EFFF85"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2.</w:t>
                  </w:r>
                </w:p>
              </w:tc>
              <w:tc>
                <w:tcPr>
                  <w:tcW w:w="2781" w:type="pct"/>
                  <w:vMerge w:val="restart"/>
                  <w:tcBorders>
                    <w:top w:val="nil"/>
                    <w:left w:val="single" w:sz="4" w:space="0" w:color="auto"/>
                    <w:bottom w:val="single" w:sz="4" w:space="0" w:color="auto"/>
                    <w:right w:val="single" w:sz="4" w:space="0" w:color="auto"/>
                  </w:tcBorders>
                  <w:vAlign w:val="center"/>
                  <w:hideMark/>
                </w:tcPr>
                <w:p w14:paraId="332A5E1E" w14:textId="77777777" w:rsidR="004067D5" w:rsidRPr="000B6D03" w:rsidRDefault="004067D5" w:rsidP="004067D5">
                  <w:pPr>
                    <w:jc w:val="left"/>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Cheminis deguonies  suvartojimas  (ChDS)</w:t>
                  </w:r>
                </w:p>
              </w:tc>
              <w:tc>
                <w:tcPr>
                  <w:tcW w:w="894" w:type="pct"/>
                  <w:tcBorders>
                    <w:top w:val="nil"/>
                    <w:left w:val="nil"/>
                    <w:bottom w:val="single" w:sz="4" w:space="0" w:color="auto"/>
                    <w:right w:val="single" w:sz="4" w:space="0" w:color="auto"/>
                  </w:tcBorders>
                  <w:vAlign w:val="center"/>
                  <w:hideMark/>
                </w:tcPr>
                <w:p w14:paraId="7B6985B4"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kg/d</w:t>
                  </w:r>
                </w:p>
              </w:tc>
              <w:tc>
                <w:tcPr>
                  <w:tcW w:w="843" w:type="pct"/>
                  <w:tcBorders>
                    <w:top w:val="nil"/>
                    <w:left w:val="nil"/>
                    <w:bottom w:val="single" w:sz="4" w:space="0" w:color="auto"/>
                    <w:right w:val="single" w:sz="4" w:space="0" w:color="auto"/>
                  </w:tcBorders>
                  <w:vAlign w:val="center"/>
                  <w:hideMark/>
                </w:tcPr>
                <w:p w14:paraId="1A3B3E4F"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20</w:t>
                  </w:r>
                </w:p>
              </w:tc>
            </w:tr>
            <w:tr w:rsidR="00C60161" w:rsidRPr="000B6D03" w14:paraId="3EE49B12" w14:textId="77777777" w:rsidTr="004067D5">
              <w:trPr>
                <w:trHeight w:val="312"/>
              </w:trPr>
              <w:tc>
                <w:tcPr>
                  <w:tcW w:w="482" w:type="pct"/>
                  <w:vMerge/>
                  <w:tcBorders>
                    <w:top w:val="nil"/>
                    <w:left w:val="single" w:sz="4" w:space="0" w:color="auto"/>
                    <w:bottom w:val="single" w:sz="4" w:space="0" w:color="auto"/>
                    <w:right w:val="single" w:sz="4" w:space="0" w:color="auto"/>
                  </w:tcBorders>
                  <w:vAlign w:val="center"/>
                  <w:hideMark/>
                </w:tcPr>
                <w:p w14:paraId="2EC36005" w14:textId="77777777" w:rsidR="004067D5" w:rsidRPr="000B6D03" w:rsidRDefault="004067D5" w:rsidP="004067D5">
                  <w:pPr>
                    <w:jc w:val="left"/>
                    <w:rPr>
                      <w:rFonts w:ascii="Times New Roman" w:eastAsia="Times New Roman" w:hAnsi="Times New Roman" w:cs="Times New Roman"/>
                      <w:sz w:val="16"/>
                      <w:szCs w:val="16"/>
                      <w:lang w:val="en-US"/>
                    </w:rPr>
                  </w:pPr>
                </w:p>
              </w:tc>
              <w:tc>
                <w:tcPr>
                  <w:tcW w:w="2781" w:type="pct"/>
                  <w:vMerge/>
                  <w:tcBorders>
                    <w:top w:val="nil"/>
                    <w:left w:val="single" w:sz="4" w:space="0" w:color="auto"/>
                    <w:bottom w:val="single" w:sz="4" w:space="0" w:color="auto"/>
                    <w:right w:val="single" w:sz="4" w:space="0" w:color="auto"/>
                  </w:tcBorders>
                  <w:vAlign w:val="center"/>
                  <w:hideMark/>
                </w:tcPr>
                <w:p w14:paraId="1847795C" w14:textId="77777777" w:rsidR="004067D5" w:rsidRPr="000B6D03" w:rsidRDefault="004067D5" w:rsidP="004067D5">
                  <w:pPr>
                    <w:jc w:val="left"/>
                    <w:rPr>
                      <w:rFonts w:ascii="Times New Roman" w:eastAsia="Times New Roman" w:hAnsi="Times New Roman" w:cs="Times New Roman"/>
                      <w:sz w:val="16"/>
                      <w:szCs w:val="16"/>
                      <w:lang w:val="en-US"/>
                    </w:rPr>
                  </w:pPr>
                </w:p>
              </w:tc>
              <w:tc>
                <w:tcPr>
                  <w:tcW w:w="894" w:type="pct"/>
                  <w:tcBorders>
                    <w:top w:val="nil"/>
                    <w:left w:val="nil"/>
                    <w:bottom w:val="single" w:sz="4" w:space="0" w:color="auto"/>
                    <w:right w:val="single" w:sz="4" w:space="0" w:color="auto"/>
                  </w:tcBorders>
                  <w:vAlign w:val="center"/>
                  <w:hideMark/>
                </w:tcPr>
                <w:p w14:paraId="09077439"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mg/l</w:t>
                  </w:r>
                </w:p>
              </w:tc>
              <w:tc>
                <w:tcPr>
                  <w:tcW w:w="843" w:type="pct"/>
                  <w:tcBorders>
                    <w:top w:val="nil"/>
                    <w:left w:val="nil"/>
                    <w:bottom w:val="single" w:sz="4" w:space="0" w:color="auto"/>
                    <w:right w:val="single" w:sz="4" w:space="0" w:color="auto"/>
                  </w:tcBorders>
                  <w:vAlign w:val="center"/>
                  <w:hideMark/>
                </w:tcPr>
                <w:p w14:paraId="7E027237"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250</w:t>
                  </w:r>
                </w:p>
              </w:tc>
            </w:tr>
            <w:tr w:rsidR="00C60161" w:rsidRPr="000B6D03" w14:paraId="43986FE4" w14:textId="77777777" w:rsidTr="004067D5">
              <w:trPr>
                <w:trHeight w:val="324"/>
              </w:trPr>
              <w:tc>
                <w:tcPr>
                  <w:tcW w:w="482" w:type="pct"/>
                  <w:vMerge w:val="restart"/>
                  <w:tcBorders>
                    <w:top w:val="nil"/>
                    <w:left w:val="single" w:sz="4" w:space="0" w:color="auto"/>
                    <w:bottom w:val="single" w:sz="4" w:space="0" w:color="auto"/>
                    <w:right w:val="single" w:sz="4" w:space="0" w:color="auto"/>
                  </w:tcBorders>
                  <w:vAlign w:val="center"/>
                  <w:hideMark/>
                </w:tcPr>
                <w:p w14:paraId="631DDB60"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3.</w:t>
                  </w:r>
                </w:p>
              </w:tc>
              <w:tc>
                <w:tcPr>
                  <w:tcW w:w="2781" w:type="pct"/>
                  <w:vMerge w:val="restart"/>
                  <w:tcBorders>
                    <w:top w:val="nil"/>
                    <w:left w:val="single" w:sz="4" w:space="0" w:color="auto"/>
                    <w:bottom w:val="single" w:sz="4" w:space="0" w:color="auto"/>
                    <w:right w:val="single" w:sz="4" w:space="0" w:color="auto"/>
                  </w:tcBorders>
                  <w:vAlign w:val="center"/>
                  <w:hideMark/>
                </w:tcPr>
                <w:p w14:paraId="0B75E9EA" w14:textId="77777777" w:rsidR="004067D5" w:rsidRPr="000B6D03" w:rsidRDefault="004067D5" w:rsidP="004067D5">
                  <w:pPr>
                    <w:jc w:val="left"/>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Skendinčios medžiagos (SM)</w:t>
                  </w:r>
                </w:p>
              </w:tc>
              <w:tc>
                <w:tcPr>
                  <w:tcW w:w="894" w:type="pct"/>
                  <w:tcBorders>
                    <w:top w:val="nil"/>
                    <w:left w:val="nil"/>
                    <w:bottom w:val="single" w:sz="4" w:space="0" w:color="auto"/>
                    <w:right w:val="single" w:sz="4" w:space="0" w:color="auto"/>
                  </w:tcBorders>
                  <w:vAlign w:val="center"/>
                  <w:hideMark/>
                </w:tcPr>
                <w:p w14:paraId="459B6909"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kg/d</w:t>
                  </w:r>
                </w:p>
              </w:tc>
              <w:tc>
                <w:tcPr>
                  <w:tcW w:w="843" w:type="pct"/>
                  <w:tcBorders>
                    <w:top w:val="nil"/>
                    <w:left w:val="nil"/>
                    <w:bottom w:val="single" w:sz="4" w:space="0" w:color="auto"/>
                    <w:right w:val="single" w:sz="4" w:space="0" w:color="auto"/>
                  </w:tcBorders>
                  <w:vAlign w:val="center"/>
                  <w:hideMark/>
                </w:tcPr>
                <w:p w14:paraId="76194C7E"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16,8</w:t>
                  </w:r>
                </w:p>
              </w:tc>
            </w:tr>
            <w:tr w:rsidR="00C60161" w:rsidRPr="000B6D03" w14:paraId="637FE268" w14:textId="77777777" w:rsidTr="004067D5">
              <w:trPr>
                <w:trHeight w:val="312"/>
              </w:trPr>
              <w:tc>
                <w:tcPr>
                  <w:tcW w:w="482" w:type="pct"/>
                  <w:vMerge/>
                  <w:tcBorders>
                    <w:top w:val="nil"/>
                    <w:left w:val="single" w:sz="4" w:space="0" w:color="auto"/>
                    <w:bottom w:val="single" w:sz="4" w:space="0" w:color="auto"/>
                    <w:right w:val="single" w:sz="4" w:space="0" w:color="auto"/>
                  </w:tcBorders>
                  <w:vAlign w:val="center"/>
                  <w:hideMark/>
                </w:tcPr>
                <w:p w14:paraId="4A0949E1" w14:textId="77777777" w:rsidR="004067D5" w:rsidRPr="000B6D03" w:rsidRDefault="004067D5" w:rsidP="004067D5">
                  <w:pPr>
                    <w:jc w:val="left"/>
                    <w:rPr>
                      <w:rFonts w:ascii="Times New Roman" w:eastAsia="Times New Roman" w:hAnsi="Times New Roman" w:cs="Times New Roman"/>
                      <w:sz w:val="16"/>
                      <w:szCs w:val="16"/>
                      <w:lang w:val="en-US"/>
                    </w:rPr>
                  </w:pPr>
                </w:p>
              </w:tc>
              <w:tc>
                <w:tcPr>
                  <w:tcW w:w="2781" w:type="pct"/>
                  <w:vMerge/>
                  <w:tcBorders>
                    <w:top w:val="nil"/>
                    <w:left w:val="single" w:sz="4" w:space="0" w:color="auto"/>
                    <w:bottom w:val="single" w:sz="4" w:space="0" w:color="auto"/>
                    <w:right w:val="single" w:sz="4" w:space="0" w:color="auto"/>
                  </w:tcBorders>
                  <w:vAlign w:val="center"/>
                  <w:hideMark/>
                </w:tcPr>
                <w:p w14:paraId="61642496" w14:textId="77777777" w:rsidR="004067D5" w:rsidRPr="000B6D03" w:rsidRDefault="004067D5" w:rsidP="004067D5">
                  <w:pPr>
                    <w:jc w:val="left"/>
                    <w:rPr>
                      <w:rFonts w:ascii="Times New Roman" w:eastAsia="Times New Roman" w:hAnsi="Times New Roman" w:cs="Times New Roman"/>
                      <w:sz w:val="16"/>
                      <w:szCs w:val="16"/>
                      <w:lang w:val="en-US"/>
                    </w:rPr>
                  </w:pPr>
                </w:p>
              </w:tc>
              <w:tc>
                <w:tcPr>
                  <w:tcW w:w="894" w:type="pct"/>
                  <w:tcBorders>
                    <w:top w:val="nil"/>
                    <w:left w:val="nil"/>
                    <w:bottom w:val="single" w:sz="4" w:space="0" w:color="auto"/>
                    <w:right w:val="single" w:sz="4" w:space="0" w:color="auto"/>
                  </w:tcBorders>
                  <w:vAlign w:val="center"/>
                  <w:hideMark/>
                </w:tcPr>
                <w:p w14:paraId="59DC8541"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mg/l</w:t>
                  </w:r>
                </w:p>
              </w:tc>
              <w:tc>
                <w:tcPr>
                  <w:tcW w:w="843" w:type="pct"/>
                  <w:tcBorders>
                    <w:top w:val="nil"/>
                    <w:left w:val="nil"/>
                    <w:bottom w:val="single" w:sz="4" w:space="0" w:color="auto"/>
                    <w:right w:val="single" w:sz="4" w:space="0" w:color="auto"/>
                  </w:tcBorders>
                  <w:vAlign w:val="center"/>
                  <w:hideMark/>
                </w:tcPr>
                <w:p w14:paraId="7BF0E4A1"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210</w:t>
                  </w:r>
                </w:p>
              </w:tc>
            </w:tr>
            <w:tr w:rsidR="00C60161" w:rsidRPr="000B6D03" w14:paraId="38FA8B12" w14:textId="77777777" w:rsidTr="004067D5">
              <w:trPr>
                <w:trHeight w:val="312"/>
              </w:trPr>
              <w:tc>
                <w:tcPr>
                  <w:tcW w:w="482" w:type="pct"/>
                  <w:vMerge w:val="restart"/>
                  <w:tcBorders>
                    <w:top w:val="nil"/>
                    <w:left w:val="single" w:sz="4" w:space="0" w:color="auto"/>
                    <w:bottom w:val="single" w:sz="4" w:space="0" w:color="auto"/>
                    <w:right w:val="single" w:sz="4" w:space="0" w:color="auto"/>
                  </w:tcBorders>
                  <w:vAlign w:val="center"/>
                  <w:hideMark/>
                </w:tcPr>
                <w:p w14:paraId="3C1D9B9B"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4.</w:t>
                  </w:r>
                </w:p>
              </w:tc>
              <w:tc>
                <w:tcPr>
                  <w:tcW w:w="2781" w:type="pct"/>
                  <w:vMerge w:val="restart"/>
                  <w:tcBorders>
                    <w:top w:val="nil"/>
                    <w:left w:val="single" w:sz="4" w:space="0" w:color="auto"/>
                    <w:bottom w:val="single" w:sz="4" w:space="0" w:color="auto"/>
                    <w:right w:val="single" w:sz="4" w:space="0" w:color="auto"/>
                  </w:tcBorders>
                  <w:vAlign w:val="center"/>
                  <w:hideMark/>
                </w:tcPr>
                <w:p w14:paraId="56E74B65" w14:textId="77777777" w:rsidR="004067D5" w:rsidRPr="000B6D03" w:rsidRDefault="004067D5" w:rsidP="004067D5">
                  <w:pPr>
                    <w:jc w:val="left"/>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Bendrasis  azotas  (N</w:t>
                  </w:r>
                  <w:r w:rsidRPr="000B6D03">
                    <w:rPr>
                      <w:rFonts w:ascii="Times New Roman" w:eastAsia="Times New Roman" w:hAnsi="Times New Roman" w:cs="Times New Roman"/>
                      <w:sz w:val="16"/>
                      <w:szCs w:val="16"/>
                      <w:vertAlign w:val="subscript"/>
                    </w:rPr>
                    <w:t>b</w:t>
                  </w:r>
                  <w:r w:rsidRPr="000B6D03">
                    <w:rPr>
                      <w:rFonts w:ascii="Times New Roman" w:eastAsia="Times New Roman" w:hAnsi="Times New Roman" w:cs="Times New Roman"/>
                      <w:sz w:val="16"/>
                      <w:szCs w:val="16"/>
                    </w:rPr>
                    <w:t>)</w:t>
                  </w:r>
                </w:p>
              </w:tc>
              <w:tc>
                <w:tcPr>
                  <w:tcW w:w="894" w:type="pct"/>
                  <w:tcBorders>
                    <w:top w:val="nil"/>
                    <w:left w:val="nil"/>
                    <w:bottom w:val="single" w:sz="4" w:space="0" w:color="auto"/>
                    <w:right w:val="single" w:sz="4" w:space="0" w:color="auto"/>
                  </w:tcBorders>
                  <w:vAlign w:val="center"/>
                  <w:hideMark/>
                </w:tcPr>
                <w:p w14:paraId="0244437A"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kg/d</w:t>
                  </w:r>
                </w:p>
              </w:tc>
              <w:tc>
                <w:tcPr>
                  <w:tcW w:w="843" w:type="pct"/>
                  <w:tcBorders>
                    <w:top w:val="nil"/>
                    <w:left w:val="nil"/>
                    <w:bottom w:val="single" w:sz="4" w:space="0" w:color="auto"/>
                    <w:right w:val="single" w:sz="4" w:space="0" w:color="auto"/>
                  </w:tcBorders>
                  <w:vAlign w:val="center"/>
                  <w:hideMark/>
                </w:tcPr>
                <w:p w14:paraId="0FDD545F"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4</w:t>
                  </w:r>
                </w:p>
              </w:tc>
            </w:tr>
            <w:tr w:rsidR="00C60161" w:rsidRPr="000B6D03" w14:paraId="2B47E7B2" w14:textId="77777777" w:rsidTr="004067D5">
              <w:trPr>
                <w:trHeight w:val="312"/>
              </w:trPr>
              <w:tc>
                <w:tcPr>
                  <w:tcW w:w="482" w:type="pct"/>
                  <w:vMerge/>
                  <w:tcBorders>
                    <w:top w:val="nil"/>
                    <w:left w:val="single" w:sz="4" w:space="0" w:color="auto"/>
                    <w:bottom w:val="single" w:sz="4" w:space="0" w:color="auto"/>
                    <w:right w:val="single" w:sz="4" w:space="0" w:color="auto"/>
                  </w:tcBorders>
                  <w:vAlign w:val="center"/>
                  <w:hideMark/>
                </w:tcPr>
                <w:p w14:paraId="7EB5F1C0" w14:textId="77777777" w:rsidR="004067D5" w:rsidRPr="000B6D03" w:rsidRDefault="004067D5" w:rsidP="004067D5">
                  <w:pPr>
                    <w:jc w:val="left"/>
                    <w:rPr>
                      <w:rFonts w:ascii="Times New Roman" w:eastAsia="Times New Roman" w:hAnsi="Times New Roman" w:cs="Times New Roman"/>
                      <w:sz w:val="16"/>
                      <w:szCs w:val="16"/>
                      <w:lang w:val="en-US"/>
                    </w:rPr>
                  </w:pPr>
                </w:p>
              </w:tc>
              <w:tc>
                <w:tcPr>
                  <w:tcW w:w="2781" w:type="pct"/>
                  <w:vMerge/>
                  <w:tcBorders>
                    <w:top w:val="nil"/>
                    <w:left w:val="single" w:sz="4" w:space="0" w:color="auto"/>
                    <w:bottom w:val="single" w:sz="4" w:space="0" w:color="auto"/>
                    <w:right w:val="single" w:sz="4" w:space="0" w:color="auto"/>
                  </w:tcBorders>
                  <w:vAlign w:val="center"/>
                  <w:hideMark/>
                </w:tcPr>
                <w:p w14:paraId="25084624" w14:textId="77777777" w:rsidR="004067D5" w:rsidRPr="000B6D03" w:rsidRDefault="004067D5" w:rsidP="004067D5">
                  <w:pPr>
                    <w:jc w:val="left"/>
                    <w:rPr>
                      <w:rFonts w:ascii="Times New Roman" w:eastAsia="Times New Roman" w:hAnsi="Times New Roman" w:cs="Times New Roman"/>
                      <w:sz w:val="16"/>
                      <w:szCs w:val="16"/>
                      <w:lang w:val="en-US"/>
                    </w:rPr>
                  </w:pPr>
                </w:p>
              </w:tc>
              <w:tc>
                <w:tcPr>
                  <w:tcW w:w="894" w:type="pct"/>
                  <w:tcBorders>
                    <w:top w:val="nil"/>
                    <w:left w:val="nil"/>
                    <w:bottom w:val="single" w:sz="4" w:space="0" w:color="auto"/>
                    <w:right w:val="single" w:sz="4" w:space="0" w:color="auto"/>
                  </w:tcBorders>
                  <w:vAlign w:val="center"/>
                  <w:hideMark/>
                </w:tcPr>
                <w:p w14:paraId="4977A26D"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mg/l</w:t>
                  </w:r>
                </w:p>
              </w:tc>
              <w:tc>
                <w:tcPr>
                  <w:tcW w:w="843" w:type="pct"/>
                  <w:tcBorders>
                    <w:top w:val="nil"/>
                    <w:left w:val="nil"/>
                    <w:bottom w:val="single" w:sz="4" w:space="0" w:color="auto"/>
                    <w:right w:val="single" w:sz="4" w:space="0" w:color="auto"/>
                  </w:tcBorders>
                  <w:vAlign w:val="center"/>
                  <w:hideMark/>
                </w:tcPr>
                <w:p w14:paraId="0D9F1727"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50</w:t>
                  </w:r>
                </w:p>
              </w:tc>
            </w:tr>
            <w:tr w:rsidR="00C60161" w:rsidRPr="000B6D03" w14:paraId="5CC31CA9" w14:textId="77777777" w:rsidTr="004067D5">
              <w:trPr>
                <w:trHeight w:val="312"/>
              </w:trPr>
              <w:tc>
                <w:tcPr>
                  <w:tcW w:w="482" w:type="pct"/>
                  <w:vMerge w:val="restart"/>
                  <w:tcBorders>
                    <w:top w:val="nil"/>
                    <w:left w:val="single" w:sz="4" w:space="0" w:color="auto"/>
                    <w:bottom w:val="single" w:sz="4" w:space="0" w:color="auto"/>
                    <w:right w:val="single" w:sz="4" w:space="0" w:color="auto"/>
                  </w:tcBorders>
                  <w:vAlign w:val="center"/>
                  <w:hideMark/>
                </w:tcPr>
                <w:p w14:paraId="009057CF"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5.</w:t>
                  </w:r>
                </w:p>
              </w:tc>
              <w:tc>
                <w:tcPr>
                  <w:tcW w:w="2781" w:type="pct"/>
                  <w:vMerge w:val="restart"/>
                  <w:tcBorders>
                    <w:top w:val="nil"/>
                    <w:left w:val="single" w:sz="4" w:space="0" w:color="auto"/>
                    <w:bottom w:val="single" w:sz="4" w:space="0" w:color="auto"/>
                    <w:right w:val="single" w:sz="4" w:space="0" w:color="auto"/>
                  </w:tcBorders>
                  <w:vAlign w:val="center"/>
                  <w:hideMark/>
                </w:tcPr>
                <w:p w14:paraId="3C853FE5" w14:textId="77777777" w:rsidR="004067D5" w:rsidRPr="000B6D03" w:rsidRDefault="004067D5" w:rsidP="004067D5">
                  <w:pPr>
                    <w:jc w:val="left"/>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Bendrasis fosforas (P</w:t>
                  </w:r>
                  <w:r w:rsidRPr="000B6D03">
                    <w:rPr>
                      <w:rFonts w:ascii="Times New Roman" w:eastAsia="Times New Roman" w:hAnsi="Times New Roman" w:cs="Times New Roman"/>
                      <w:sz w:val="16"/>
                      <w:szCs w:val="16"/>
                      <w:vertAlign w:val="subscript"/>
                    </w:rPr>
                    <w:t>p</w:t>
                  </w:r>
                  <w:r w:rsidRPr="000B6D03">
                    <w:rPr>
                      <w:rFonts w:ascii="Times New Roman" w:eastAsia="Times New Roman" w:hAnsi="Times New Roman" w:cs="Times New Roman"/>
                      <w:sz w:val="16"/>
                      <w:szCs w:val="16"/>
                    </w:rPr>
                    <w:t>)</w:t>
                  </w:r>
                </w:p>
              </w:tc>
              <w:tc>
                <w:tcPr>
                  <w:tcW w:w="894" w:type="pct"/>
                  <w:tcBorders>
                    <w:top w:val="nil"/>
                    <w:left w:val="nil"/>
                    <w:bottom w:val="single" w:sz="4" w:space="0" w:color="auto"/>
                    <w:right w:val="single" w:sz="4" w:space="0" w:color="auto"/>
                  </w:tcBorders>
                  <w:vAlign w:val="center"/>
                  <w:hideMark/>
                </w:tcPr>
                <w:p w14:paraId="5EF107A9"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kg/d</w:t>
                  </w:r>
                </w:p>
              </w:tc>
              <w:tc>
                <w:tcPr>
                  <w:tcW w:w="843" w:type="pct"/>
                  <w:tcBorders>
                    <w:top w:val="nil"/>
                    <w:left w:val="nil"/>
                    <w:bottom w:val="single" w:sz="4" w:space="0" w:color="auto"/>
                    <w:right w:val="single" w:sz="4" w:space="0" w:color="auto"/>
                  </w:tcBorders>
                  <w:vAlign w:val="center"/>
                  <w:hideMark/>
                </w:tcPr>
                <w:p w14:paraId="5FBFD109"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0,4</w:t>
                  </w:r>
                </w:p>
              </w:tc>
            </w:tr>
            <w:tr w:rsidR="00C60161" w:rsidRPr="000B6D03" w14:paraId="763D393A" w14:textId="77777777" w:rsidTr="004067D5">
              <w:trPr>
                <w:trHeight w:val="312"/>
              </w:trPr>
              <w:tc>
                <w:tcPr>
                  <w:tcW w:w="482" w:type="pct"/>
                  <w:vMerge/>
                  <w:tcBorders>
                    <w:top w:val="nil"/>
                    <w:left w:val="single" w:sz="4" w:space="0" w:color="auto"/>
                    <w:bottom w:val="single" w:sz="4" w:space="0" w:color="auto"/>
                    <w:right w:val="single" w:sz="4" w:space="0" w:color="auto"/>
                  </w:tcBorders>
                  <w:vAlign w:val="center"/>
                  <w:hideMark/>
                </w:tcPr>
                <w:p w14:paraId="442F69CB" w14:textId="77777777" w:rsidR="004067D5" w:rsidRPr="000B6D03" w:rsidRDefault="004067D5" w:rsidP="004067D5">
                  <w:pPr>
                    <w:jc w:val="left"/>
                    <w:rPr>
                      <w:rFonts w:ascii="Times New Roman" w:eastAsia="Times New Roman" w:hAnsi="Times New Roman" w:cs="Times New Roman"/>
                      <w:sz w:val="16"/>
                      <w:szCs w:val="16"/>
                      <w:lang w:val="en-US"/>
                    </w:rPr>
                  </w:pPr>
                </w:p>
              </w:tc>
              <w:tc>
                <w:tcPr>
                  <w:tcW w:w="2781" w:type="pct"/>
                  <w:vMerge/>
                  <w:tcBorders>
                    <w:top w:val="nil"/>
                    <w:left w:val="single" w:sz="4" w:space="0" w:color="auto"/>
                    <w:bottom w:val="single" w:sz="4" w:space="0" w:color="auto"/>
                    <w:right w:val="single" w:sz="4" w:space="0" w:color="auto"/>
                  </w:tcBorders>
                  <w:vAlign w:val="center"/>
                  <w:hideMark/>
                </w:tcPr>
                <w:p w14:paraId="69FA67E3" w14:textId="77777777" w:rsidR="004067D5" w:rsidRPr="000B6D03" w:rsidRDefault="004067D5" w:rsidP="004067D5">
                  <w:pPr>
                    <w:jc w:val="left"/>
                    <w:rPr>
                      <w:rFonts w:ascii="Times New Roman" w:eastAsia="Times New Roman" w:hAnsi="Times New Roman" w:cs="Times New Roman"/>
                      <w:sz w:val="16"/>
                      <w:szCs w:val="16"/>
                      <w:lang w:val="en-US"/>
                    </w:rPr>
                  </w:pPr>
                </w:p>
              </w:tc>
              <w:tc>
                <w:tcPr>
                  <w:tcW w:w="894" w:type="pct"/>
                  <w:tcBorders>
                    <w:top w:val="nil"/>
                    <w:left w:val="nil"/>
                    <w:bottom w:val="single" w:sz="4" w:space="0" w:color="auto"/>
                    <w:right w:val="single" w:sz="4" w:space="0" w:color="auto"/>
                  </w:tcBorders>
                  <w:vAlign w:val="center"/>
                  <w:hideMark/>
                </w:tcPr>
                <w:p w14:paraId="467052D2"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mg/l</w:t>
                  </w:r>
                </w:p>
              </w:tc>
              <w:tc>
                <w:tcPr>
                  <w:tcW w:w="843" w:type="pct"/>
                  <w:tcBorders>
                    <w:top w:val="nil"/>
                    <w:left w:val="nil"/>
                    <w:bottom w:val="single" w:sz="4" w:space="0" w:color="auto"/>
                    <w:right w:val="single" w:sz="4" w:space="0" w:color="auto"/>
                  </w:tcBorders>
                  <w:vAlign w:val="center"/>
                  <w:hideMark/>
                </w:tcPr>
                <w:p w14:paraId="5E261695"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5,1</w:t>
                  </w:r>
                </w:p>
              </w:tc>
            </w:tr>
            <w:tr w:rsidR="00C60161" w:rsidRPr="000B6D03" w14:paraId="2CD85C3E" w14:textId="77777777" w:rsidTr="004067D5">
              <w:trPr>
                <w:trHeight w:val="312"/>
              </w:trPr>
              <w:tc>
                <w:tcPr>
                  <w:tcW w:w="482" w:type="pct"/>
                  <w:tcBorders>
                    <w:top w:val="nil"/>
                    <w:left w:val="single" w:sz="4" w:space="0" w:color="auto"/>
                    <w:bottom w:val="single" w:sz="4" w:space="0" w:color="auto"/>
                    <w:right w:val="single" w:sz="4" w:space="0" w:color="auto"/>
                  </w:tcBorders>
                  <w:vAlign w:val="center"/>
                  <w:hideMark/>
                </w:tcPr>
                <w:p w14:paraId="25C963E0"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6.</w:t>
                  </w:r>
                </w:p>
              </w:tc>
              <w:tc>
                <w:tcPr>
                  <w:tcW w:w="2781" w:type="pct"/>
                  <w:tcBorders>
                    <w:top w:val="nil"/>
                    <w:left w:val="nil"/>
                    <w:bottom w:val="single" w:sz="4" w:space="0" w:color="auto"/>
                    <w:right w:val="single" w:sz="4" w:space="0" w:color="auto"/>
                  </w:tcBorders>
                  <w:vAlign w:val="center"/>
                  <w:hideMark/>
                </w:tcPr>
                <w:p w14:paraId="3A096151" w14:textId="77777777" w:rsidR="004067D5" w:rsidRPr="000B6D03" w:rsidRDefault="004067D5" w:rsidP="004067D5">
                  <w:pPr>
                    <w:jc w:val="left"/>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Ekvivalentinis gyventojų skaičius</w:t>
                  </w:r>
                </w:p>
              </w:tc>
              <w:tc>
                <w:tcPr>
                  <w:tcW w:w="894" w:type="pct"/>
                  <w:tcBorders>
                    <w:top w:val="nil"/>
                    <w:left w:val="nil"/>
                    <w:bottom w:val="single" w:sz="4" w:space="0" w:color="auto"/>
                    <w:right w:val="single" w:sz="4" w:space="0" w:color="auto"/>
                  </w:tcBorders>
                  <w:vAlign w:val="center"/>
                  <w:hideMark/>
                </w:tcPr>
                <w:p w14:paraId="14E72B35"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GE</w:t>
                  </w:r>
                </w:p>
              </w:tc>
              <w:tc>
                <w:tcPr>
                  <w:tcW w:w="843" w:type="pct"/>
                  <w:tcBorders>
                    <w:top w:val="nil"/>
                    <w:left w:val="nil"/>
                    <w:bottom w:val="single" w:sz="4" w:space="0" w:color="auto"/>
                    <w:right w:val="single" w:sz="4" w:space="0" w:color="auto"/>
                  </w:tcBorders>
                  <w:vAlign w:val="center"/>
                  <w:hideMark/>
                </w:tcPr>
                <w:p w14:paraId="03714E60" w14:textId="77777777" w:rsidR="004067D5" w:rsidRPr="000B6D03" w:rsidRDefault="004067D5" w:rsidP="004067D5">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245</w:t>
                  </w:r>
                </w:p>
              </w:tc>
            </w:tr>
            <w:bookmarkEnd w:id="1"/>
          </w:tbl>
          <w:p w14:paraId="7FA28D84" w14:textId="017394E4" w:rsidR="004067D5" w:rsidRPr="000B6D03" w:rsidRDefault="004067D5" w:rsidP="00E72916">
            <w:pPr>
              <w:rPr>
                <w:rFonts w:ascii="Times New Roman" w:hAnsi="Times New Roman" w:cs="Times New Roman"/>
                <w:sz w:val="20"/>
                <w:szCs w:val="20"/>
              </w:rPr>
            </w:pPr>
          </w:p>
        </w:tc>
      </w:tr>
      <w:tr w:rsidR="00E72916" w:rsidRPr="000B6D03" w14:paraId="3E48E46D" w14:textId="77777777" w:rsidTr="00D96461">
        <w:tc>
          <w:tcPr>
            <w:tcW w:w="451" w:type="dxa"/>
          </w:tcPr>
          <w:p w14:paraId="73E7099C" w14:textId="77777777" w:rsidR="00E72916" w:rsidRPr="000B6D03" w:rsidRDefault="00E72916" w:rsidP="00E72916">
            <w:pPr>
              <w:numPr>
                <w:ilvl w:val="0"/>
                <w:numId w:val="5"/>
              </w:numPr>
              <w:ind w:left="-109" w:right="-131" w:firstLine="0"/>
              <w:contextualSpacing/>
              <w:rPr>
                <w:rFonts w:ascii="Times New Roman" w:hAnsi="Times New Roman" w:cs="Times New Roman"/>
                <w:sz w:val="20"/>
                <w:szCs w:val="20"/>
              </w:rPr>
            </w:pPr>
          </w:p>
        </w:tc>
        <w:tc>
          <w:tcPr>
            <w:tcW w:w="5050" w:type="dxa"/>
          </w:tcPr>
          <w:p w14:paraId="016898FE" w14:textId="5940C190" w:rsidR="00E72916" w:rsidRPr="000B6D03" w:rsidRDefault="00E72916" w:rsidP="00E72916">
            <w:pPr>
              <w:rPr>
                <w:rFonts w:ascii="Times New Roman" w:hAnsi="Times New Roman" w:cs="Times New Roman"/>
                <w:sz w:val="20"/>
                <w:szCs w:val="20"/>
              </w:rPr>
            </w:pPr>
            <w:r w:rsidRPr="000B6D03">
              <w:rPr>
                <w:rFonts w:ascii="Times New Roman" w:hAnsi="Times New Roman" w:cs="Times New Roman"/>
                <w:sz w:val="20"/>
                <w:szCs w:val="20"/>
              </w:rPr>
              <w:t>Efektyvumo garantijų žiniaraštyje nustatyta Rangovo atsakomybė nėra ribojama nei maksimaliu baudų dydžiu, nei siejama su realiais Užsakovo nuostoliais ar jam taikomomis aplinkosauginėmis sankcijomis. Baudos skaičiuojamos nuo visos Sutarties kainos, todėl gali akivaizdžiai viršyti galimą žalą. Pažymime, kad civilinėje teisėje netesybos atlieka kompensacinę, o ne baudžiamąją funkciją, todėl Rangovo atsakomybė turi būti: proporcinga galimiems nuostoliams, aiškiai apribota (maksimali riba), nesukurianti nepagrįsto Užsakovo praturtėjimo. Prašome patikslinti pirkimo dokumentus, nustatant maksimalią bendrą Rangovo atsakomybės ribą pagal Efektyvumo garantijas ir aiškiai susiejant ją su faktiškai patirtais Užsakovo nuostoliais ar jam taikomomis sankcijomis.</w:t>
            </w:r>
          </w:p>
        </w:tc>
        <w:tc>
          <w:tcPr>
            <w:tcW w:w="4127" w:type="dxa"/>
          </w:tcPr>
          <w:p w14:paraId="5F791F6A" w14:textId="77777777" w:rsidR="00E72916" w:rsidRPr="000B6D03" w:rsidRDefault="00E72916" w:rsidP="00E72916">
            <w:pPr>
              <w:jc w:val="both"/>
              <w:rPr>
                <w:rFonts w:ascii="Times New Roman" w:hAnsi="Times New Roman" w:cs="Times New Roman"/>
                <w:sz w:val="20"/>
                <w:szCs w:val="20"/>
              </w:rPr>
            </w:pPr>
            <w:r w:rsidRPr="000B6D03">
              <w:rPr>
                <w:rFonts w:ascii="Times New Roman" w:hAnsi="Times New Roman" w:cs="Times New Roman"/>
                <w:sz w:val="20"/>
                <w:szCs w:val="20"/>
              </w:rPr>
              <w:t>Nustatytos baudos nėra abstrakčios ar neapibrėžtos – jos siejamos su objektyviai išmatuojamu išleidžiamų valytų nuotekų kokybės rodiklių viršijimu. Šie rodikliai yra esminiai pirkimo objektui ir tiesiogiai susiję su pagrindiniu Sutarties rezultatu – tinkamai veikiančiais nuotekų valymo įrenginiais bei išleidžiamų valytų nuotekų atitiktimi pirkimo dokumentuose nustatytiems reikalavimams.</w:t>
            </w:r>
          </w:p>
          <w:p w14:paraId="44B71BD2" w14:textId="77777777" w:rsidR="00E72916" w:rsidRPr="000B6D03" w:rsidRDefault="00E72916" w:rsidP="00E72916">
            <w:pPr>
              <w:jc w:val="both"/>
              <w:rPr>
                <w:rFonts w:ascii="Times New Roman" w:hAnsi="Times New Roman" w:cs="Times New Roman"/>
                <w:sz w:val="20"/>
                <w:szCs w:val="20"/>
              </w:rPr>
            </w:pPr>
            <w:r w:rsidRPr="000B6D03">
              <w:rPr>
                <w:rFonts w:ascii="Times New Roman" w:hAnsi="Times New Roman" w:cs="Times New Roman"/>
                <w:sz w:val="20"/>
                <w:szCs w:val="20"/>
              </w:rPr>
              <w:t>Tiekėjo siūlymas baudas sieti tik su Užsakovo faktiškai patirtais nuostoliais ar jam pritaikytomis sankcijomis iš esmės paneigtų netesybų ir efektyvumo garantijų paskirtį, nes kiekvienu atveju Užsakovas turėtų atskirai įrodinėti patirtų nuostolių dydį, nors išleidžiamų valytų nuotekų neatitiktis gali lemti ne tik tiesiogines sankcijas, bet ir papildomas eksploatacines, technologines, aplinkosaugines bei kitas rizikas.</w:t>
            </w:r>
          </w:p>
          <w:p w14:paraId="3FB319DC" w14:textId="77777777" w:rsidR="00E72916" w:rsidRPr="000B6D03" w:rsidRDefault="00E72916" w:rsidP="00E72916">
            <w:pPr>
              <w:jc w:val="both"/>
              <w:rPr>
                <w:rFonts w:ascii="Times New Roman" w:hAnsi="Times New Roman" w:cs="Times New Roman"/>
                <w:sz w:val="20"/>
                <w:szCs w:val="20"/>
              </w:rPr>
            </w:pPr>
            <w:r w:rsidRPr="000B6D03">
              <w:rPr>
                <w:rFonts w:ascii="Times New Roman" w:hAnsi="Times New Roman" w:cs="Times New Roman"/>
                <w:sz w:val="20"/>
                <w:szCs w:val="20"/>
              </w:rPr>
              <w:t>Perkančioji organizacija taip pat nesutinka, kad baudų skaičiavimas nuo Sutarties kainos savaime yra neproporcingas. Efektyvumo garantijos yra susijusios su viso pirkimo objekto galutiniu rezultatu, o ne su atskiru darbų ar įrangos elementu. Jeigu garantuojami išvalymo rodikliai nėra pasiekiami, Užsakovas negauna to rezultato, dėl kurio sudaroma Sutartis.</w:t>
            </w:r>
          </w:p>
          <w:p w14:paraId="54F3ED34" w14:textId="77777777" w:rsidR="00E72916" w:rsidRPr="000B6D03" w:rsidRDefault="00E72916" w:rsidP="00E72916">
            <w:pPr>
              <w:jc w:val="both"/>
              <w:rPr>
                <w:rFonts w:ascii="Times New Roman" w:hAnsi="Times New Roman" w:cs="Times New Roman"/>
                <w:sz w:val="20"/>
                <w:szCs w:val="20"/>
              </w:rPr>
            </w:pPr>
            <w:r w:rsidRPr="000B6D03">
              <w:rPr>
                <w:rFonts w:ascii="Times New Roman" w:hAnsi="Times New Roman" w:cs="Times New Roman"/>
                <w:sz w:val="20"/>
                <w:szCs w:val="20"/>
              </w:rPr>
              <w:t>Nustatytas baudų mechanizmas yra aiškus, objektyvus, vienodai taikomas visiems tiekėjams ir leidžia tiekėjams įsivertinti riziką rengiant pasiūlymą. Todėl nėra pagrindo keisti pirkimo dokumentų ir nustatyti tiekėjo prašomą maksimalią bendrą atsakomybės ribą ar sieti baudas tik su faktiškai Užsakovo patirtais nuostoliais ar jam pritaikytomis sankcijomis.</w:t>
            </w:r>
          </w:p>
          <w:p w14:paraId="24C1EA5E" w14:textId="2CDFCD64" w:rsidR="00E72916" w:rsidRPr="000B6D03" w:rsidRDefault="00E72916" w:rsidP="00E72916">
            <w:pPr>
              <w:rPr>
                <w:rFonts w:ascii="Times New Roman" w:hAnsi="Times New Roman" w:cs="Times New Roman"/>
                <w:sz w:val="20"/>
                <w:szCs w:val="20"/>
              </w:rPr>
            </w:pPr>
            <w:r w:rsidRPr="000B6D03">
              <w:rPr>
                <w:rFonts w:ascii="Times New Roman" w:hAnsi="Times New Roman" w:cs="Times New Roman"/>
                <w:sz w:val="20"/>
                <w:szCs w:val="20"/>
              </w:rPr>
              <w:lastRenderedPageBreak/>
              <w:t>Atsižvelgiant į tai, tiekėjo prašymas netenkinamas, pirkimo dokumentų nuostatos nekeičiamos.</w:t>
            </w:r>
          </w:p>
        </w:tc>
      </w:tr>
      <w:tr w:rsidR="00E72916" w:rsidRPr="000B6D03" w14:paraId="5B28303D" w14:textId="77777777" w:rsidTr="00D96461">
        <w:tc>
          <w:tcPr>
            <w:tcW w:w="451" w:type="dxa"/>
          </w:tcPr>
          <w:p w14:paraId="0B0BAF89" w14:textId="77777777" w:rsidR="00E72916" w:rsidRPr="000B6D03" w:rsidRDefault="00E72916" w:rsidP="00E72916">
            <w:pPr>
              <w:numPr>
                <w:ilvl w:val="0"/>
                <w:numId w:val="5"/>
              </w:numPr>
              <w:ind w:left="-109" w:right="-131" w:firstLine="0"/>
              <w:contextualSpacing/>
              <w:rPr>
                <w:rFonts w:ascii="Times New Roman" w:hAnsi="Times New Roman" w:cs="Times New Roman"/>
                <w:sz w:val="20"/>
                <w:szCs w:val="20"/>
              </w:rPr>
            </w:pPr>
          </w:p>
        </w:tc>
        <w:tc>
          <w:tcPr>
            <w:tcW w:w="5050" w:type="dxa"/>
          </w:tcPr>
          <w:p w14:paraId="5A59C567" w14:textId="244E866F" w:rsidR="00E72916" w:rsidRPr="000B6D03" w:rsidRDefault="00E72916" w:rsidP="00E72916">
            <w:pPr>
              <w:rPr>
                <w:rFonts w:ascii="Times New Roman" w:hAnsi="Times New Roman" w:cs="Times New Roman"/>
                <w:sz w:val="20"/>
                <w:szCs w:val="20"/>
              </w:rPr>
            </w:pPr>
            <w:r w:rsidRPr="000B6D03">
              <w:rPr>
                <w:rFonts w:ascii="Times New Roman" w:hAnsi="Times New Roman" w:cs="Times New Roman"/>
                <w:sz w:val="20"/>
                <w:szCs w:val="20"/>
              </w:rPr>
              <w:t>Koks pirkimo biudžetas?</w:t>
            </w:r>
          </w:p>
        </w:tc>
        <w:tc>
          <w:tcPr>
            <w:tcW w:w="4127" w:type="dxa"/>
          </w:tcPr>
          <w:p w14:paraId="6AED554B" w14:textId="77777777" w:rsidR="00E72916" w:rsidRPr="000B6D03" w:rsidRDefault="00E72916" w:rsidP="00E72916">
            <w:pPr>
              <w:rPr>
                <w:rFonts w:ascii="Times New Roman" w:hAnsi="Times New Roman" w:cs="Times New Roman"/>
                <w:sz w:val="20"/>
                <w:szCs w:val="20"/>
              </w:rPr>
            </w:pPr>
            <w:r w:rsidRPr="000B6D03">
              <w:rPr>
                <w:rFonts w:ascii="Times New Roman" w:hAnsi="Times New Roman" w:cs="Times New Roman"/>
                <w:sz w:val="20"/>
                <w:szCs w:val="20"/>
              </w:rPr>
              <w:t>Pirkimo biudžetas neskelbiamas.</w:t>
            </w:r>
          </w:p>
          <w:p w14:paraId="40F6E7D2" w14:textId="6CDDA5E6" w:rsidR="00E72916" w:rsidRPr="000B6D03" w:rsidRDefault="00E72916" w:rsidP="00E72916">
            <w:pPr>
              <w:rPr>
                <w:rFonts w:ascii="Times New Roman" w:hAnsi="Times New Roman" w:cs="Times New Roman"/>
                <w:sz w:val="20"/>
                <w:szCs w:val="20"/>
              </w:rPr>
            </w:pPr>
            <w:hyperlink r:id="rId9" w:history="1">
              <w:r w:rsidRPr="000B6D03">
                <w:rPr>
                  <w:rStyle w:val="Hipersaitas"/>
                  <w:rFonts w:ascii="Times New Roman" w:hAnsi="Times New Roman" w:cs="Times New Roman"/>
                  <w:color w:val="auto"/>
                  <w:sz w:val="20"/>
                  <w:szCs w:val="20"/>
                </w:rPr>
                <w:t>https://klausk.vpt.lt/hc/lt/articles/360001331325-Ar-perkan%C4%8Dioji-organizacija-apie-tai-informuodama-tiek%C4%97jus-privalo-jiems-nurodyti-perkan%C4%8Diosios-organizacijos-%C5%A1iam-pirkimui-suplanuotas-l%C4%97%C5%A1as-kai-tiek%C4%97jas-to-pra%C5%A1o-</w:t>
              </w:r>
            </w:hyperlink>
            <w:r w:rsidRPr="000B6D03">
              <w:rPr>
                <w:rFonts w:ascii="Times New Roman" w:hAnsi="Times New Roman" w:cs="Times New Roman"/>
                <w:sz w:val="20"/>
                <w:szCs w:val="20"/>
              </w:rPr>
              <w:t xml:space="preserve"> </w:t>
            </w:r>
          </w:p>
        </w:tc>
      </w:tr>
      <w:tr w:rsidR="00E72916" w:rsidRPr="000B6D03" w14:paraId="2A123157" w14:textId="77777777" w:rsidTr="009B6D5A">
        <w:tc>
          <w:tcPr>
            <w:tcW w:w="9628" w:type="dxa"/>
            <w:gridSpan w:val="3"/>
          </w:tcPr>
          <w:p w14:paraId="209FB5E7" w14:textId="0D689CD4" w:rsidR="00E72916" w:rsidRPr="000B6D03" w:rsidRDefault="00E72916" w:rsidP="00E72916">
            <w:pPr>
              <w:rPr>
                <w:rFonts w:ascii="Times New Roman" w:hAnsi="Times New Roman" w:cs="Times New Roman"/>
                <w:b/>
                <w:bCs/>
                <w:sz w:val="20"/>
                <w:szCs w:val="20"/>
              </w:rPr>
            </w:pPr>
            <w:r w:rsidRPr="000B6D03">
              <w:rPr>
                <w:rFonts w:ascii="Times New Roman" w:hAnsi="Times New Roman" w:cs="Times New Roman"/>
                <w:b/>
                <w:bCs/>
                <w:sz w:val="20"/>
                <w:szCs w:val="20"/>
              </w:rPr>
              <w:t>Dėl IV pirkimo dalies</w:t>
            </w:r>
          </w:p>
        </w:tc>
      </w:tr>
      <w:tr w:rsidR="005970D8" w:rsidRPr="000B6D03" w14:paraId="6E3A0FD3" w14:textId="77777777" w:rsidTr="00D96461">
        <w:tc>
          <w:tcPr>
            <w:tcW w:w="451" w:type="dxa"/>
          </w:tcPr>
          <w:p w14:paraId="7A517590" w14:textId="77777777" w:rsidR="005970D8" w:rsidRPr="000B6D03" w:rsidRDefault="005970D8" w:rsidP="005970D8">
            <w:pPr>
              <w:numPr>
                <w:ilvl w:val="0"/>
                <w:numId w:val="5"/>
              </w:numPr>
              <w:ind w:left="-109" w:right="-131" w:firstLine="0"/>
              <w:contextualSpacing/>
              <w:rPr>
                <w:rFonts w:ascii="Times New Roman" w:hAnsi="Times New Roman" w:cs="Times New Roman"/>
                <w:sz w:val="20"/>
                <w:szCs w:val="20"/>
              </w:rPr>
            </w:pPr>
          </w:p>
        </w:tc>
        <w:tc>
          <w:tcPr>
            <w:tcW w:w="5050" w:type="dxa"/>
          </w:tcPr>
          <w:p w14:paraId="22181ECF" w14:textId="47E9C542" w:rsidR="005970D8" w:rsidRPr="000B6D03" w:rsidRDefault="005970D8" w:rsidP="005970D8">
            <w:pPr>
              <w:rPr>
                <w:rFonts w:ascii="Times New Roman" w:hAnsi="Times New Roman" w:cs="Times New Roman"/>
                <w:sz w:val="20"/>
                <w:szCs w:val="20"/>
              </w:rPr>
            </w:pPr>
            <w:r w:rsidRPr="000B6D03">
              <w:rPr>
                <w:rFonts w:ascii="Times New Roman" w:hAnsi="Times New Roman" w:cs="Times New Roman"/>
                <w:sz w:val="20"/>
                <w:szCs w:val="20"/>
              </w:rPr>
              <w:t>Prašome patikslinti, ar pagal užsakovo reikalavimų 2.19 punktą anglies šaltinio (pvz. melasos) dozavimo įranga yra privaloma visais atvejais, ar ji turi būti numatoma tik tuo atveju, jei Rangovo atlikti technologiniai skaičiavimai pagrindžia papildomo nitratų šalinimo būtinybę. Kadangi reikalavime nurodyta, jog tiek fosforo, tiek nitratų papildomas cheminis šalinimas turi būti pagrįstas technologiniais skaičiavimais, nėra aišku, ar anglies šaltinio dozavimo sprendinys laikomas privalomu pirkimo apimties elementu, ar galimu technologiniu sprendimu, taikomu tik esant poreikiui.</w:t>
            </w:r>
          </w:p>
        </w:tc>
        <w:tc>
          <w:tcPr>
            <w:tcW w:w="4127" w:type="dxa"/>
          </w:tcPr>
          <w:p w14:paraId="1262AAAB" w14:textId="3C5C6409" w:rsidR="005970D8" w:rsidRPr="000B6D03" w:rsidRDefault="005970D8" w:rsidP="005970D8">
            <w:pPr>
              <w:rPr>
                <w:rFonts w:ascii="Times New Roman" w:hAnsi="Times New Roman" w:cs="Times New Roman"/>
                <w:sz w:val="20"/>
                <w:szCs w:val="20"/>
              </w:rPr>
            </w:pPr>
            <w:r w:rsidRPr="000B6D03">
              <w:rPr>
                <w:rFonts w:ascii="Times New Roman" w:hAnsi="Times New Roman" w:cs="Times New Roman"/>
                <w:sz w:val="20"/>
                <w:szCs w:val="20"/>
              </w:rPr>
              <w:t>Paaiškiname, kad anglies šaltinio dozavimo įranga turi būti numatoma tik tuo atveju, jei Rangovo atlikti technologiniai skaičiavimai pagrindžia papildomo nitratų šalinimo būtinybę.</w:t>
            </w:r>
          </w:p>
        </w:tc>
      </w:tr>
      <w:tr w:rsidR="005970D8" w:rsidRPr="000B6D03" w14:paraId="538D69C9" w14:textId="77777777" w:rsidTr="00D96461">
        <w:tc>
          <w:tcPr>
            <w:tcW w:w="451" w:type="dxa"/>
          </w:tcPr>
          <w:p w14:paraId="43F62216" w14:textId="77777777" w:rsidR="005970D8" w:rsidRPr="000B6D03" w:rsidRDefault="005970D8" w:rsidP="005970D8">
            <w:pPr>
              <w:numPr>
                <w:ilvl w:val="0"/>
                <w:numId w:val="5"/>
              </w:numPr>
              <w:ind w:left="-109" w:right="-131" w:firstLine="0"/>
              <w:contextualSpacing/>
              <w:rPr>
                <w:rFonts w:ascii="Times New Roman" w:hAnsi="Times New Roman" w:cs="Times New Roman"/>
                <w:sz w:val="20"/>
                <w:szCs w:val="20"/>
              </w:rPr>
            </w:pPr>
          </w:p>
        </w:tc>
        <w:tc>
          <w:tcPr>
            <w:tcW w:w="5050" w:type="dxa"/>
          </w:tcPr>
          <w:p w14:paraId="5486800E" w14:textId="6E4149DE" w:rsidR="005970D8" w:rsidRPr="000B6D03" w:rsidRDefault="005970D8" w:rsidP="005970D8">
            <w:pPr>
              <w:rPr>
                <w:rFonts w:ascii="Times New Roman" w:hAnsi="Times New Roman" w:cs="Times New Roman"/>
                <w:sz w:val="20"/>
                <w:szCs w:val="20"/>
              </w:rPr>
            </w:pPr>
            <w:r w:rsidRPr="000B6D03">
              <w:rPr>
                <w:rFonts w:ascii="Times New Roman" w:hAnsi="Times New Roman" w:cs="Times New Roman"/>
                <w:sz w:val="20"/>
                <w:szCs w:val="20"/>
              </w:rPr>
              <w:t xml:space="preserve"> Prašome patikslinti, ar reikalavimas kontroliuoti „dumblo vandens siurblio (dekanterio) būseną“ taikomas tik tuo atveju, jei rangovo siūlomame technologiniame sprendime numatomas dekanteris. Kadangi dekanterio naudojimas gali būti technologinio sprendinio pasirinkimas, prašome patvirtinti, jog šis reikalavimas nėra taikomas tais atvejais, kai dekanteris rangovo sprendime nenumatomas.</w:t>
            </w:r>
          </w:p>
        </w:tc>
        <w:tc>
          <w:tcPr>
            <w:tcW w:w="4127" w:type="dxa"/>
          </w:tcPr>
          <w:p w14:paraId="46EB7FAA" w14:textId="3F766F35" w:rsidR="005970D8" w:rsidRPr="000B6D03" w:rsidRDefault="005970D8" w:rsidP="005970D8">
            <w:pPr>
              <w:rPr>
                <w:rFonts w:ascii="Times New Roman" w:hAnsi="Times New Roman" w:cs="Times New Roman"/>
                <w:sz w:val="20"/>
                <w:szCs w:val="20"/>
              </w:rPr>
            </w:pPr>
            <w:r w:rsidRPr="000B6D03">
              <w:rPr>
                <w:rFonts w:ascii="Times New Roman" w:hAnsi="Times New Roman" w:cs="Times New Roman"/>
                <w:sz w:val="20"/>
                <w:szCs w:val="20"/>
              </w:rPr>
              <w:t>Paaiškiname, kad reikalavimas kontroliuoti „dumblo vandens siurblio (dekanterio) būseną“ taikomas tik tuo atveju, jei rangovo siūlomame technologiniame sprendime numatomas dekanteris.</w:t>
            </w:r>
          </w:p>
        </w:tc>
      </w:tr>
      <w:tr w:rsidR="005970D8" w:rsidRPr="000B6D03" w14:paraId="136D4BD9" w14:textId="77777777" w:rsidTr="00D96461">
        <w:tc>
          <w:tcPr>
            <w:tcW w:w="451" w:type="dxa"/>
          </w:tcPr>
          <w:p w14:paraId="4BBF9440" w14:textId="77777777" w:rsidR="005970D8" w:rsidRPr="000B6D03" w:rsidRDefault="005970D8" w:rsidP="005970D8">
            <w:pPr>
              <w:numPr>
                <w:ilvl w:val="0"/>
                <w:numId w:val="5"/>
              </w:numPr>
              <w:ind w:left="-109" w:right="-131" w:firstLine="0"/>
              <w:contextualSpacing/>
              <w:rPr>
                <w:rFonts w:ascii="Times New Roman" w:hAnsi="Times New Roman" w:cs="Times New Roman"/>
                <w:sz w:val="20"/>
                <w:szCs w:val="20"/>
              </w:rPr>
            </w:pPr>
          </w:p>
        </w:tc>
        <w:tc>
          <w:tcPr>
            <w:tcW w:w="5050" w:type="dxa"/>
          </w:tcPr>
          <w:p w14:paraId="0FA73F6F" w14:textId="59BBC222" w:rsidR="005970D8" w:rsidRPr="000B6D03" w:rsidRDefault="005970D8" w:rsidP="005970D8">
            <w:pPr>
              <w:rPr>
                <w:rFonts w:ascii="Times New Roman" w:hAnsi="Times New Roman" w:cs="Times New Roman"/>
                <w:sz w:val="20"/>
                <w:szCs w:val="20"/>
              </w:rPr>
            </w:pPr>
            <w:r w:rsidRPr="000B6D03">
              <w:rPr>
                <w:rFonts w:ascii="Times New Roman" w:hAnsi="Times New Roman" w:cs="Times New Roman"/>
                <w:sz w:val="20"/>
                <w:szCs w:val="20"/>
              </w:rPr>
              <w:t>Vertinant pirkimo dokumentuose pateiktus atitekančių nuotekų parametrus, prašytume papildomai pasitikslinti, ar nurodytos reikšmės yra teisingos ir galutinės, kadangi jos atrodo santykinai žemos tipinėms buitinėms nuotekoms. Esant tokioms organinės taršos koncentracijoms gali kilti rizika neužtikrinti stabilaus biologinio valymo proceso, pakankamo aktyviojo dumblo susidarymo ir išlaikymo sistemoje, taip pat gali būti sudėtinga stabiliai užtikrinti nitrifikacijos, denitrifikacijos bei biologinio fosforo šalinimo procesus. Tokios sąlygos taip pat gali turėti įtakos technologinio proceso stabilumui eksploatacijos metu bei reikalaujamų išvalymo rodiklių pasiekimui. Atsižvelgiant į tai, prašytume patikslinti, ar pateikti duomenys yra pagrįsti faktinių atitekančių nuotekų tyrimų protokolais ilgesniame stebėjimo intervale.</w:t>
            </w:r>
          </w:p>
        </w:tc>
        <w:tc>
          <w:tcPr>
            <w:tcW w:w="4127" w:type="dxa"/>
          </w:tcPr>
          <w:p w14:paraId="138F7E28" w14:textId="77777777" w:rsidR="00293F61" w:rsidRPr="000B6D03" w:rsidRDefault="00293F61" w:rsidP="00293F61">
            <w:pPr>
              <w:rPr>
                <w:rFonts w:ascii="Times New Roman" w:hAnsi="Times New Roman" w:cs="Times New Roman"/>
                <w:sz w:val="20"/>
                <w:szCs w:val="20"/>
              </w:rPr>
            </w:pPr>
            <w:r w:rsidRPr="000B6D03">
              <w:rPr>
                <w:rFonts w:ascii="Times New Roman" w:hAnsi="Times New Roman" w:cs="Times New Roman"/>
                <w:sz w:val="20"/>
                <w:szCs w:val="20"/>
              </w:rPr>
              <w:t>Atsižvelgiant į naujausius nuotekų užterštumo tyrimus, tiksliname techninės specifikacijos 2 lentelę:</w:t>
            </w:r>
          </w:p>
          <w:tbl>
            <w:tblPr>
              <w:tblW w:w="5000" w:type="pct"/>
              <w:tblLook w:val="04A0" w:firstRow="1" w:lastRow="0" w:firstColumn="1" w:lastColumn="0" w:noHBand="0" w:noVBand="1"/>
            </w:tblPr>
            <w:tblGrid>
              <w:gridCol w:w="452"/>
              <w:gridCol w:w="2047"/>
              <w:gridCol w:w="581"/>
              <w:gridCol w:w="821"/>
            </w:tblGrid>
            <w:tr w:rsidR="00C60161" w:rsidRPr="000B6D03" w14:paraId="05044305" w14:textId="77777777" w:rsidTr="00E84088">
              <w:trPr>
                <w:trHeight w:val="840"/>
              </w:trPr>
              <w:tc>
                <w:tcPr>
                  <w:tcW w:w="482"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0216862B" w14:textId="77777777" w:rsidR="00D70720" w:rsidRPr="000B6D03" w:rsidRDefault="00D70720" w:rsidP="00D70720">
                  <w:pPr>
                    <w:jc w:val="left"/>
                    <w:rPr>
                      <w:rFonts w:ascii="Times New Roman" w:eastAsia="Times New Roman" w:hAnsi="Times New Roman" w:cs="Times New Roman"/>
                      <w:b/>
                      <w:bCs/>
                      <w:sz w:val="16"/>
                      <w:szCs w:val="16"/>
                      <w:lang w:val="en-US"/>
                    </w:rPr>
                  </w:pPr>
                  <w:r w:rsidRPr="000B6D03">
                    <w:rPr>
                      <w:rFonts w:ascii="Times New Roman" w:eastAsia="Times New Roman" w:hAnsi="Times New Roman" w:cs="Times New Roman"/>
                      <w:b/>
                      <w:bCs/>
                      <w:sz w:val="16"/>
                      <w:szCs w:val="16"/>
                    </w:rPr>
                    <w:t>Eil. Nr.</w:t>
                  </w:r>
                </w:p>
              </w:tc>
              <w:tc>
                <w:tcPr>
                  <w:tcW w:w="2781" w:type="pct"/>
                  <w:tcBorders>
                    <w:top w:val="single" w:sz="4" w:space="0" w:color="auto"/>
                    <w:left w:val="nil"/>
                    <w:bottom w:val="single" w:sz="4" w:space="0" w:color="auto"/>
                    <w:right w:val="single" w:sz="4" w:space="0" w:color="auto"/>
                  </w:tcBorders>
                  <w:shd w:val="clear" w:color="000000" w:fill="E7E6E6"/>
                  <w:vAlign w:val="center"/>
                  <w:hideMark/>
                </w:tcPr>
                <w:p w14:paraId="3525BE45" w14:textId="77777777" w:rsidR="00D70720" w:rsidRPr="000B6D03" w:rsidRDefault="00D70720" w:rsidP="00D70720">
                  <w:pPr>
                    <w:jc w:val="center"/>
                    <w:rPr>
                      <w:rFonts w:ascii="Times New Roman" w:eastAsia="Times New Roman" w:hAnsi="Times New Roman" w:cs="Times New Roman"/>
                      <w:b/>
                      <w:bCs/>
                      <w:sz w:val="16"/>
                      <w:szCs w:val="16"/>
                      <w:lang w:val="en-US"/>
                    </w:rPr>
                  </w:pPr>
                  <w:r w:rsidRPr="000B6D03">
                    <w:rPr>
                      <w:rFonts w:ascii="Times New Roman" w:eastAsia="Times New Roman" w:hAnsi="Times New Roman" w:cs="Times New Roman"/>
                      <w:b/>
                      <w:bCs/>
                      <w:sz w:val="16"/>
                      <w:szCs w:val="16"/>
                    </w:rPr>
                    <w:t>Rodiklis</w:t>
                  </w:r>
                </w:p>
              </w:tc>
              <w:tc>
                <w:tcPr>
                  <w:tcW w:w="894" w:type="pct"/>
                  <w:tcBorders>
                    <w:top w:val="single" w:sz="4" w:space="0" w:color="auto"/>
                    <w:left w:val="nil"/>
                    <w:bottom w:val="single" w:sz="4" w:space="0" w:color="auto"/>
                    <w:right w:val="single" w:sz="4" w:space="0" w:color="auto"/>
                  </w:tcBorders>
                  <w:shd w:val="clear" w:color="000000" w:fill="E7E6E6"/>
                  <w:vAlign w:val="center"/>
                  <w:hideMark/>
                </w:tcPr>
                <w:p w14:paraId="04011BB6" w14:textId="77777777" w:rsidR="00D70720" w:rsidRPr="000B6D03" w:rsidRDefault="00D70720" w:rsidP="00D70720">
                  <w:pPr>
                    <w:jc w:val="left"/>
                    <w:rPr>
                      <w:rFonts w:ascii="Times New Roman" w:eastAsia="Times New Roman" w:hAnsi="Times New Roman" w:cs="Times New Roman"/>
                      <w:b/>
                      <w:bCs/>
                      <w:sz w:val="16"/>
                      <w:szCs w:val="16"/>
                      <w:lang w:val="en-US"/>
                    </w:rPr>
                  </w:pPr>
                  <w:r w:rsidRPr="000B6D03">
                    <w:rPr>
                      <w:rFonts w:ascii="Times New Roman" w:eastAsia="Times New Roman" w:hAnsi="Times New Roman" w:cs="Times New Roman"/>
                      <w:b/>
                      <w:bCs/>
                      <w:sz w:val="16"/>
                      <w:szCs w:val="16"/>
                    </w:rPr>
                    <w:t>Mato vnt.</w:t>
                  </w:r>
                </w:p>
              </w:tc>
              <w:tc>
                <w:tcPr>
                  <w:tcW w:w="843" w:type="pct"/>
                  <w:tcBorders>
                    <w:top w:val="single" w:sz="4" w:space="0" w:color="auto"/>
                    <w:left w:val="nil"/>
                    <w:bottom w:val="single" w:sz="4" w:space="0" w:color="auto"/>
                    <w:right w:val="single" w:sz="4" w:space="0" w:color="auto"/>
                  </w:tcBorders>
                  <w:shd w:val="clear" w:color="000000" w:fill="E7E6E6"/>
                  <w:vAlign w:val="center"/>
                  <w:hideMark/>
                </w:tcPr>
                <w:p w14:paraId="3990D9E7" w14:textId="77777777" w:rsidR="00D70720" w:rsidRPr="000B6D03" w:rsidRDefault="00D70720" w:rsidP="00D70720">
                  <w:pPr>
                    <w:jc w:val="left"/>
                    <w:rPr>
                      <w:rFonts w:ascii="Times New Roman" w:eastAsia="Times New Roman" w:hAnsi="Times New Roman" w:cs="Times New Roman"/>
                      <w:b/>
                      <w:bCs/>
                      <w:sz w:val="16"/>
                      <w:szCs w:val="16"/>
                      <w:lang w:val="en-US"/>
                    </w:rPr>
                  </w:pPr>
                  <w:r w:rsidRPr="000B6D03">
                    <w:rPr>
                      <w:rFonts w:ascii="Times New Roman" w:eastAsia="Times New Roman" w:hAnsi="Times New Roman" w:cs="Times New Roman"/>
                      <w:b/>
                      <w:bCs/>
                      <w:sz w:val="16"/>
                      <w:szCs w:val="16"/>
                    </w:rPr>
                    <w:t xml:space="preserve"> Reikšmė</w:t>
                  </w:r>
                </w:p>
              </w:tc>
            </w:tr>
            <w:tr w:rsidR="00C60161" w:rsidRPr="000B6D03" w14:paraId="54A399C5" w14:textId="77777777" w:rsidTr="00E84088">
              <w:trPr>
                <w:trHeight w:val="324"/>
              </w:trPr>
              <w:tc>
                <w:tcPr>
                  <w:tcW w:w="482" w:type="pct"/>
                  <w:vMerge w:val="restart"/>
                  <w:tcBorders>
                    <w:top w:val="nil"/>
                    <w:left w:val="single" w:sz="4" w:space="0" w:color="auto"/>
                    <w:bottom w:val="single" w:sz="4" w:space="0" w:color="auto"/>
                    <w:right w:val="single" w:sz="4" w:space="0" w:color="auto"/>
                  </w:tcBorders>
                  <w:vAlign w:val="center"/>
                  <w:hideMark/>
                </w:tcPr>
                <w:p w14:paraId="0F8BD0F7"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1.</w:t>
                  </w:r>
                </w:p>
              </w:tc>
              <w:tc>
                <w:tcPr>
                  <w:tcW w:w="2781" w:type="pct"/>
                  <w:vMerge w:val="restart"/>
                  <w:tcBorders>
                    <w:top w:val="nil"/>
                    <w:left w:val="single" w:sz="4" w:space="0" w:color="auto"/>
                    <w:bottom w:val="single" w:sz="4" w:space="0" w:color="auto"/>
                    <w:right w:val="single" w:sz="4" w:space="0" w:color="auto"/>
                  </w:tcBorders>
                  <w:vAlign w:val="center"/>
                  <w:hideMark/>
                </w:tcPr>
                <w:p w14:paraId="01DC4569" w14:textId="77777777" w:rsidR="00D70720" w:rsidRPr="000B6D03" w:rsidRDefault="00D70720" w:rsidP="00D70720">
                  <w:pPr>
                    <w:jc w:val="left"/>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Biocheminis deguonies  suvartojimas  (BDS</w:t>
                  </w:r>
                  <w:r w:rsidRPr="000B6D03">
                    <w:rPr>
                      <w:rFonts w:ascii="Times New Roman" w:eastAsia="Times New Roman" w:hAnsi="Times New Roman" w:cs="Times New Roman"/>
                      <w:sz w:val="16"/>
                      <w:szCs w:val="16"/>
                      <w:vertAlign w:val="subscript"/>
                    </w:rPr>
                    <w:t>5</w:t>
                  </w:r>
                  <w:r w:rsidRPr="000B6D03">
                    <w:rPr>
                      <w:rFonts w:ascii="Times New Roman" w:eastAsia="Times New Roman" w:hAnsi="Times New Roman" w:cs="Times New Roman"/>
                      <w:sz w:val="16"/>
                      <w:szCs w:val="16"/>
                    </w:rPr>
                    <w:t>/BDS</w:t>
                  </w:r>
                  <w:r w:rsidRPr="000B6D03">
                    <w:rPr>
                      <w:rFonts w:ascii="Times New Roman" w:eastAsia="Times New Roman" w:hAnsi="Times New Roman" w:cs="Times New Roman"/>
                      <w:sz w:val="16"/>
                      <w:szCs w:val="16"/>
                      <w:vertAlign w:val="subscript"/>
                    </w:rPr>
                    <w:t>7</w:t>
                  </w:r>
                  <w:r w:rsidRPr="000B6D03">
                    <w:rPr>
                      <w:rFonts w:ascii="Times New Roman" w:eastAsia="Times New Roman" w:hAnsi="Times New Roman" w:cs="Times New Roman"/>
                      <w:sz w:val="16"/>
                      <w:szCs w:val="16"/>
                    </w:rPr>
                    <w:t>)</w:t>
                  </w:r>
                </w:p>
              </w:tc>
              <w:tc>
                <w:tcPr>
                  <w:tcW w:w="894" w:type="pct"/>
                  <w:tcBorders>
                    <w:top w:val="nil"/>
                    <w:left w:val="nil"/>
                    <w:bottom w:val="single" w:sz="4" w:space="0" w:color="auto"/>
                    <w:right w:val="single" w:sz="4" w:space="0" w:color="auto"/>
                  </w:tcBorders>
                  <w:vAlign w:val="center"/>
                  <w:hideMark/>
                </w:tcPr>
                <w:p w14:paraId="7A5F9107"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kg/d</w:t>
                  </w:r>
                </w:p>
              </w:tc>
              <w:tc>
                <w:tcPr>
                  <w:tcW w:w="843" w:type="pct"/>
                  <w:tcBorders>
                    <w:top w:val="nil"/>
                    <w:left w:val="nil"/>
                    <w:bottom w:val="single" w:sz="4" w:space="0" w:color="auto"/>
                    <w:right w:val="single" w:sz="4" w:space="0" w:color="auto"/>
                  </w:tcBorders>
                  <w:vAlign w:val="center"/>
                  <w:hideMark/>
                </w:tcPr>
                <w:p w14:paraId="3F4BA91D" w14:textId="25C57EE6"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9,04/10,4</w:t>
                  </w:r>
                </w:p>
              </w:tc>
            </w:tr>
            <w:tr w:rsidR="00C60161" w:rsidRPr="000B6D03" w14:paraId="2C01F5F6" w14:textId="77777777" w:rsidTr="00E84088">
              <w:trPr>
                <w:trHeight w:val="312"/>
              </w:trPr>
              <w:tc>
                <w:tcPr>
                  <w:tcW w:w="482" w:type="pct"/>
                  <w:vMerge/>
                  <w:tcBorders>
                    <w:top w:val="nil"/>
                    <w:left w:val="single" w:sz="4" w:space="0" w:color="auto"/>
                    <w:bottom w:val="single" w:sz="4" w:space="0" w:color="auto"/>
                    <w:right w:val="single" w:sz="4" w:space="0" w:color="auto"/>
                  </w:tcBorders>
                  <w:vAlign w:val="center"/>
                  <w:hideMark/>
                </w:tcPr>
                <w:p w14:paraId="234F0B69" w14:textId="77777777" w:rsidR="00D70720" w:rsidRPr="000B6D03" w:rsidRDefault="00D70720" w:rsidP="00D70720">
                  <w:pPr>
                    <w:jc w:val="left"/>
                    <w:rPr>
                      <w:rFonts w:ascii="Times New Roman" w:eastAsia="Times New Roman" w:hAnsi="Times New Roman" w:cs="Times New Roman"/>
                      <w:sz w:val="16"/>
                      <w:szCs w:val="16"/>
                      <w:lang w:val="en-US"/>
                    </w:rPr>
                  </w:pPr>
                </w:p>
              </w:tc>
              <w:tc>
                <w:tcPr>
                  <w:tcW w:w="2781" w:type="pct"/>
                  <w:vMerge/>
                  <w:tcBorders>
                    <w:top w:val="nil"/>
                    <w:left w:val="single" w:sz="4" w:space="0" w:color="auto"/>
                    <w:bottom w:val="single" w:sz="4" w:space="0" w:color="auto"/>
                    <w:right w:val="single" w:sz="4" w:space="0" w:color="auto"/>
                  </w:tcBorders>
                  <w:vAlign w:val="center"/>
                  <w:hideMark/>
                </w:tcPr>
                <w:p w14:paraId="2A7583C0" w14:textId="77777777" w:rsidR="00D70720" w:rsidRPr="000B6D03" w:rsidRDefault="00D70720" w:rsidP="00D70720">
                  <w:pPr>
                    <w:jc w:val="left"/>
                    <w:rPr>
                      <w:rFonts w:ascii="Times New Roman" w:eastAsia="Times New Roman" w:hAnsi="Times New Roman" w:cs="Times New Roman"/>
                      <w:sz w:val="16"/>
                      <w:szCs w:val="16"/>
                      <w:lang w:val="en-US"/>
                    </w:rPr>
                  </w:pPr>
                </w:p>
              </w:tc>
              <w:tc>
                <w:tcPr>
                  <w:tcW w:w="894" w:type="pct"/>
                  <w:tcBorders>
                    <w:top w:val="nil"/>
                    <w:left w:val="nil"/>
                    <w:bottom w:val="single" w:sz="4" w:space="0" w:color="auto"/>
                    <w:right w:val="single" w:sz="4" w:space="0" w:color="auto"/>
                  </w:tcBorders>
                  <w:vAlign w:val="center"/>
                  <w:hideMark/>
                </w:tcPr>
                <w:p w14:paraId="794C36F6"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mg/l</w:t>
                  </w:r>
                </w:p>
              </w:tc>
              <w:tc>
                <w:tcPr>
                  <w:tcW w:w="843" w:type="pct"/>
                  <w:tcBorders>
                    <w:top w:val="nil"/>
                    <w:left w:val="nil"/>
                    <w:bottom w:val="single" w:sz="4" w:space="0" w:color="auto"/>
                    <w:right w:val="single" w:sz="4" w:space="0" w:color="auto"/>
                  </w:tcBorders>
                  <w:vAlign w:val="center"/>
                  <w:hideMark/>
                </w:tcPr>
                <w:p w14:paraId="7BE56FE1" w14:textId="32999C80"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226/260</w:t>
                  </w:r>
                </w:p>
              </w:tc>
            </w:tr>
            <w:tr w:rsidR="00C60161" w:rsidRPr="000B6D03" w14:paraId="12DEBBB0" w14:textId="77777777" w:rsidTr="00E84088">
              <w:trPr>
                <w:trHeight w:val="324"/>
              </w:trPr>
              <w:tc>
                <w:tcPr>
                  <w:tcW w:w="482" w:type="pct"/>
                  <w:vMerge w:val="restart"/>
                  <w:tcBorders>
                    <w:top w:val="nil"/>
                    <w:left w:val="single" w:sz="4" w:space="0" w:color="auto"/>
                    <w:bottom w:val="single" w:sz="4" w:space="0" w:color="auto"/>
                    <w:right w:val="single" w:sz="4" w:space="0" w:color="auto"/>
                  </w:tcBorders>
                  <w:vAlign w:val="center"/>
                  <w:hideMark/>
                </w:tcPr>
                <w:p w14:paraId="6245B582"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2.</w:t>
                  </w:r>
                </w:p>
              </w:tc>
              <w:tc>
                <w:tcPr>
                  <w:tcW w:w="2781" w:type="pct"/>
                  <w:vMerge w:val="restart"/>
                  <w:tcBorders>
                    <w:top w:val="nil"/>
                    <w:left w:val="single" w:sz="4" w:space="0" w:color="auto"/>
                    <w:bottom w:val="single" w:sz="4" w:space="0" w:color="auto"/>
                    <w:right w:val="single" w:sz="4" w:space="0" w:color="auto"/>
                  </w:tcBorders>
                  <w:vAlign w:val="center"/>
                  <w:hideMark/>
                </w:tcPr>
                <w:p w14:paraId="27511F95" w14:textId="77777777" w:rsidR="00D70720" w:rsidRPr="000B6D03" w:rsidRDefault="00D70720" w:rsidP="00D70720">
                  <w:pPr>
                    <w:jc w:val="left"/>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Cheminis deguonies  suvartojimas  (ChDS)</w:t>
                  </w:r>
                </w:p>
              </w:tc>
              <w:tc>
                <w:tcPr>
                  <w:tcW w:w="894" w:type="pct"/>
                  <w:tcBorders>
                    <w:top w:val="nil"/>
                    <w:left w:val="nil"/>
                    <w:bottom w:val="single" w:sz="4" w:space="0" w:color="auto"/>
                    <w:right w:val="single" w:sz="4" w:space="0" w:color="auto"/>
                  </w:tcBorders>
                  <w:vAlign w:val="center"/>
                  <w:hideMark/>
                </w:tcPr>
                <w:p w14:paraId="6E356B6C"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kg/d</w:t>
                  </w:r>
                </w:p>
              </w:tc>
              <w:tc>
                <w:tcPr>
                  <w:tcW w:w="843" w:type="pct"/>
                  <w:tcBorders>
                    <w:top w:val="nil"/>
                    <w:left w:val="nil"/>
                    <w:bottom w:val="single" w:sz="4" w:space="0" w:color="auto"/>
                    <w:right w:val="single" w:sz="4" w:space="0" w:color="auto"/>
                  </w:tcBorders>
                  <w:vAlign w:val="center"/>
                  <w:hideMark/>
                </w:tcPr>
                <w:p w14:paraId="1266F557" w14:textId="3A0289D4"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20,6</w:t>
                  </w:r>
                </w:p>
              </w:tc>
            </w:tr>
            <w:tr w:rsidR="00C60161" w:rsidRPr="000B6D03" w14:paraId="63A6FD83" w14:textId="77777777" w:rsidTr="00E84088">
              <w:trPr>
                <w:trHeight w:val="312"/>
              </w:trPr>
              <w:tc>
                <w:tcPr>
                  <w:tcW w:w="482" w:type="pct"/>
                  <w:vMerge/>
                  <w:tcBorders>
                    <w:top w:val="nil"/>
                    <w:left w:val="single" w:sz="4" w:space="0" w:color="auto"/>
                    <w:bottom w:val="single" w:sz="4" w:space="0" w:color="auto"/>
                    <w:right w:val="single" w:sz="4" w:space="0" w:color="auto"/>
                  </w:tcBorders>
                  <w:vAlign w:val="center"/>
                  <w:hideMark/>
                </w:tcPr>
                <w:p w14:paraId="05D30171" w14:textId="77777777" w:rsidR="00D70720" w:rsidRPr="000B6D03" w:rsidRDefault="00D70720" w:rsidP="00D70720">
                  <w:pPr>
                    <w:jc w:val="left"/>
                    <w:rPr>
                      <w:rFonts w:ascii="Times New Roman" w:eastAsia="Times New Roman" w:hAnsi="Times New Roman" w:cs="Times New Roman"/>
                      <w:sz w:val="16"/>
                      <w:szCs w:val="16"/>
                      <w:lang w:val="en-US"/>
                    </w:rPr>
                  </w:pPr>
                </w:p>
              </w:tc>
              <w:tc>
                <w:tcPr>
                  <w:tcW w:w="2781" w:type="pct"/>
                  <w:vMerge/>
                  <w:tcBorders>
                    <w:top w:val="nil"/>
                    <w:left w:val="single" w:sz="4" w:space="0" w:color="auto"/>
                    <w:bottom w:val="single" w:sz="4" w:space="0" w:color="auto"/>
                    <w:right w:val="single" w:sz="4" w:space="0" w:color="auto"/>
                  </w:tcBorders>
                  <w:vAlign w:val="center"/>
                  <w:hideMark/>
                </w:tcPr>
                <w:p w14:paraId="0AEB0FDD" w14:textId="77777777" w:rsidR="00D70720" w:rsidRPr="000B6D03" w:rsidRDefault="00D70720" w:rsidP="00D70720">
                  <w:pPr>
                    <w:jc w:val="left"/>
                    <w:rPr>
                      <w:rFonts w:ascii="Times New Roman" w:eastAsia="Times New Roman" w:hAnsi="Times New Roman" w:cs="Times New Roman"/>
                      <w:sz w:val="16"/>
                      <w:szCs w:val="16"/>
                      <w:lang w:val="en-US"/>
                    </w:rPr>
                  </w:pPr>
                </w:p>
              </w:tc>
              <w:tc>
                <w:tcPr>
                  <w:tcW w:w="894" w:type="pct"/>
                  <w:tcBorders>
                    <w:top w:val="nil"/>
                    <w:left w:val="nil"/>
                    <w:bottom w:val="single" w:sz="4" w:space="0" w:color="auto"/>
                    <w:right w:val="single" w:sz="4" w:space="0" w:color="auto"/>
                  </w:tcBorders>
                  <w:vAlign w:val="center"/>
                  <w:hideMark/>
                </w:tcPr>
                <w:p w14:paraId="76CC5385"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mg/l</w:t>
                  </w:r>
                </w:p>
              </w:tc>
              <w:tc>
                <w:tcPr>
                  <w:tcW w:w="843" w:type="pct"/>
                  <w:tcBorders>
                    <w:top w:val="nil"/>
                    <w:left w:val="nil"/>
                    <w:bottom w:val="single" w:sz="4" w:space="0" w:color="auto"/>
                    <w:right w:val="single" w:sz="4" w:space="0" w:color="auto"/>
                  </w:tcBorders>
                  <w:vAlign w:val="center"/>
                  <w:hideMark/>
                </w:tcPr>
                <w:p w14:paraId="17AD050A" w14:textId="0BC0BB0C"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515</w:t>
                  </w:r>
                </w:p>
              </w:tc>
            </w:tr>
            <w:tr w:rsidR="00C60161" w:rsidRPr="000B6D03" w14:paraId="49E05329" w14:textId="77777777" w:rsidTr="00E84088">
              <w:trPr>
                <w:trHeight w:val="324"/>
              </w:trPr>
              <w:tc>
                <w:tcPr>
                  <w:tcW w:w="482" w:type="pct"/>
                  <w:vMerge w:val="restart"/>
                  <w:tcBorders>
                    <w:top w:val="nil"/>
                    <w:left w:val="single" w:sz="4" w:space="0" w:color="auto"/>
                    <w:bottom w:val="single" w:sz="4" w:space="0" w:color="auto"/>
                    <w:right w:val="single" w:sz="4" w:space="0" w:color="auto"/>
                  </w:tcBorders>
                  <w:vAlign w:val="center"/>
                  <w:hideMark/>
                </w:tcPr>
                <w:p w14:paraId="1858833A"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3.</w:t>
                  </w:r>
                </w:p>
              </w:tc>
              <w:tc>
                <w:tcPr>
                  <w:tcW w:w="2781" w:type="pct"/>
                  <w:vMerge w:val="restart"/>
                  <w:tcBorders>
                    <w:top w:val="nil"/>
                    <w:left w:val="single" w:sz="4" w:space="0" w:color="auto"/>
                    <w:bottom w:val="single" w:sz="4" w:space="0" w:color="auto"/>
                    <w:right w:val="single" w:sz="4" w:space="0" w:color="auto"/>
                  </w:tcBorders>
                  <w:vAlign w:val="center"/>
                  <w:hideMark/>
                </w:tcPr>
                <w:p w14:paraId="16AF0C7C" w14:textId="77777777" w:rsidR="00D70720" w:rsidRPr="000B6D03" w:rsidRDefault="00D70720" w:rsidP="00D70720">
                  <w:pPr>
                    <w:jc w:val="left"/>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Skendinčios medžiagos (SM)</w:t>
                  </w:r>
                </w:p>
              </w:tc>
              <w:tc>
                <w:tcPr>
                  <w:tcW w:w="894" w:type="pct"/>
                  <w:tcBorders>
                    <w:top w:val="nil"/>
                    <w:left w:val="nil"/>
                    <w:bottom w:val="single" w:sz="4" w:space="0" w:color="auto"/>
                    <w:right w:val="single" w:sz="4" w:space="0" w:color="auto"/>
                  </w:tcBorders>
                  <w:vAlign w:val="center"/>
                  <w:hideMark/>
                </w:tcPr>
                <w:p w14:paraId="547E9E4D"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kg/d</w:t>
                  </w:r>
                </w:p>
              </w:tc>
              <w:tc>
                <w:tcPr>
                  <w:tcW w:w="843" w:type="pct"/>
                  <w:tcBorders>
                    <w:top w:val="nil"/>
                    <w:left w:val="nil"/>
                    <w:bottom w:val="single" w:sz="4" w:space="0" w:color="auto"/>
                    <w:right w:val="single" w:sz="4" w:space="0" w:color="auto"/>
                  </w:tcBorders>
                  <w:vAlign w:val="center"/>
                  <w:hideMark/>
                </w:tcPr>
                <w:p w14:paraId="188BE517" w14:textId="222DFBF0"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15,2</w:t>
                  </w:r>
                </w:p>
              </w:tc>
            </w:tr>
            <w:tr w:rsidR="00C60161" w:rsidRPr="000B6D03" w14:paraId="4003F5EE" w14:textId="77777777" w:rsidTr="00E84088">
              <w:trPr>
                <w:trHeight w:val="312"/>
              </w:trPr>
              <w:tc>
                <w:tcPr>
                  <w:tcW w:w="482" w:type="pct"/>
                  <w:vMerge/>
                  <w:tcBorders>
                    <w:top w:val="nil"/>
                    <w:left w:val="single" w:sz="4" w:space="0" w:color="auto"/>
                    <w:bottom w:val="single" w:sz="4" w:space="0" w:color="auto"/>
                    <w:right w:val="single" w:sz="4" w:space="0" w:color="auto"/>
                  </w:tcBorders>
                  <w:vAlign w:val="center"/>
                  <w:hideMark/>
                </w:tcPr>
                <w:p w14:paraId="3DE32163" w14:textId="77777777" w:rsidR="00D70720" w:rsidRPr="000B6D03" w:rsidRDefault="00D70720" w:rsidP="00D70720">
                  <w:pPr>
                    <w:jc w:val="left"/>
                    <w:rPr>
                      <w:rFonts w:ascii="Times New Roman" w:eastAsia="Times New Roman" w:hAnsi="Times New Roman" w:cs="Times New Roman"/>
                      <w:sz w:val="16"/>
                      <w:szCs w:val="16"/>
                      <w:lang w:val="en-US"/>
                    </w:rPr>
                  </w:pPr>
                </w:p>
              </w:tc>
              <w:tc>
                <w:tcPr>
                  <w:tcW w:w="2781" w:type="pct"/>
                  <w:vMerge/>
                  <w:tcBorders>
                    <w:top w:val="nil"/>
                    <w:left w:val="single" w:sz="4" w:space="0" w:color="auto"/>
                    <w:bottom w:val="single" w:sz="4" w:space="0" w:color="auto"/>
                    <w:right w:val="single" w:sz="4" w:space="0" w:color="auto"/>
                  </w:tcBorders>
                  <w:vAlign w:val="center"/>
                  <w:hideMark/>
                </w:tcPr>
                <w:p w14:paraId="4D84B678" w14:textId="77777777" w:rsidR="00D70720" w:rsidRPr="000B6D03" w:rsidRDefault="00D70720" w:rsidP="00D70720">
                  <w:pPr>
                    <w:jc w:val="left"/>
                    <w:rPr>
                      <w:rFonts w:ascii="Times New Roman" w:eastAsia="Times New Roman" w:hAnsi="Times New Roman" w:cs="Times New Roman"/>
                      <w:sz w:val="16"/>
                      <w:szCs w:val="16"/>
                      <w:lang w:val="en-US"/>
                    </w:rPr>
                  </w:pPr>
                </w:p>
              </w:tc>
              <w:tc>
                <w:tcPr>
                  <w:tcW w:w="894" w:type="pct"/>
                  <w:tcBorders>
                    <w:top w:val="nil"/>
                    <w:left w:val="nil"/>
                    <w:bottom w:val="single" w:sz="4" w:space="0" w:color="auto"/>
                    <w:right w:val="single" w:sz="4" w:space="0" w:color="auto"/>
                  </w:tcBorders>
                  <w:vAlign w:val="center"/>
                  <w:hideMark/>
                </w:tcPr>
                <w:p w14:paraId="7758FBD2"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mg/l</w:t>
                  </w:r>
                </w:p>
              </w:tc>
              <w:tc>
                <w:tcPr>
                  <w:tcW w:w="843" w:type="pct"/>
                  <w:tcBorders>
                    <w:top w:val="nil"/>
                    <w:left w:val="nil"/>
                    <w:bottom w:val="single" w:sz="4" w:space="0" w:color="auto"/>
                    <w:right w:val="single" w:sz="4" w:space="0" w:color="auto"/>
                  </w:tcBorders>
                  <w:vAlign w:val="center"/>
                  <w:hideMark/>
                </w:tcPr>
                <w:p w14:paraId="2BC1AC83" w14:textId="782A0FA2"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380</w:t>
                  </w:r>
                </w:p>
              </w:tc>
            </w:tr>
            <w:tr w:rsidR="00C60161" w:rsidRPr="000B6D03" w14:paraId="6BC9FD9A" w14:textId="77777777" w:rsidTr="00E84088">
              <w:trPr>
                <w:trHeight w:val="312"/>
              </w:trPr>
              <w:tc>
                <w:tcPr>
                  <w:tcW w:w="482" w:type="pct"/>
                  <w:vMerge w:val="restart"/>
                  <w:tcBorders>
                    <w:top w:val="nil"/>
                    <w:left w:val="single" w:sz="4" w:space="0" w:color="auto"/>
                    <w:bottom w:val="single" w:sz="4" w:space="0" w:color="auto"/>
                    <w:right w:val="single" w:sz="4" w:space="0" w:color="auto"/>
                  </w:tcBorders>
                  <w:vAlign w:val="center"/>
                  <w:hideMark/>
                </w:tcPr>
                <w:p w14:paraId="72FE8B37"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4.</w:t>
                  </w:r>
                </w:p>
              </w:tc>
              <w:tc>
                <w:tcPr>
                  <w:tcW w:w="2781" w:type="pct"/>
                  <w:vMerge w:val="restart"/>
                  <w:tcBorders>
                    <w:top w:val="nil"/>
                    <w:left w:val="single" w:sz="4" w:space="0" w:color="auto"/>
                    <w:bottom w:val="single" w:sz="4" w:space="0" w:color="auto"/>
                    <w:right w:val="single" w:sz="4" w:space="0" w:color="auto"/>
                  </w:tcBorders>
                  <w:vAlign w:val="center"/>
                  <w:hideMark/>
                </w:tcPr>
                <w:p w14:paraId="2A2FC26E" w14:textId="77777777" w:rsidR="00D70720" w:rsidRPr="000B6D03" w:rsidRDefault="00D70720" w:rsidP="00D70720">
                  <w:pPr>
                    <w:jc w:val="left"/>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Bendrasis  azotas  (N</w:t>
                  </w:r>
                  <w:r w:rsidRPr="000B6D03">
                    <w:rPr>
                      <w:rFonts w:ascii="Times New Roman" w:eastAsia="Times New Roman" w:hAnsi="Times New Roman" w:cs="Times New Roman"/>
                      <w:sz w:val="16"/>
                      <w:szCs w:val="16"/>
                      <w:vertAlign w:val="subscript"/>
                    </w:rPr>
                    <w:t>b</w:t>
                  </w:r>
                  <w:r w:rsidRPr="000B6D03">
                    <w:rPr>
                      <w:rFonts w:ascii="Times New Roman" w:eastAsia="Times New Roman" w:hAnsi="Times New Roman" w:cs="Times New Roman"/>
                      <w:sz w:val="16"/>
                      <w:szCs w:val="16"/>
                    </w:rPr>
                    <w:t>)</w:t>
                  </w:r>
                </w:p>
              </w:tc>
              <w:tc>
                <w:tcPr>
                  <w:tcW w:w="894" w:type="pct"/>
                  <w:tcBorders>
                    <w:top w:val="nil"/>
                    <w:left w:val="nil"/>
                    <w:bottom w:val="single" w:sz="4" w:space="0" w:color="auto"/>
                    <w:right w:val="single" w:sz="4" w:space="0" w:color="auto"/>
                  </w:tcBorders>
                  <w:vAlign w:val="center"/>
                  <w:hideMark/>
                </w:tcPr>
                <w:p w14:paraId="0542BCC6"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kg/d</w:t>
                  </w:r>
                </w:p>
              </w:tc>
              <w:tc>
                <w:tcPr>
                  <w:tcW w:w="843" w:type="pct"/>
                  <w:tcBorders>
                    <w:top w:val="nil"/>
                    <w:left w:val="nil"/>
                    <w:bottom w:val="single" w:sz="4" w:space="0" w:color="auto"/>
                    <w:right w:val="single" w:sz="4" w:space="0" w:color="auto"/>
                  </w:tcBorders>
                  <w:vAlign w:val="center"/>
                  <w:hideMark/>
                </w:tcPr>
                <w:p w14:paraId="6C509DFE" w14:textId="7AE3B819"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2,4</w:t>
                  </w:r>
                </w:p>
              </w:tc>
            </w:tr>
            <w:tr w:rsidR="00C60161" w:rsidRPr="000B6D03" w14:paraId="326B1154" w14:textId="77777777" w:rsidTr="00E84088">
              <w:trPr>
                <w:trHeight w:val="312"/>
              </w:trPr>
              <w:tc>
                <w:tcPr>
                  <w:tcW w:w="482" w:type="pct"/>
                  <w:vMerge/>
                  <w:tcBorders>
                    <w:top w:val="nil"/>
                    <w:left w:val="single" w:sz="4" w:space="0" w:color="auto"/>
                    <w:bottom w:val="single" w:sz="4" w:space="0" w:color="auto"/>
                    <w:right w:val="single" w:sz="4" w:space="0" w:color="auto"/>
                  </w:tcBorders>
                  <w:vAlign w:val="center"/>
                  <w:hideMark/>
                </w:tcPr>
                <w:p w14:paraId="3F12DF2D" w14:textId="77777777" w:rsidR="00D70720" w:rsidRPr="000B6D03" w:rsidRDefault="00D70720" w:rsidP="00D70720">
                  <w:pPr>
                    <w:jc w:val="left"/>
                    <w:rPr>
                      <w:rFonts w:ascii="Times New Roman" w:eastAsia="Times New Roman" w:hAnsi="Times New Roman" w:cs="Times New Roman"/>
                      <w:sz w:val="16"/>
                      <w:szCs w:val="16"/>
                      <w:lang w:val="en-US"/>
                    </w:rPr>
                  </w:pPr>
                </w:p>
              </w:tc>
              <w:tc>
                <w:tcPr>
                  <w:tcW w:w="2781" w:type="pct"/>
                  <w:vMerge/>
                  <w:tcBorders>
                    <w:top w:val="nil"/>
                    <w:left w:val="single" w:sz="4" w:space="0" w:color="auto"/>
                    <w:bottom w:val="single" w:sz="4" w:space="0" w:color="auto"/>
                    <w:right w:val="single" w:sz="4" w:space="0" w:color="auto"/>
                  </w:tcBorders>
                  <w:vAlign w:val="center"/>
                  <w:hideMark/>
                </w:tcPr>
                <w:p w14:paraId="5208A048" w14:textId="77777777" w:rsidR="00D70720" w:rsidRPr="000B6D03" w:rsidRDefault="00D70720" w:rsidP="00D70720">
                  <w:pPr>
                    <w:jc w:val="left"/>
                    <w:rPr>
                      <w:rFonts w:ascii="Times New Roman" w:eastAsia="Times New Roman" w:hAnsi="Times New Roman" w:cs="Times New Roman"/>
                      <w:sz w:val="16"/>
                      <w:szCs w:val="16"/>
                      <w:lang w:val="en-US"/>
                    </w:rPr>
                  </w:pPr>
                </w:p>
              </w:tc>
              <w:tc>
                <w:tcPr>
                  <w:tcW w:w="894" w:type="pct"/>
                  <w:tcBorders>
                    <w:top w:val="nil"/>
                    <w:left w:val="nil"/>
                    <w:bottom w:val="single" w:sz="4" w:space="0" w:color="auto"/>
                    <w:right w:val="single" w:sz="4" w:space="0" w:color="auto"/>
                  </w:tcBorders>
                  <w:vAlign w:val="center"/>
                  <w:hideMark/>
                </w:tcPr>
                <w:p w14:paraId="2FF9C951"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mg/l</w:t>
                  </w:r>
                </w:p>
              </w:tc>
              <w:tc>
                <w:tcPr>
                  <w:tcW w:w="843" w:type="pct"/>
                  <w:tcBorders>
                    <w:top w:val="nil"/>
                    <w:left w:val="nil"/>
                    <w:bottom w:val="single" w:sz="4" w:space="0" w:color="auto"/>
                    <w:right w:val="single" w:sz="4" w:space="0" w:color="auto"/>
                  </w:tcBorders>
                  <w:vAlign w:val="center"/>
                  <w:hideMark/>
                </w:tcPr>
                <w:p w14:paraId="1CACF621" w14:textId="3133002E"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60</w:t>
                  </w:r>
                </w:p>
              </w:tc>
            </w:tr>
            <w:tr w:rsidR="00C60161" w:rsidRPr="000B6D03" w14:paraId="04C1E7DE" w14:textId="77777777" w:rsidTr="00E84088">
              <w:trPr>
                <w:trHeight w:val="312"/>
              </w:trPr>
              <w:tc>
                <w:tcPr>
                  <w:tcW w:w="482" w:type="pct"/>
                  <w:vMerge w:val="restart"/>
                  <w:tcBorders>
                    <w:top w:val="nil"/>
                    <w:left w:val="single" w:sz="4" w:space="0" w:color="auto"/>
                    <w:bottom w:val="single" w:sz="4" w:space="0" w:color="auto"/>
                    <w:right w:val="single" w:sz="4" w:space="0" w:color="auto"/>
                  </w:tcBorders>
                  <w:vAlign w:val="center"/>
                  <w:hideMark/>
                </w:tcPr>
                <w:p w14:paraId="508485FA"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5.</w:t>
                  </w:r>
                </w:p>
              </w:tc>
              <w:tc>
                <w:tcPr>
                  <w:tcW w:w="2781" w:type="pct"/>
                  <w:vMerge w:val="restart"/>
                  <w:tcBorders>
                    <w:top w:val="nil"/>
                    <w:left w:val="single" w:sz="4" w:space="0" w:color="auto"/>
                    <w:bottom w:val="single" w:sz="4" w:space="0" w:color="auto"/>
                    <w:right w:val="single" w:sz="4" w:space="0" w:color="auto"/>
                  </w:tcBorders>
                  <w:vAlign w:val="center"/>
                  <w:hideMark/>
                </w:tcPr>
                <w:p w14:paraId="0714A615" w14:textId="77777777" w:rsidR="00D70720" w:rsidRPr="000B6D03" w:rsidRDefault="00D70720" w:rsidP="00D70720">
                  <w:pPr>
                    <w:jc w:val="left"/>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Bendrasis fosforas (P</w:t>
                  </w:r>
                  <w:r w:rsidRPr="000B6D03">
                    <w:rPr>
                      <w:rFonts w:ascii="Times New Roman" w:eastAsia="Times New Roman" w:hAnsi="Times New Roman" w:cs="Times New Roman"/>
                      <w:sz w:val="16"/>
                      <w:szCs w:val="16"/>
                      <w:vertAlign w:val="subscript"/>
                    </w:rPr>
                    <w:t>p</w:t>
                  </w:r>
                  <w:r w:rsidRPr="000B6D03">
                    <w:rPr>
                      <w:rFonts w:ascii="Times New Roman" w:eastAsia="Times New Roman" w:hAnsi="Times New Roman" w:cs="Times New Roman"/>
                      <w:sz w:val="16"/>
                      <w:szCs w:val="16"/>
                    </w:rPr>
                    <w:t>)</w:t>
                  </w:r>
                </w:p>
              </w:tc>
              <w:tc>
                <w:tcPr>
                  <w:tcW w:w="894" w:type="pct"/>
                  <w:tcBorders>
                    <w:top w:val="nil"/>
                    <w:left w:val="nil"/>
                    <w:bottom w:val="single" w:sz="4" w:space="0" w:color="auto"/>
                    <w:right w:val="single" w:sz="4" w:space="0" w:color="auto"/>
                  </w:tcBorders>
                  <w:vAlign w:val="center"/>
                  <w:hideMark/>
                </w:tcPr>
                <w:p w14:paraId="3E343A70"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kg/d</w:t>
                  </w:r>
                </w:p>
              </w:tc>
              <w:tc>
                <w:tcPr>
                  <w:tcW w:w="843" w:type="pct"/>
                  <w:tcBorders>
                    <w:top w:val="nil"/>
                    <w:left w:val="nil"/>
                    <w:bottom w:val="single" w:sz="4" w:space="0" w:color="auto"/>
                    <w:right w:val="single" w:sz="4" w:space="0" w:color="auto"/>
                  </w:tcBorders>
                  <w:vAlign w:val="center"/>
                  <w:hideMark/>
                </w:tcPr>
                <w:p w14:paraId="74B2A71D" w14:textId="010FC17D"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0,28</w:t>
                  </w:r>
                </w:p>
              </w:tc>
            </w:tr>
            <w:tr w:rsidR="00C60161" w:rsidRPr="000B6D03" w14:paraId="1935D527" w14:textId="77777777" w:rsidTr="00E84088">
              <w:trPr>
                <w:trHeight w:val="312"/>
              </w:trPr>
              <w:tc>
                <w:tcPr>
                  <w:tcW w:w="482" w:type="pct"/>
                  <w:vMerge/>
                  <w:tcBorders>
                    <w:top w:val="nil"/>
                    <w:left w:val="single" w:sz="4" w:space="0" w:color="auto"/>
                    <w:bottom w:val="single" w:sz="4" w:space="0" w:color="auto"/>
                    <w:right w:val="single" w:sz="4" w:space="0" w:color="auto"/>
                  </w:tcBorders>
                  <w:vAlign w:val="center"/>
                  <w:hideMark/>
                </w:tcPr>
                <w:p w14:paraId="1DE8EB85" w14:textId="77777777" w:rsidR="00D70720" w:rsidRPr="000B6D03" w:rsidRDefault="00D70720" w:rsidP="00D70720">
                  <w:pPr>
                    <w:jc w:val="left"/>
                    <w:rPr>
                      <w:rFonts w:ascii="Times New Roman" w:eastAsia="Times New Roman" w:hAnsi="Times New Roman" w:cs="Times New Roman"/>
                      <w:sz w:val="16"/>
                      <w:szCs w:val="16"/>
                      <w:lang w:val="en-US"/>
                    </w:rPr>
                  </w:pPr>
                </w:p>
              </w:tc>
              <w:tc>
                <w:tcPr>
                  <w:tcW w:w="2781" w:type="pct"/>
                  <w:vMerge/>
                  <w:tcBorders>
                    <w:top w:val="nil"/>
                    <w:left w:val="single" w:sz="4" w:space="0" w:color="auto"/>
                    <w:bottom w:val="single" w:sz="4" w:space="0" w:color="auto"/>
                    <w:right w:val="single" w:sz="4" w:space="0" w:color="auto"/>
                  </w:tcBorders>
                  <w:vAlign w:val="center"/>
                  <w:hideMark/>
                </w:tcPr>
                <w:p w14:paraId="0BA005D1" w14:textId="77777777" w:rsidR="00D70720" w:rsidRPr="000B6D03" w:rsidRDefault="00D70720" w:rsidP="00D70720">
                  <w:pPr>
                    <w:jc w:val="left"/>
                    <w:rPr>
                      <w:rFonts w:ascii="Times New Roman" w:eastAsia="Times New Roman" w:hAnsi="Times New Roman" w:cs="Times New Roman"/>
                      <w:sz w:val="16"/>
                      <w:szCs w:val="16"/>
                      <w:lang w:val="en-US"/>
                    </w:rPr>
                  </w:pPr>
                </w:p>
              </w:tc>
              <w:tc>
                <w:tcPr>
                  <w:tcW w:w="894" w:type="pct"/>
                  <w:tcBorders>
                    <w:top w:val="nil"/>
                    <w:left w:val="nil"/>
                    <w:bottom w:val="single" w:sz="4" w:space="0" w:color="auto"/>
                    <w:right w:val="single" w:sz="4" w:space="0" w:color="auto"/>
                  </w:tcBorders>
                  <w:vAlign w:val="center"/>
                  <w:hideMark/>
                </w:tcPr>
                <w:p w14:paraId="150BD4C2"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mg/l</w:t>
                  </w:r>
                </w:p>
              </w:tc>
              <w:tc>
                <w:tcPr>
                  <w:tcW w:w="843" w:type="pct"/>
                  <w:tcBorders>
                    <w:top w:val="nil"/>
                    <w:left w:val="nil"/>
                    <w:bottom w:val="single" w:sz="4" w:space="0" w:color="auto"/>
                    <w:right w:val="single" w:sz="4" w:space="0" w:color="auto"/>
                  </w:tcBorders>
                  <w:vAlign w:val="center"/>
                  <w:hideMark/>
                </w:tcPr>
                <w:p w14:paraId="01EDC1F0" w14:textId="08DBB279"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7,0</w:t>
                  </w:r>
                </w:p>
              </w:tc>
            </w:tr>
            <w:tr w:rsidR="00C60161" w:rsidRPr="000B6D03" w14:paraId="6EBDDECB" w14:textId="77777777" w:rsidTr="00E84088">
              <w:trPr>
                <w:trHeight w:val="312"/>
              </w:trPr>
              <w:tc>
                <w:tcPr>
                  <w:tcW w:w="482" w:type="pct"/>
                  <w:tcBorders>
                    <w:top w:val="nil"/>
                    <w:left w:val="single" w:sz="4" w:space="0" w:color="auto"/>
                    <w:bottom w:val="single" w:sz="4" w:space="0" w:color="auto"/>
                    <w:right w:val="single" w:sz="4" w:space="0" w:color="auto"/>
                  </w:tcBorders>
                  <w:vAlign w:val="center"/>
                  <w:hideMark/>
                </w:tcPr>
                <w:p w14:paraId="413EFF27"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6.</w:t>
                  </w:r>
                </w:p>
              </w:tc>
              <w:tc>
                <w:tcPr>
                  <w:tcW w:w="2781" w:type="pct"/>
                  <w:tcBorders>
                    <w:top w:val="nil"/>
                    <w:left w:val="nil"/>
                    <w:bottom w:val="single" w:sz="4" w:space="0" w:color="auto"/>
                    <w:right w:val="single" w:sz="4" w:space="0" w:color="auto"/>
                  </w:tcBorders>
                  <w:vAlign w:val="center"/>
                  <w:hideMark/>
                </w:tcPr>
                <w:p w14:paraId="28CF5EAD" w14:textId="77777777" w:rsidR="00D70720" w:rsidRPr="000B6D03" w:rsidRDefault="00D70720" w:rsidP="00D70720">
                  <w:pPr>
                    <w:jc w:val="left"/>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Ekvivalentinis gyventojų skaičius</w:t>
                  </w:r>
                </w:p>
              </w:tc>
              <w:tc>
                <w:tcPr>
                  <w:tcW w:w="894" w:type="pct"/>
                  <w:tcBorders>
                    <w:top w:val="nil"/>
                    <w:left w:val="nil"/>
                    <w:bottom w:val="single" w:sz="4" w:space="0" w:color="auto"/>
                    <w:right w:val="single" w:sz="4" w:space="0" w:color="auto"/>
                  </w:tcBorders>
                  <w:vAlign w:val="center"/>
                  <w:hideMark/>
                </w:tcPr>
                <w:p w14:paraId="366FCEB7" w14:textId="77777777"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GE</w:t>
                  </w:r>
                </w:p>
              </w:tc>
              <w:tc>
                <w:tcPr>
                  <w:tcW w:w="843" w:type="pct"/>
                  <w:tcBorders>
                    <w:top w:val="nil"/>
                    <w:left w:val="nil"/>
                    <w:bottom w:val="single" w:sz="4" w:space="0" w:color="auto"/>
                    <w:right w:val="single" w:sz="4" w:space="0" w:color="auto"/>
                  </w:tcBorders>
                  <w:vAlign w:val="center"/>
                  <w:hideMark/>
                </w:tcPr>
                <w:p w14:paraId="7A5A2156" w14:textId="472C9EEB" w:rsidR="00D70720" w:rsidRPr="000B6D03" w:rsidRDefault="00D70720" w:rsidP="00D70720">
                  <w:pPr>
                    <w:jc w:val="center"/>
                    <w:rPr>
                      <w:rFonts w:ascii="Times New Roman" w:eastAsia="Times New Roman" w:hAnsi="Times New Roman" w:cs="Times New Roman"/>
                      <w:sz w:val="16"/>
                      <w:szCs w:val="16"/>
                      <w:lang w:val="en-US"/>
                    </w:rPr>
                  </w:pPr>
                  <w:r w:rsidRPr="000B6D03">
                    <w:rPr>
                      <w:rFonts w:ascii="Times New Roman" w:eastAsia="Times New Roman" w:hAnsi="Times New Roman" w:cs="Times New Roman"/>
                      <w:bCs/>
                      <w:sz w:val="16"/>
                      <w:szCs w:val="16"/>
                    </w:rPr>
                    <w:t>151</w:t>
                  </w:r>
                </w:p>
              </w:tc>
            </w:tr>
          </w:tbl>
          <w:p w14:paraId="1E39332F" w14:textId="77777777" w:rsidR="005970D8" w:rsidRPr="000B6D03" w:rsidRDefault="005970D8" w:rsidP="005970D8">
            <w:pPr>
              <w:rPr>
                <w:rFonts w:ascii="Times New Roman" w:hAnsi="Times New Roman" w:cs="Times New Roman"/>
                <w:sz w:val="20"/>
                <w:szCs w:val="20"/>
              </w:rPr>
            </w:pPr>
          </w:p>
        </w:tc>
      </w:tr>
      <w:tr w:rsidR="005970D8" w:rsidRPr="000B6D03" w14:paraId="27022297" w14:textId="77777777" w:rsidTr="00D96461">
        <w:tc>
          <w:tcPr>
            <w:tcW w:w="451" w:type="dxa"/>
          </w:tcPr>
          <w:p w14:paraId="506C7CCE" w14:textId="77777777" w:rsidR="005970D8" w:rsidRPr="000B6D03" w:rsidRDefault="005970D8" w:rsidP="005970D8">
            <w:pPr>
              <w:numPr>
                <w:ilvl w:val="0"/>
                <w:numId w:val="5"/>
              </w:numPr>
              <w:ind w:left="-109" w:right="-131" w:firstLine="0"/>
              <w:contextualSpacing/>
              <w:rPr>
                <w:rFonts w:ascii="Times New Roman" w:hAnsi="Times New Roman" w:cs="Times New Roman"/>
                <w:sz w:val="20"/>
                <w:szCs w:val="20"/>
              </w:rPr>
            </w:pPr>
          </w:p>
        </w:tc>
        <w:tc>
          <w:tcPr>
            <w:tcW w:w="5050" w:type="dxa"/>
          </w:tcPr>
          <w:p w14:paraId="6CFCD8AE" w14:textId="13136F31" w:rsidR="005970D8" w:rsidRPr="000B6D03" w:rsidRDefault="005970D8" w:rsidP="005970D8">
            <w:pPr>
              <w:rPr>
                <w:rFonts w:ascii="Times New Roman" w:hAnsi="Times New Roman" w:cs="Times New Roman"/>
                <w:sz w:val="20"/>
                <w:szCs w:val="20"/>
              </w:rPr>
            </w:pPr>
            <w:r w:rsidRPr="000B6D03">
              <w:rPr>
                <w:rFonts w:ascii="Times New Roman" w:hAnsi="Times New Roman" w:cs="Times New Roman"/>
                <w:sz w:val="20"/>
                <w:szCs w:val="20"/>
              </w:rPr>
              <w:t xml:space="preserve">Efektyvumo garantijų žiniaraštyje nustatyta Rangovo atsakomybė nėra ribojama nei maksimaliu baudų dydžiu, nei siejama su realiais Užsakovo nuostoliais ar jam taikomomis aplinkosauginėmis sankcijomis. Baudos skaičiuojamos nuo visos Sutarties kainos, todėl gali akivaizdžiai viršyti galimą žalą. Pažymime, kad civilinėje teisėje netesybos atlieka kompensacinę, o ne baudžiamąją funkciją, todėl Rangovo atsakomybė turi būti: proporcinga galimiems nuostoliams, aiškiai apribota (maksimali riba), nesukurianti nepagrįsto Užsakovo praturtėjimo. Prašome </w:t>
            </w:r>
            <w:r w:rsidRPr="000B6D03">
              <w:rPr>
                <w:rFonts w:ascii="Times New Roman" w:hAnsi="Times New Roman" w:cs="Times New Roman"/>
                <w:sz w:val="20"/>
                <w:szCs w:val="20"/>
              </w:rPr>
              <w:lastRenderedPageBreak/>
              <w:t>patikslinti pirkimo dokumentus, nustatant maksimalią bendrą Rangovo atsakomybės ribą pagal Efektyvumo garantijas ir aiškiai susiejant ją su faktiškai patirtais Užsakovo nuostoliais ar jam taikomomis sankcijomis.</w:t>
            </w:r>
          </w:p>
        </w:tc>
        <w:tc>
          <w:tcPr>
            <w:tcW w:w="4127" w:type="dxa"/>
          </w:tcPr>
          <w:p w14:paraId="2503C09D" w14:textId="77777777" w:rsidR="005970D8" w:rsidRPr="000B6D03" w:rsidRDefault="005970D8" w:rsidP="005970D8">
            <w:pPr>
              <w:jc w:val="both"/>
              <w:rPr>
                <w:rFonts w:ascii="Times New Roman" w:hAnsi="Times New Roman" w:cs="Times New Roman"/>
                <w:sz w:val="20"/>
                <w:szCs w:val="20"/>
              </w:rPr>
            </w:pPr>
            <w:r w:rsidRPr="000B6D03">
              <w:rPr>
                <w:rFonts w:ascii="Times New Roman" w:hAnsi="Times New Roman" w:cs="Times New Roman"/>
                <w:sz w:val="20"/>
                <w:szCs w:val="20"/>
              </w:rPr>
              <w:lastRenderedPageBreak/>
              <w:t>Nustatytos baudos nėra abstrakčios ar neapibrėžtos – jos siejamos su objektyviai išmatuojamu išleidžiamų valytų nuotekų kokybės rodiklių viršijimu. Šie rodikliai yra esminiai pirkimo objektui ir tiesiogiai susiję su pagrindiniu Sutarties rezultatu – tinkamai veikiančiais nuotekų valymo įrenginiais bei išleidžiamų valytų nuotekų atitiktimi pirkimo dokumentuose nustatytiems reikalavimams.</w:t>
            </w:r>
          </w:p>
          <w:p w14:paraId="1C0102E8" w14:textId="77777777" w:rsidR="005970D8" w:rsidRPr="000B6D03" w:rsidRDefault="005970D8" w:rsidP="005970D8">
            <w:pPr>
              <w:jc w:val="both"/>
              <w:rPr>
                <w:rFonts w:ascii="Times New Roman" w:hAnsi="Times New Roman" w:cs="Times New Roman"/>
                <w:sz w:val="20"/>
                <w:szCs w:val="20"/>
              </w:rPr>
            </w:pPr>
            <w:r w:rsidRPr="000B6D03">
              <w:rPr>
                <w:rFonts w:ascii="Times New Roman" w:hAnsi="Times New Roman" w:cs="Times New Roman"/>
                <w:sz w:val="20"/>
                <w:szCs w:val="20"/>
              </w:rPr>
              <w:lastRenderedPageBreak/>
              <w:t>Tiekėjo siūlymas baudas sieti tik su Užsakovo faktiškai patirtais nuostoliais ar jam pritaikytomis sankcijomis iš esmės paneigtų netesybų ir efektyvumo garantijų paskirtį, nes kiekvienu atveju Užsakovas turėtų atskirai įrodinėti patirtų nuostolių dydį, nors išleidžiamų valytų nuotekų neatitiktis gali lemti ne tik tiesiogines sankcijas, bet ir papildomas eksploatacines, technologines, aplinkosaugines bei kitas rizikas.</w:t>
            </w:r>
          </w:p>
          <w:p w14:paraId="6DD936C6" w14:textId="77777777" w:rsidR="005970D8" w:rsidRPr="000B6D03" w:rsidRDefault="005970D8" w:rsidP="005970D8">
            <w:pPr>
              <w:jc w:val="both"/>
              <w:rPr>
                <w:rFonts w:ascii="Times New Roman" w:hAnsi="Times New Roman" w:cs="Times New Roman"/>
                <w:sz w:val="20"/>
                <w:szCs w:val="20"/>
              </w:rPr>
            </w:pPr>
            <w:r w:rsidRPr="000B6D03">
              <w:rPr>
                <w:rFonts w:ascii="Times New Roman" w:hAnsi="Times New Roman" w:cs="Times New Roman"/>
                <w:sz w:val="20"/>
                <w:szCs w:val="20"/>
              </w:rPr>
              <w:t>Perkančioji organizacija taip pat nesutinka, kad baudų skaičiavimas nuo Sutarties kainos savaime yra neproporcingas. Efektyvumo garantijos yra susijusios su viso pirkimo objekto galutiniu rezultatu, o ne su atskiru darbų ar įrangos elementu. Jeigu garantuojami išvalymo rodikliai nėra pasiekiami, Užsakovas negauna to rezultato, dėl kurio sudaroma Sutartis.</w:t>
            </w:r>
          </w:p>
          <w:p w14:paraId="4117487C" w14:textId="77777777" w:rsidR="005970D8" w:rsidRPr="000B6D03" w:rsidRDefault="005970D8" w:rsidP="005970D8">
            <w:pPr>
              <w:jc w:val="both"/>
              <w:rPr>
                <w:rFonts w:ascii="Times New Roman" w:hAnsi="Times New Roman" w:cs="Times New Roman"/>
                <w:sz w:val="20"/>
                <w:szCs w:val="20"/>
              </w:rPr>
            </w:pPr>
            <w:r w:rsidRPr="000B6D03">
              <w:rPr>
                <w:rFonts w:ascii="Times New Roman" w:hAnsi="Times New Roman" w:cs="Times New Roman"/>
                <w:sz w:val="20"/>
                <w:szCs w:val="20"/>
              </w:rPr>
              <w:t>Nustatytas baudų mechanizmas yra aiškus, objektyvus, vienodai taikomas visiems tiekėjams ir leidžia tiekėjams įsivertinti riziką rengiant pasiūlymą. Todėl nėra pagrindo keisti pirkimo dokumentų ir nustatyti tiekėjo prašomą maksimalią bendrą atsakomybės ribą ar sieti baudas tik su faktiškai Užsakovo patirtais nuostoliais ar jam pritaikytomis sankcijomis.</w:t>
            </w:r>
          </w:p>
          <w:p w14:paraId="3B116FFD" w14:textId="35448EF2" w:rsidR="005970D8" w:rsidRPr="000B6D03" w:rsidRDefault="005970D8" w:rsidP="005970D8">
            <w:pPr>
              <w:rPr>
                <w:rFonts w:ascii="Times New Roman" w:hAnsi="Times New Roman" w:cs="Times New Roman"/>
                <w:sz w:val="20"/>
                <w:szCs w:val="20"/>
              </w:rPr>
            </w:pPr>
            <w:r w:rsidRPr="000B6D03">
              <w:rPr>
                <w:rFonts w:ascii="Times New Roman" w:hAnsi="Times New Roman" w:cs="Times New Roman"/>
                <w:sz w:val="20"/>
                <w:szCs w:val="20"/>
              </w:rPr>
              <w:t>Atsižvelgiant į tai, tiekėjo prašymas netenkinamas, pirkimo dokumentų nuostatos nekeičiamos.</w:t>
            </w:r>
          </w:p>
        </w:tc>
      </w:tr>
      <w:tr w:rsidR="005970D8" w:rsidRPr="000B6D03" w14:paraId="25CE0502" w14:textId="77777777" w:rsidTr="00D96461">
        <w:tc>
          <w:tcPr>
            <w:tcW w:w="451" w:type="dxa"/>
          </w:tcPr>
          <w:p w14:paraId="1F750DC0" w14:textId="77777777" w:rsidR="005970D8" w:rsidRPr="000B6D03" w:rsidRDefault="005970D8" w:rsidP="005970D8">
            <w:pPr>
              <w:numPr>
                <w:ilvl w:val="0"/>
                <w:numId w:val="5"/>
              </w:numPr>
              <w:ind w:left="-109" w:right="-131" w:firstLine="0"/>
              <w:contextualSpacing/>
              <w:rPr>
                <w:rFonts w:ascii="Times New Roman" w:hAnsi="Times New Roman" w:cs="Times New Roman"/>
                <w:sz w:val="20"/>
                <w:szCs w:val="20"/>
              </w:rPr>
            </w:pPr>
          </w:p>
        </w:tc>
        <w:tc>
          <w:tcPr>
            <w:tcW w:w="5050" w:type="dxa"/>
          </w:tcPr>
          <w:p w14:paraId="689D4FF8" w14:textId="6B9D604C" w:rsidR="005970D8" w:rsidRPr="000B6D03" w:rsidRDefault="005970D8" w:rsidP="005970D8">
            <w:pPr>
              <w:rPr>
                <w:rFonts w:ascii="Times New Roman" w:hAnsi="Times New Roman" w:cs="Times New Roman"/>
                <w:sz w:val="20"/>
                <w:szCs w:val="20"/>
              </w:rPr>
            </w:pPr>
            <w:r w:rsidRPr="000B6D03">
              <w:rPr>
                <w:rFonts w:ascii="Times New Roman" w:hAnsi="Times New Roman" w:cs="Times New Roman"/>
                <w:sz w:val="20"/>
                <w:szCs w:val="20"/>
              </w:rPr>
              <w:t>Koks pirkimo biudžetas?</w:t>
            </w:r>
          </w:p>
        </w:tc>
        <w:tc>
          <w:tcPr>
            <w:tcW w:w="4127" w:type="dxa"/>
          </w:tcPr>
          <w:p w14:paraId="74CAB2ED" w14:textId="77777777" w:rsidR="005970D8" w:rsidRPr="000B6D03" w:rsidRDefault="005970D8" w:rsidP="005970D8">
            <w:pPr>
              <w:rPr>
                <w:rFonts w:ascii="Times New Roman" w:hAnsi="Times New Roman" w:cs="Times New Roman"/>
                <w:sz w:val="20"/>
                <w:szCs w:val="20"/>
              </w:rPr>
            </w:pPr>
            <w:r w:rsidRPr="000B6D03">
              <w:rPr>
                <w:rFonts w:ascii="Times New Roman" w:hAnsi="Times New Roman" w:cs="Times New Roman"/>
                <w:sz w:val="20"/>
                <w:szCs w:val="20"/>
              </w:rPr>
              <w:t>Pirkimo biudžetas neskelbiamas.</w:t>
            </w:r>
          </w:p>
          <w:p w14:paraId="7611D966" w14:textId="26A064FB" w:rsidR="005970D8" w:rsidRPr="000B6D03" w:rsidRDefault="005970D8" w:rsidP="005970D8">
            <w:pPr>
              <w:rPr>
                <w:rFonts w:ascii="Times New Roman" w:hAnsi="Times New Roman" w:cs="Times New Roman"/>
                <w:sz w:val="20"/>
                <w:szCs w:val="20"/>
              </w:rPr>
            </w:pPr>
            <w:hyperlink r:id="rId10" w:history="1">
              <w:r w:rsidRPr="000B6D03">
                <w:rPr>
                  <w:rStyle w:val="Hipersaitas"/>
                  <w:rFonts w:ascii="Times New Roman" w:hAnsi="Times New Roman" w:cs="Times New Roman"/>
                  <w:color w:val="auto"/>
                  <w:sz w:val="20"/>
                  <w:szCs w:val="20"/>
                </w:rPr>
                <w:t>https://klausk.vpt.lt/hc/lt/articles/360001331325-Ar-perkan%C4%8Dioji-organizacija-apie-tai-informuodama-tiek%C4%97jus-privalo-jiems-nurodyti-perkan%C4%8Diosios-organizacijos-%C5%A1iam-pirkimui-suplanuotas-l%C4%97%C5%A1as-kai-tiek%C4%97jas-to-pra%C5%A1o-</w:t>
              </w:r>
            </w:hyperlink>
            <w:r w:rsidRPr="000B6D03">
              <w:rPr>
                <w:rFonts w:ascii="Times New Roman" w:hAnsi="Times New Roman" w:cs="Times New Roman"/>
                <w:sz w:val="20"/>
                <w:szCs w:val="20"/>
              </w:rPr>
              <w:t xml:space="preserve"> </w:t>
            </w:r>
          </w:p>
        </w:tc>
      </w:tr>
      <w:tr w:rsidR="005970D8" w:rsidRPr="000B6D03" w14:paraId="6AD2B256" w14:textId="77777777" w:rsidTr="00D96461">
        <w:tc>
          <w:tcPr>
            <w:tcW w:w="451" w:type="dxa"/>
          </w:tcPr>
          <w:p w14:paraId="25E1EF37" w14:textId="77777777" w:rsidR="005970D8" w:rsidRPr="000B6D03" w:rsidRDefault="005970D8" w:rsidP="005970D8">
            <w:pPr>
              <w:numPr>
                <w:ilvl w:val="0"/>
                <w:numId w:val="5"/>
              </w:numPr>
              <w:ind w:left="-109" w:right="-131" w:firstLine="0"/>
              <w:contextualSpacing/>
              <w:rPr>
                <w:rFonts w:ascii="Times New Roman" w:hAnsi="Times New Roman" w:cs="Times New Roman"/>
                <w:sz w:val="20"/>
                <w:szCs w:val="20"/>
              </w:rPr>
            </w:pPr>
          </w:p>
        </w:tc>
        <w:tc>
          <w:tcPr>
            <w:tcW w:w="5050" w:type="dxa"/>
          </w:tcPr>
          <w:p w14:paraId="67A2D47D" w14:textId="004E9183" w:rsidR="005970D8" w:rsidRPr="000B6D03" w:rsidRDefault="005970D8" w:rsidP="005970D8">
            <w:pPr>
              <w:rPr>
                <w:rFonts w:ascii="Times New Roman" w:hAnsi="Times New Roman" w:cs="Times New Roman"/>
                <w:sz w:val="20"/>
                <w:szCs w:val="20"/>
              </w:rPr>
            </w:pPr>
            <w:r w:rsidRPr="000B6D03">
              <w:rPr>
                <w:rFonts w:ascii="Times New Roman" w:hAnsi="Times New Roman" w:cs="Times New Roman"/>
                <w:sz w:val="20"/>
                <w:szCs w:val="20"/>
              </w:rPr>
              <w:t>Prašome nurodyti, kokiame gylyje savitakiniu kolektoriumi atiteka nuotekos į paskirstymo šulinį?</w:t>
            </w:r>
          </w:p>
        </w:tc>
        <w:tc>
          <w:tcPr>
            <w:tcW w:w="4127" w:type="dxa"/>
          </w:tcPr>
          <w:p w14:paraId="6CBEB27F" w14:textId="7D5DB1CC" w:rsidR="005970D8" w:rsidRPr="000B6D03" w:rsidRDefault="00293F61" w:rsidP="005970D8">
            <w:pPr>
              <w:rPr>
                <w:rFonts w:ascii="Times New Roman" w:hAnsi="Times New Roman" w:cs="Times New Roman"/>
                <w:sz w:val="20"/>
                <w:szCs w:val="20"/>
              </w:rPr>
            </w:pPr>
            <w:r w:rsidRPr="000B6D03">
              <w:rPr>
                <w:rFonts w:ascii="Times New Roman" w:hAnsi="Times New Roman" w:cs="Times New Roman"/>
                <w:sz w:val="20"/>
                <w:szCs w:val="20"/>
              </w:rPr>
              <w:t>Nuotekos į paskirstymo šulinį atiteka 2,3 m gylyje.</w:t>
            </w:r>
          </w:p>
        </w:tc>
      </w:tr>
      <w:tr w:rsidR="005970D8" w:rsidRPr="000B6D03" w14:paraId="003CAA9C" w14:textId="77777777" w:rsidTr="00D96461">
        <w:tc>
          <w:tcPr>
            <w:tcW w:w="451" w:type="dxa"/>
          </w:tcPr>
          <w:p w14:paraId="2C0BA2D2" w14:textId="77777777" w:rsidR="005970D8" w:rsidRPr="000B6D03" w:rsidRDefault="005970D8" w:rsidP="005970D8">
            <w:pPr>
              <w:numPr>
                <w:ilvl w:val="0"/>
                <w:numId w:val="5"/>
              </w:numPr>
              <w:ind w:left="-109" w:right="-131" w:firstLine="0"/>
              <w:contextualSpacing/>
              <w:rPr>
                <w:rFonts w:ascii="Times New Roman" w:hAnsi="Times New Roman" w:cs="Times New Roman"/>
                <w:sz w:val="20"/>
                <w:szCs w:val="20"/>
              </w:rPr>
            </w:pPr>
          </w:p>
        </w:tc>
        <w:tc>
          <w:tcPr>
            <w:tcW w:w="5050" w:type="dxa"/>
          </w:tcPr>
          <w:p w14:paraId="55721B1E" w14:textId="6130FA0C" w:rsidR="005970D8" w:rsidRPr="000B6D03" w:rsidRDefault="005970D8" w:rsidP="005970D8">
            <w:pPr>
              <w:rPr>
                <w:rFonts w:ascii="Times New Roman" w:hAnsi="Times New Roman" w:cs="Times New Roman"/>
                <w:sz w:val="20"/>
                <w:szCs w:val="20"/>
              </w:rPr>
            </w:pPr>
            <w:r w:rsidRPr="000B6D03">
              <w:rPr>
                <w:rFonts w:ascii="Times New Roman" w:hAnsi="Times New Roman" w:cs="Times New Roman"/>
                <w:sz w:val="20"/>
                <w:szCs w:val="20"/>
              </w:rPr>
              <w:t>Prašome patikslinti ar pasiūlyme reikia įsivertinti naują išleistuvą iki priimtuvo, ar numatyti prisijungimą į esamą (kaip nurodyta pateiktame plane)?</w:t>
            </w:r>
          </w:p>
        </w:tc>
        <w:tc>
          <w:tcPr>
            <w:tcW w:w="4127" w:type="dxa"/>
          </w:tcPr>
          <w:p w14:paraId="15873D05" w14:textId="5D72419C" w:rsidR="005970D8" w:rsidRPr="000B6D03" w:rsidRDefault="00293F61" w:rsidP="005970D8">
            <w:pPr>
              <w:rPr>
                <w:rFonts w:ascii="Times New Roman" w:hAnsi="Times New Roman" w:cs="Times New Roman"/>
                <w:sz w:val="20"/>
                <w:szCs w:val="20"/>
              </w:rPr>
            </w:pPr>
            <w:r w:rsidRPr="000B6D03">
              <w:rPr>
                <w:rFonts w:ascii="Times New Roman" w:hAnsi="Times New Roman" w:cs="Times New Roman"/>
                <w:sz w:val="20"/>
                <w:szCs w:val="20"/>
              </w:rPr>
              <w:t>Numatyti prisijungimą į esamą išleistuvą. Esamas išleistuvas nerekonstruojamas – prašome žiūrėti 2.2 priedą (taikomą 4 pirkimo daliai).</w:t>
            </w:r>
          </w:p>
        </w:tc>
      </w:tr>
      <w:tr w:rsidR="005970D8" w:rsidRPr="000B6D03" w14:paraId="11848381" w14:textId="77777777" w:rsidTr="00D96461">
        <w:tc>
          <w:tcPr>
            <w:tcW w:w="451" w:type="dxa"/>
          </w:tcPr>
          <w:p w14:paraId="5FBAAB93" w14:textId="77777777" w:rsidR="005970D8" w:rsidRPr="000B6D03" w:rsidRDefault="005970D8" w:rsidP="005970D8">
            <w:pPr>
              <w:numPr>
                <w:ilvl w:val="0"/>
                <w:numId w:val="5"/>
              </w:numPr>
              <w:ind w:left="-109" w:right="-131" w:firstLine="0"/>
              <w:contextualSpacing/>
              <w:rPr>
                <w:rFonts w:ascii="Times New Roman" w:hAnsi="Times New Roman" w:cs="Times New Roman"/>
                <w:sz w:val="20"/>
                <w:szCs w:val="20"/>
              </w:rPr>
            </w:pPr>
          </w:p>
        </w:tc>
        <w:tc>
          <w:tcPr>
            <w:tcW w:w="5050" w:type="dxa"/>
          </w:tcPr>
          <w:p w14:paraId="175510BA" w14:textId="2EF585B0" w:rsidR="005970D8" w:rsidRPr="000B6D03" w:rsidRDefault="005970D8" w:rsidP="005970D8">
            <w:pPr>
              <w:rPr>
                <w:rFonts w:ascii="Times New Roman" w:hAnsi="Times New Roman" w:cs="Times New Roman"/>
                <w:sz w:val="20"/>
                <w:szCs w:val="20"/>
              </w:rPr>
            </w:pPr>
            <w:r w:rsidRPr="000B6D03">
              <w:rPr>
                <w:rFonts w:ascii="Times New Roman" w:hAnsi="Times New Roman" w:cs="Times New Roman"/>
                <w:sz w:val="20"/>
                <w:szCs w:val="20"/>
              </w:rPr>
              <w:t>Užsakovo reikalavimų 2.8 punkte BDS5 koncentracija nurodyta 122mg/l, tuomet 122mg/lx40m3/d=4,88 kg/d, kai nurodyta BDS5 apkrova - 4,0 kg/d. Prašome patvirtinti, kad BDS5 apkrova turi būti priimama 4,88 kg/d;</w:t>
            </w:r>
          </w:p>
        </w:tc>
        <w:tc>
          <w:tcPr>
            <w:tcW w:w="4127" w:type="dxa"/>
          </w:tcPr>
          <w:p w14:paraId="356F7FBF" w14:textId="137C1876" w:rsidR="005970D8" w:rsidRPr="000B6D03" w:rsidRDefault="00C72295" w:rsidP="005970D8">
            <w:pPr>
              <w:rPr>
                <w:rFonts w:ascii="Times New Roman" w:hAnsi="Times New Roman" w:cs="Times New Roman"/>
                <w:sz w:val="20"/>
                <w:szCs w:val="20"/>
              </w:rPr>
            </w:pPr>
            <w:r w:rsidRPr="000B6D03">
              <w:rPr>
                <w:rFonts w:ascii="Times New Roman" w:hAnsi="Times New Roman" w:cs="Times New Roman"/>
                <w:sz w:val="20"/>
                <w:szCs w:val="20"/>
              </w:rPr>
              <w:t>Žr. atsakymą į 20 klausimą.</w:t>
            </w:r>
          </w:p>
        </w:tc>
      </w:tr>
      <w:tr w:rsidR="005970D8" w:rsidRPr="000B6D03" w14:paraId="5E4473D6" w14:textId="77777777" w:rsidTr="00D96461">
        <w:tc>
          <w:tcPr>
            <w:tcW w:w="451" w:type="dxa"/>
          </w:tcPr>
          <w:p w14:paraId="515D9048" w14:textId="77777777" w:rsidR="005970D8" w:rsidRPr="000B6D03" w:rsidRDefault="005970D8" w:rsidP="005970D8">
            <w:pPr>
              <w:numPr>
                <w:ilvl w:val="0"/>
                <w:numId w:val="5"/>
              </w:numPr>
              <w:ind w:left="-109" w:right="-131" w:firstLine="0"/>
              <w:contextualSpacing/>
              <w:rPr>
                <w:rFonts w:ascii="Times New Roman" w:hAnsi="Times New Roman" w:cs="Times New Roman"/>
                <w:sz w:val="20"/>
                <w:szCs w:val="20"/>
              </w:rPr>
            </w:pPr>
          </w:p>
        </w:tc>
        <w:tc>
          <w:tcPr>
            <w:tcW w:w="5050" w:type="dxa"/>
          </w:tcPr>
          <w:p w14:paraId="0D74EF95" w14:textId="1C16854F" w:rsidR="005970D8" w:rsidRPr="000B6D03" w:rsidRDefault="005970D8" w:rsidP="005970D8">
            <w:pPr>
              <w:rPr>
                <w:rFonts w:ascii="Times New Roman" w:hAnsi="Times New Roman" w:cs="Times New Roman"/>
                <w:sz w:val="20"/>
                <w:szCs w:val="20"/>
              </w:rPr>
            </w:pPr>
            <w:r w:rsidRPr="000B6D03">
              <w:rPr>
                <w:rFonts w:ascii="Times New Roman" w:hAnsi="Times New Roman" w:cs="Times New Roman"/>
                <w:sz w:val="20"/>
                <w:szCs w:val="20"/>
              </w:rPr>
              <w:t>Užsakovo reikalavimų 2.8 punkte ChDS koncentracija nurodyta 230 mg/l, tuomet 230mg/lx40m3/d=9,2 kg/d, kai nurodyta ChDS apkrova - 29,0 kg/d. Prašome patvirtinti, kad ChDS apkrova turi būti priimama 9,2 kg/d</w:t>
            </w:r>
          </w:p>
        </w:tc>
        <w:tc>
          <w:tcPr>
            <w:tcW w:w="4127" w:type="dxa"/>
          </w:tcPr>
          <w:p w14:paraId="5A17CDF1" w14:textId="4D5A2B29" w:rsidR="005970D8" w:rsidRPr="000B6D03" w:rsidRDefault="00C72295" w:rsidP="005970D8">
            <w:pPr>
              <w:rPr>
                <w:rFonts w:ascii="Times New Roman" w:hAnsi="Times New Roman" w:cs="Times New Roman"/>
                <w:sz w:val="20"/>
                <w:szCs w:val="20"/>
              </w:rPr>
            </w:pPr>
            <w:r w:rsidRPr="000B6D03">
              <w:rPr>
                <w:rFonts w:ascii="Times New Roman" w:hAnsi="Times New Roman" w:cs="Times New Roman"/>
                <w:sz w:val="20"/>
                <w:szCs w:val="20"/>
              </w:rPr>
              <w:t>Žr. atsakymą į 20 klausimą.</w:t>
            </w:r>
          </w:p>
        </w:tc>
      </w:tr>
      <w:tr w:rsidR="005970D8" w:rsidRPr="000B6D03" w14:paraId="5EDDD286" w14:textId="77777777" w:rsidTr="00D96461">
        <w:tc>
          <w:tcPr>
            <w:tcW w:w="451" w:type="dxa"/>
          </w:tcPr>
          <w:p w14:paraId="6ED31663" w14:textId="77777777" w:rsidR="005970D8" w:rsidRPr="000B6D03" w:rsidRDefault="005970D8" w:rsidP="005970D8">
            <w:pPr>
              <w:numPr>
                <w:ilvl w:val="0"/>
                <w:numId w:val="5"/>
              </w:numPr>
              <w:ind w:left="-109" w:right="-131" w:firstLine="0"/>
              <w:contextualSpacing/>
              <w:rPr>
                <w:rFonts w:ascii="Times New Roman" w:hAnsi="Times New Roman" w:cs="Times New Roman"/>
                <w:sz w:val="20"/>
                <w:szCs w:val="20"/>
              </w:rPr>
            </w:pPr>
          </w:p>
        </w:tc>
        <w:tc>
          <w:tcPr>
            <w:tcW w:w="5050" w:type="dxa"/>
          </w:tcPr>
          <w:p w14:paraId="330ECF73" w14:textId="2704EF68" w:rsidR="005970D8" w:rsidRPr="000B6D03" w:rsidRDefault="005970D8" w:rsidP="005970D8">
            <w:pPr>
              <w:rPr>
                <w:rFonts w:ascii="Times New Roman" w:hAnsi="Times New Roman" w:cs="Times New Roman"/>
                <w:sz w:val="20"/>
                <w:szCs w:val="20"/>
              </w:rPr>
            </w:pPr>
            <w:r w:rsidRPr="000B6D03">
              <w:rPr>
                <w:rFonts w:ascii="Times New Roman" w:hAnsi="Times New Roman" w:cs="Times New Roman"/>
                <w:sz w:val="20"/>
                <w:szCs w:val="20"/>
              </w:rPr>
              <w:t>Užsakovo reikalavimų 2.8 punkte Pb koncentracija nurodyta 4 mg/l, tuomet 4mg/lx40m3/d=0,16 kg/d, kai nurodyta Pb apkrova - 0,2 kg/d. Prašome patvirtinti, kad Pb apkrova turi būti priimama 0,16 kg/d.</w:t>
            </w:r>
          </w:p>
        </w:tc>
        <w:tc>
          <w:tcPr>
            <w:tcW w:w="4127" w:type="dxa"/>
          </w:tcPr>
          <w:p w14:paraId="5A392F70" w14:textId="1736ABBF" w:rsidR="005970D8" w:rsidRPr="000B6D03" w:rsidRDefault="00C72295" w:rsidP="005970D8">
            <w:pPr>
              <w:rPr>
                <w:rFonts w:ascii="Times New Roman" w:hAnsi="Times New Roman" w:cs="Times New Roman"/>
                <w:sz w:val="20"/>
                <w:szCs w:val="20"/>
              </w:rPr>
            </w:pPr>
            <w:r w:rsidRPr="000B6D03">
              <w:rPr>
                <w:rFonts w:ascii="Times New Roman" w:hAnsi="Times New Roman" w:cs="Times New Roman"/>
                <w:sz w:val="20"/>
                <w:szCs w:val="20"/>
              </w:rPr>
              <w:t>Žr. atsakymą į 20 klausimą.</w:t>
            </w:r>
          </w:p>
        </w:tc>
      </w:tr>
    </w:tbl>
    <w:p w14:paraId="6F6B037A" w14:textId="7E1E4017" w:rsidR="0066747F" w:rsidRPr="000B6D03" w:rsidRDefault="0066747F" w:rsidP="0066747F">
      <w:pPr>
        <w:spacing w:after="160" w:line="278" w:lineRule="auto"/>
        <w:rPr>
          <w:rFonts w:ascii="Times New Roman" w:eastAsia="Calibri" w:hAnsi="Times New Roman" w:cs="Times New Roman"/>
          <w:sz w:val="20"/>
          <w:szCs w:val="20"/>
        </w:rPr>
      </w:pPr>
      <w:r w:rsidRPr="000B6D03">
        <w:rPr>
          <w:rFonts w:ascii="Times New Roman" w:hAnsi="Times New Roman" w:cs="Times New Roman"/>
          <w:sz w:val="20"/>
          <w:szCs w:val="20"/>
        </w:rPr>
        <w:t>Informuojame, kad pasiūlymų pateikimo terminas nukeliamas iki 202</w:t>
      </w:r>
      <w:r w:rsidR="00305468" w:rsidRPr="000B6D03">
        <w:rPr>
          <w:rFonts w:ascii="Times New Roman" w:hAnsi="Times New Roman" w:cs="Times New Roman"/>
          <w:sz w:val="20"/>
          <w:szCs w:val="20"/>
        </w:rPr>
        <w:t>6</w:t>
      </w:r>
      <w:r w:rsidRPr="000B6D03">
        <w:rPr>
          <w:rFonts w:ascii="Times New Roman" w:hAnsi="Times New Roman" w:cs="Times New Roman"/>
          <w:sz w:val="20"/>
          <w:szCs w:val="20"/>
        </w:rPr>
        <w:t>-0</w:t>
      </w:r>
      <w:r w:rsidR="00B405F3" w:rsidRPr="000B6D03">
        <w:rPr>
          <w:rFonts w:ascii="Times New Roman" w:hAnsi="Times New Roman" w:cs="Times New Roman"/>
          <w:sz w:val="20"/>
          <w:szCs w:val="20"/>
        </w:rPr>
        <w:t>6</w:t>
      </w:r>
      <w:r w:rsidRPr="000B6D03">
        <w:rPr>
          <w:rFonts w:ascii="Times New Roman" w:hAnsi="Times New Roman" w:cs="Times New Roman"/>
          <w:sz w:val="20"/>
          <w:szCs w:val="20"/>
        </w:rPr>
        <w:t>-</w:t>
      </w:r>
      <w:r w:rsidR="00593780" w:rsidRPr="000B6D03">
        <w:rPr>
          <w:rFonts w:ascii="Times New Roman" w:hAnsi="Times New Roman" w:cs="Times New Roman"/>
          <w:sz w:val="20"/>
          <w:szCs w:val="20"/>
        </w:rPr>
        <w:t>1</w:t>
      </w:r>
      <w:r w:rsidR="00B405F3" w:rsidRPr="000B6D03">
        <w:rPr>
          <w:rFonts w:ascii="Times New Roman" w:hAnsi="Times New Roman" w:cs="Times New Roman"/>
          <w:sz w:val="20"/>
          <w:szCs w:val="20"/>
        </w:rPr>
        <w:t>5</w:t>
      </w:r>
      <w:r w:rsidRPr="000B6D03">
        <w:rPr>
          <w:rFonts w:ascii="Times New Roman" w:hAnsi="Times New Roman" w:cs="Times New Roman"/>
          <w:sz w:val="20"/>
          <w:szCs w:val="20"/>
        </w:rPr>
        <w:t xml:space="preserve"> 8:00.</w:t>
      </w:r>
    </w:p>
    <w:p w14:paraId="75EFEBE5" w14:textId="77777777" w:rsidR="0006252A" w:rsidRPr="000B6D03" w:rsidRDefault="0006252A" w:rsidP="00312693">
      <w:pPr>
        <w:pStyle w:val="Sraopastraipa"/>
        <w:jc w:val="left"/>
        <w:rPr>
          <w:rFonts w:ascii="Times New Roman" w:hAnsi="Times New Roman" w:cs="Times New Roman"/>
          <w:sz w:val="20"/>
          <w:szCs w:val="20"/>
        </w:rPr>
      </w:pPr>
    </w:p>
    <w:sectPr w:rsidR="0006252A" w:rsidRPr="000B6D03" w:rsidSect="00305468">
      <w:pgSz w:w="11906" w:h="16838"/>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3C78"/>
    <w:multiLevelType w:val="multilevel"/>
    <w:tmpl w:val="D966A7DE"/>
    <w:styleLink w:val="Stilius1"/>
    <w:lvl w:ilvl="0">
      <w:start w:val="1"/>
      <w:numFmt w:val="decimal"/>
      <w:lvlText w:val="%1."/>
      <w:lvlJc w:val="left"/>
      <w:pPr>
        <w:ind w:left="927" w:hanging="360"/>
      </w:pPr>
      <w:rPr>
        <w:rFonts w:hint="default"/>
      </w:rPr>
    </w:lvl>
    <w:lvl w:ilvl="1">
      <w:start w:val="1"/>
      <w:numFmt w:val="decimal"/>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5D66D99"/>
    <w:multiLevelType w:val="hybridMultilevel"/>
    <w:tmpl w:val="03841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87460A"/>
    <w:multiLevelType w:val="hybridMultilevel"/>
    <w:tmpl w:val="FC3059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DC15B65"/>
    <w:multiLevelType w:val="multilevel"/>
    <w:tmpl w:val="F10859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46A4FA5"/>
    <w:multiLevelType w:val="multilevel"/>
    <w:tmpl w:val="64BAA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5755D9A"/>
    <w:multiLevelType w:val="hybridMultilevel"/>
    <w:tmpl w:val="B21085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9A6058"/>
    <w:multiLevelType w:val="hybridMultilevel"/>
    <w:tmpl w:val="D33A0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612683"/>
    <w:multiLevelType w:val="hybridMultilevel"/>
    <w:tmpl w:val="32EACB46"/>
    <w:lvl w:ilvl="0" w:tplc="C37AC5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27F7263"/>
    <w:multiLevelType w:val="hybridMultilevel"/>
    <w:tmpl w:val="6804C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8761667">
    <w:abstractNumId w:val="0"/>
  </w:num>
  <w:num w:numId="2" w16cid:durableId="233666996">
    <w:abstractNumId w:val="8"/>
  </w:num>
  <w:num w:numId="3" w16cid:durableId="691104163">
    <w:abstractNumId w:val="7"/>
  </w:num>
  <w:num w:numId="4" w16cid:durableId="467474065">
    <w:abstractNumId w:val="5"/>
  </w:num>
  <w:num w:numId="5" w16cid:durableId="1704937760">
    <w:abstractNumId w:val="3"/>
  </w:num>
  <w:num w:numId="6" w16cid:durableId="1932229855">
    <w:abstractNumId w:val="1"/>
  </w:num>
  <w:num w:numId="7" w16cid:durableId="1621913059">
    <w:abstractNumId w:val="6"/>
  </w:num>
  <w:num w:numId="8" w16cid:durableId="17507311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7144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7EC"/>
    <w:rsid w:val="000560B4"/>
    <w:rsid w:val="0006252A"/>
    <w:rsid w:val="000831D5"/>
    <w:rsid w:val="000B6D03"/>
    <w:rsid w:val="001037EC"/>
    <w:rsid w:val="0014542B"/>
    <w:rsid w:val="001819FC"/>
    <w:rsid w:val="00190360"/>
    <w:rsid w:val="001B4AAB"/>
    <w:rsid w:val="001E34C2"/>
    <w:rsid w:val="001F44B3"/>
    <w:rsid w:val="001F5A67"/>
    <w:rsid w:val="00227BAD"/>
    <w:rsid w:val="00293F61"/>
    <w:rsid w:val="002C7687"/>
    <w:rsid w:val="00300543"/>
    <w:rsid w:val="00305468"/>
    <w:rsid w:val="00312693"/>
    <w:rsid w:val="00336E25"/>
    <w:rsid w:val="0035237F"/>
    <w:rsid w:val="003C4BDC"/>
    <w:rsid w:val="0040394E"/>
    <w:rsid w:val="004067D5"/>
    <w:rsid w:val="004162B4"/>
    <w:rsid w:val="00425248"/>
    <w:rsid w:val="00452BD4"/>
    <w:rsid w:val="004536D5"/>
    <w:rsid w:val="004E6F8F"/>
    <w:rsid w:val="0051431D"/>
    <w:rsid w:val="005420A3"/>
    <w:rsid w:val="005759B7"/>
    <w:rsid w:val="00593780"/>
    <w:rsid w:val="005970D8"/>
    <w:rsid w:val="005A4FE6"/>
    <w:rsid w:val="005A5E64"/>
    <w:rsid w:val="005A717B"/>
    <w:rsid w:val="0066747F"/>
    <w:rsid w:val="00673F68"/>
    <w:rsid w:val="006A4766"/>
    <w:rsid w:val="006B19BB"/>
    <w:rsid w:val="006C21C7"/>
    <w:rsid w:val="00730620"/>
    <w:rsid w:val="00750803"/>
    <w:rsid w:val="00763666"/>
    <w:rsid w:val="00782F22"/>
    <w:rsid w:val="0079354F"/>
    <w:rsid w:val="00825F00"/>
    <w:rsid w:val="008C3BC7"/>
    <w:rsid w:val="0090127E"/>
    <w:rsid w:val="0091320C"/>
    <w:rsid w:val="00937D98"/>
    <w:rsid w:val="00957F72"/>
    <w:rsid w:val="00967AED"/>
    <w:rsid w:val="009D16EF"/>
    <w:rsid w:val="00A035B7"/>
    <w:rsid w:val="00A50D0A"/>
    <w:rsid w:val="00AB2E7F"/>
    <w:rsid w:val="00AB5FA1"/>
    <w:rsid w:val="00AF14B7"/>
    <w:rsid w:val="00B37511"/>
    <w:rsid w:val="00B405F3"/>
    <w:rsid w:val="00B56D77"/>
    <w:rsid w:val="00BC28CF"/>
    <w:rsid w:val="00C04E3C"/>
    <w:rsid w:val="00C565C2"/>
    <w:rsid w:val="00C60161"/>
    <w:rsid w:val="00C72295"/>
    <w:rsid w:val="00C7571E"/>
    <w:rsid w:val="00CA75A3"/>
    <w:rsid w:val="00CF2FBC"/>
    <w:rsid w:val="00D250C4"/>
    <w:rsid w:val="00D32833"/>
    <w:rsid w:val="00D70720"/>
    <w:rsid w:val="00D96461"/>
    <w:rsid w:val="00E555E4"/>
    <w:rsid w:val="00E61A4C"/>
    <w:rsid w:val="00E65D7F"/>
    <w:rsid w:val="00E72916"/>
    <w:rsid w:val="00E9056E"/>
    <w:rsid w:val="00E90E94"/>
    <w:rsid w:val="00ED7585"/>
    <w:rsid w:val="00EE58DC"/>
    <w:rsid w:val="00EF75E8"/>
    <w:rsid w:val="00F005E7"/>
    <w:rsid w:val="00F913ED"/>
    <w:rsid w:val="00FD1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CDBC"/>
  <w15:chartTrackingRefBased/>
  <w15:docId w15:val="{9B4AED52-CA2D-458F-9D25-F3D9CE29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ilius1">
    <w:name w:val="Stilius1"/>
    <w:uiPriority w:val="99"/>
    <w:rsid w:val="00E555E4"/>
    <w:pPr>
      <w:numPr>
        <w:numId w:val="1"/>
      </w:numPr>
    </w:pPr>
  </w:style>
  <w:style w:type="paragraph" w:styleId="Sraopastraipa">
    <w:name w:val="List Paragraph"/>
    <w:basedOn w:val="prastasis"/>
    <w:uiPriority w:val="34"/>
    <w:qFormat/>
    <w:rsid w:val="0006252A"/>
    <w:pPr>
      <w:ind w:left="720"/>
      <w:contextualSpacing/>
    </w:pPr>
  </w:style>
  <w:style w:type="table" w:styleId="Lentelstinklelis">
    <w:name w:val="Table Grid"/>
    <w:basedOn w:val="prastojilentel"/>
    <w:uiPriority w:val="39"/>
    <w:rsid w:val="00E61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12"/>
    <w:basedOn w:val="prastojilentel"/>
    <w:rsid w:val="001F44B3"/>
    <w:pPr>
      <w:jc w:val="left"/>
    </w:pPr>
    <w:rPr>
      <w:rFonts w:ascii="Times New Roman" w:eastAsia="Times New Roman" w:hAnsi="Times New Roman" w:cs="Times New Roman"/>
      <w:sz w:val="20"/>
      <w:szCs w:val="20"/>
      <w:lang w:eastAsia="lt-LT"/>
    </w:rPr>
    <w:tblPr>
      <w:tblStyleRowBandSize w:val="1"/>
      <w:tblStyleColBandSize w:val="1"/>
    </w:tblPr>
  </w:style>
  <w:style w:type="table" w:customStyle="1" w:styleId="Lentelstinklelis2">
    <w:name w:val="Lentelės tinklelis2"/>
    <w:basedOn w:val="prastojilentel"/>
    <w:next w:val="Lentelstinklelis"/>
    <w:uiPriority w:val="39"/>
    <w:rsid w:val="0066747F"/>
    <w:pPr>
      <w:jc w:val="left"/>
    </w:pPr>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66747F"/>
    <w:pPr>
      <w:jc w:val="left"/>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96461"/>
    <w:rPr>
      <w:color w:val="0563C1" w:themeColor="hyperlink"/>
      <w:u w:val="single"/>
    </w:rPr>
  </w:style>
  <w:style w:type="character" w:customStyle="1" w:styleId="Neapdorotaspaminjimas1">
    <w:name w:val="Neapdorotas paminėjimas1"/>
    <w:basedOn w:val="Numatytasispastraiposriftas"/>
    <w:uiPriority w:val="99"/>
    <w:semiHidden/>
    <w:unhideWhenUsed/>
    <w:rsid w:val="00D96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360001331325-Ar-perkan%C4%8Dioji-organizacija-apie-tai-informuodama-tiek%C4%97jus-privalo-jiems-nurodyti-perkan%C4%8Diosios-organizacijos-%C5%A1iam-pirkimui-suplanuotas-l%C4%97%C5%A1as-kai-tiek%C4%97jas-to-pra%C5%A1o-"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lausk.vpt.lt/hc/lt/articles/360001331325-Ar-perkan%C4%8Dioji-organizacija-apie-tai-informuodama-tiek%C4%97jus-privalo-jiems-nurodyti-perkan%C4%8Diosios-organizacijos-%C5%A1iam-pirkimui-suplanuotas-l%C4%97%C5%A1as-kai-tiek%C4%97jas-to-pra%C5%A1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lausk.vpt.lt/hc/lt/articles/360001331325-Ar-perkan%C4%8Dioji-organizacija-apie-tai-informuodama-tiek%C4%97jus-privalo-jiems-nurodyti-perkan%C4%8Diosios-organizacijos-%C5%A1iam-pirkimui-suplanuotas-l%C4%97%C5%A1as-kai-tiek%C4%97jas-to-pra%C5%A1o-" TargetMode="External"/><Relationship Id="rId4" Type="http://schemas.openxmlformats.org/officeDocument/2006/relationships/settings" Target="settings.xml"/><Relationship Id="rId9" Type="http://schemas.openxmlformats.org/officeDocument/2006/relationships/hyperlink" Target="https://klausk.vpt.lt/hc/lt/articles/360001331325-Ar-perkan%C4%8Dioji-organizacija-apie-tai-informuodama-tiek%C4%97jus-privalo-jiems-nurodyti-perkan%C4%8Diosios-organizacijos-%C5%A1iam-pirkimui-suplanuotas-l%C4%97%C5%A1as-kai-tiek%C4%97jas-to-pra%C5%A1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5FD11-794B-4CCB-94B3-8426359D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14747</Words>
  <Characters>8407</Characters>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2026-06-04T11:41:00Z</dcterms:created>
  <dcterms:modified xsi:type="dcterms:W3CDTF">2026-06-05T08:23:00Z</dcterms:modified>
</cp:coreProperties>
</file>