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E036" w14:textId="797E48B2" w:rsidR="008D7A14" w:rsidRPr="008D7A14" w:rsidRDefault="00B5551C" w:rsidP="00797342">
      <w:pPr>
        <w:ind w:left="5184"/>
        <w:rPr>
          <w:bCs/>
          <w:szCs w:val="24"/>
        </w:rPr>
      </w:pPr>
      <w:r>
        <w:rPr>
          <w:bCs/>
          <w:szCs w:val="24"/>
        </w:rPr>
        <w:t xml:space="preserve">                                                 </w:t>
      </w:r>
      <w:r w:rsidR="008D7A14" w:rsidRPr="008D7A14">
        <w:rPr>
          <w:bCs/>
          <w:szCs w:val="24"/>
        </w:rPr>
        <w:t>Pirkimo sąlygų</w:t>
      </w:r>
    </w:p>
    <w:p w14:paraId="1D589739" w14:textId="7CB7CC79" w:rsidR="00B05541" w:rsidRPr="008D7A14" w:rsidRDefault="008D7A14" w:rsidP="008D7A14">
      <w:pPr>
        <w:ind w:left="5184"/>
        <w:jc w:val="center"/>
        <w:rPr>
          <w:b/>
          <w:szCs w:val="24"/>
        </w:rPr>
      </w:pPr>
      <w:r w:rsidRPr="008D7A14">
        <w:rPr>
          <w:b/>
          <w:szCs w:val="24"/>
        </w:rPr>
        <w:t xml:space="preserve">                                       </w:t>
      </w:r>
      <w:r w:rsidR="00B05541" w:rsidRPr="008D7A14">
        <w:rPr>
          <w:b/>
          <w:szCs w:val="24"/>
        </w:rPr>
        <w:t>1 priedas</w:t>
      </w:r>
    </w:p>
    <w:p w14:paraId="6AAE27F2" w14:textId="77777777" w:rsidR="00B05541" w:rsidRPr="008D7A14" w:rsidRDefault="00B05541" w:rsidP="00B05541">
      <w:pPr>
        <w:ind w:left="5184"/>
        <w:jc w:val="both"/>
        <w:rPr>
          <w:b/>
          <w:szCs w:val="24"/>
        </w:rPr>
      </w:pPr>
    </w:p>
    <w:p w14:paraId="363F4F46" w14:textId="45FFFD2B" w:rsidR="00B05541" w:rsidRDefault="00B05541" w:rsidP="0025470A">
      <w:pPr>
        <w:spacing w:line="276" w:lineRule="auto"/>
        <w:jc w:val="center"/>
        <w:rPr>
          <w:rFonts w:eastAsia="Calibri"/>
          <w:b/>
          <w:szCs w:val="24"/>
        </w:rPr>
      </w:pPr>
      <w:r>
        <w:rPr>
          <w:rFonts w:eastAsia="Calibri"/>
          <w:b/>
          <w:szCs w:val="24"/>
        </w:rPr>
        <w:t xml:space="preserve">LIETUVOS  GYVENTOJŲ NELEGALAUS TURINIO </w:t>
      </w:r>
      <w:r w:rsidR="00D53A45">
        <w:rPr>
          <w:rFonts w:eastAsia="Calibri"/>
          <w:b/>
          <w:szCs w:val="24"/>
        </w:rPr>
        <w:t>NAUDOJIMO</w:t>
      </w:r>
      <w:r>
        <w:rPr>
          <w:rFonts w:eastAsia="Calibri"/>
          <w:b/>
          <w:szCs w:val="24"/>
        </w:rPr>
        <w:t xml:space="preserve"> LYGIO </w:t>
      </w:r>
      <w:r w:rsidR="00907437">
        <w:rPr>
          <w:rFonts w:eastAsia="Calibri"/>
          <w:b/>
          <w:szCs w:val="24"/>
        </w:rPr>
        <w:t xml:space="preserve">POKYČIO </w:t>
      </w:r>
      <w:r>
        <w:rPr>
          <w:rFonts w:eastAsia="Calibri"/>
          <w:b/>
          <w:szCs w:val="24"/>
        </w:rPr>
        <w:t xml:space="preserve"> TYRIMO TECHNINĖ SPECIFIKACIJA</w:t>
      </w:r>
    </w:p>
    <w:p w14:paraId="35D0FA89" w14:textId="77777777" w:rsidR="00B05541" w:rsidRDefault="00B05541" w:rsidP="0025470A">
      <w:pPr>
        <w:tabs>
          <w:tab w:val="left" w:pos="284"/>
        </w:tabs>
        <w:spacing w:line="276" w:lineRule="auto"/>
        <w:jc w:val="center"/>
        <w:rPr>
          <w:szCs w:val="24"/>
          <w:lang w:eastAsia="lt-LT"/>
        </w:rPr>
      </w:pPr>
    </w:p>
    <w:p w14:paraId="2D2825E6" w14:textId="77777777" w:rsidR="00B05541" w:rsidRDefault="00B05541" w:rsidP="0025470A">
      <w:pPr>
        <w:jc w:val="center"/>
        <w:rPr>
          <w:b/>
          <w:szCs w:val="24"/>
        </w:rPr>
      </w:pPr>
      <w:r>
        <w:rPr>
          <w:b/>
          <w:szCs w:val="24"/>
        </w:rPr>
        <w:t>1. PIRKIMO KONTEKSTAS</w:t>
      </w:r>
    </w:p>
    <w:p w14:paraId="7842B102" w14:textId="77777777" w:rsidR="00B05541" w:rsidRDefault="00B05541" w:rsidP="00B05541">
      <w:pPr>
        <w:tabs>
          <w:tab w:val="left" w:pos="284"/>
        </w:tabs>
        <w:spacing w:line="276" w:lineRule="auto"/>
        <w:jc w:val="center"/>
        <w:rPr>
          <w:szCs w:val="24"/>
          <w:lang w:eastAsia="lt-LT"/>
        </w:rPr>
      </w:pPr>
    </w:p>
    <w:p w14:paraId="318D8C5E" w14:textId="77777777" w:rsidR="00B05541" w:rsidRDefault="00B05541" w:rsidP="00B05541">
      <w:pPr>
        <w:pStyle w:val="xparagraph"/>
        <w:shd w:val="clear" w:color="auto" w:fill="FFFFFF" w:themeFill="background1"/>
        <w:spacing w:before="0" w:beforeAutospacing="0" w:after="0" w:afterAutospacing="0" w:line="276" w:lineRule="auto"/>
        <w:ind w:firstLine="709"/>
        <w:jc w:val="both"/>
        <w:rPr>
          <w:rFonts w:eastAsia="Calibri"/>
          <w:szCs w:val="22"/>
          <w:lang w:val="lt-LT"/>
        </w:rPr>
      </w:pPr>
    </w:p>
    <w:p w14:paraId="0B342D24" w14:textId="5CE90B5B" w:rsidR="00C93BB4" w:rsidRDefault="007B6545" w:rsidP="00C93BB4">
      <w:pPr>
        <w:tabs>
          <w:tab w:val="left" w:pos="1276"/>
        </w:tabs>
        <w:spacing w:line="276" w:lineRule="auto"/>
        <w:ind w:firstLine="851"/>
        <w:jc w:val="both"/>
        <w:rPr>
          <w:szCs w:val="24"/>
          <w:lang w:eastAsia="lt-LT"/>
        </w:rPr>
      </w:pPr>
      <w:r w:rsidRPr="007B6545">
        <w:rPr>
          <w:szCs w:val="24"/>
          <w:lang w:eastAsia="lt-LT"/>
        </w:rPr>
        <w:t xml:space="preserve">1.1. </w:t>
      </w:r>
      <w:r w:rsidR="001C6E04" w:rsidRPr="001C6E04">
        <w:rPr>
          <w:szCs w:val="24"/>
          <w:lang w:eastAsia="lt-LT"/>
        </w:rPr>
        <w:t>Skaitmeninių technologijų plėtra ir augantis interneto prieinamumas Europos Sąjungoje</w:t>
      </w:r>
      <w:r w:rsidR="00C116DE">
        <w:rPr>
          <w:szCs w:val="24"/>
          <w:lang w:eastAsia="lt-LT"/>
        </w:rPr>
        <w:t xml:space="preserve"> (toliau – ES)</w:t>
      </w:r>
      <w:r w:rsidR="001C6E04" w:rsidRPr="001C6E04">
        <w:rPr>
          <w:szCs w:val="24"/>
          <w:lang w:eastAsia="lt-LT"/>
        </w:rPr>
        <w:t xml:space="preserve"> sudaro palankias sąlygas skaitmeninių paslaugų naudojimui. Lietuva šiame kontekste išlieka viena pažangiausių valstybių, pasižyminti aukštu interneto prieinamumu ir aktyviu skaitmeninių paslaugų vartojimu.</w:t>
      </w:r>
      <w:r w:rsidR="00AF463F">
        <w:rPr>
          <w:szCs w:val="24"/>
          <w:lang w:eastAsia="lt-LT"/>
        </w:rPr>
        <w:t xml:space="preserve"> </w:t>
      </w:r>
      <w:r w:rsidR="001C6E04" w:rsidRPr="001C6E04">
        <w:rPr>
          <w:szCs w:val="24"/>
          <w:lang w:eastAsia="lt-LT"/>
        </w:rPr>
        <w:t xml:space="preserve">Kartu šie veiksniai sudaro prielaidas ne tik legalaus, bet ir nelegalaus turinio sklaidai. </w:t>
      </w:r>
      <w:r w:rsidR="00C116DE">
        <w:rPr>
          <w:szCs w:val="24"/>
          <w:lang w:eastAsia="lt-LT"/>
        </w:rPr>
        <w:t xml:space="preserve">ES </w:t>
      </w:r>
      <w:r w:rsidR="001C6E04" w:rsidRPr="001C6E04">
        <w:rPr>
          <w:szCs w:val="24"/>
          <w:lang w:eastAsia="lt-LT"/>
        </w:rPr>
        <w:t xml:space="preserve">intelektinės nuosavybės tarnybos (ESINT) 2024 m. paskelbto tyrimo duomenimis, </w:t>
      </w:r>
      <w:r w:rsidR="00353792" w:rsidRPr="00353792">
        <w:rPr>
          <w:szCs w:val="24"/>
          <w:lang w:eastAsia="lt-LT"/>
        </w:rPr>
        <w:t>bendras nelegalaus turinio vartojimo lygis ES stabilizavosi ir siekė apie 10–10,5 nelegalaus turinio prieig</w:t>
      </w:r>
      <w:r w:rsidR="007D003C">
        <w:rPr>
          <w:szCs w:val="24"/>
          <w:lang w:eastAsia="lt-LT"/>
        </w:rPr>
        <w:t>ų</w:t>
      </w:r>
      <w:r w:rsidR="00353792" w:rsidRPr="00353792">
        <w:rPr>
          <w:szCs w:val="24"/>
          <w:lang w:eastAsia="lt-LT"/>
        </w:rPr>
        <w:t xml:space="preserve"> vienam interneto naudotojui per mėnesį. Tuo pačiu nustatyta, kad piratavimo mastas ir vartojimo įpročiai ženkliai skiriasi tarp valstybių narių, o technologinė pažanga lemia naujų nelegalaus turinio platinimo formų, tokių kaip IPTV</w:t>
      </w:r>
      <w:r w:rsidR="007F66FB">
        <w:rPr>
          <w:rStyle w:val="FootnoteReference"/>
          <w:szCs w:val="24"/>
          <w:lang w:eastAsia="lt-LT"/>
        </w:rPr>
        <w:footnoteReference w:id="1"/>
      </w:r>
      <w:r w:rsidR="00353792" w:rsidRPr="00353792">
        <w:rPr>
          <w:szCs w:val="24"/>
          <w:lang w:eastAsia="lt-LT"/>
        </w:rPr>
        <w:t>ar nelegalus tiesioginių transliacijų (ypač sporto renginių) plėtrą.</w:t>
      </w:r>
      <w:r w:rsidR="005054E2">
        <w:rPr>
          <w:rStyle w:val="FootnoteReference"/>
          <w:szCs w:val="24"/>
          <w:lang w:eastAsia="lt-LT"/>
        </w:rPr>
        <w:footnoteReference w:id="2"/>
      </w:r>
    </w:p>
    <w:p w14:paraId="219F30BD" w14:textId="6AAA336A" w:rsidR="00297255" w:rsidRDefault="003D15E5" w:rsidP="003A78A2">
      <w:pPr>
        <w:tabs>
          <w:tab w:val="left" w:pos="1276"/>
        </w:tabs>
        <w:spacing w:line="276" w:lineRule="auto"/>
        <w:ind w:firstLine="851"/>
        <w:jc w:val="both"/>
        <w:rPr>
          <w:szCs w:val="24"/>
          <w:lang w:eastAsia="lt-LT"/>
        </w:rPr>
      </w:pPr>
      <w:r>
        <w:rPr>
          <w:szCs w:val="24"/>
          <w:lang w:eastAsia="lt-LT"/>
        </w:rPr>
        <w:t xml:space="preserve">1.2. </w:t>
      </w:r>
      <w:r w:rsidR="008F0E65">
        <w:t>Šiame kontekste Lietuva nėra išimtis – nelegalaus turinio vartojimas išlieka aktuali ir plačiai paplitusi problema, ypač tarp jaunimo. Siekiant įvertinti nelegalaus turinio vartojimo mastą ir jo veiksnius, Kultūros ministerijos užsakymu 2023 m. buvo parengta Lietuvos gyventojų nelegalaus turinio vartojimo lygio nustatymo metodika</w:t>
      </w:r>
      <w:r w:rsidR="004E4B58">
        <w:t xml:space="preserve"> (toliau – Metodika)</w:t>
      </w:r>
      <w:r w:rsidR="008F0E65">
        <w:t xml:space="preserve">, o 2024 m., vadovaujantis šia </w:t>
      </w:r>
      <w:r w:rsidR="00050E45">
        <w:t>M</w:t>
      </w:r>
      <w:r w:rsidR="008F0E65">
        <w:t xml:space="preserve">etodika, atliktas reprezentatyvus Lietuvos gyventojų tyrimas. </w:t>
      </w:r>
      <w:r w:rsidR="008F0E65" w:rsidRPr="003A78A2">
        <w:t>Tyrimo duomenimis, piratavimo indeksas Lietuvoje siekė 38 balus iš 100, 40 proc. gyventojų per pastaruosius 12 mėnesių bent kartą vartojo nelegalų turinį, o 26 proc. tai darė reguliariai. Ypač išsiskiria 14–29 m. amžiaus grupė, kurioje nelegalų turinį bent kartais vartojo 58 proc. respondentų</w:t>
      </w:r>
      <w:r w:rsidR="000606AE" w:rsidRPr="003A78A2">
        <w:t xml:space="preserve">. </w:t>
      </w:r>
      <w:r w:rsidR="008F0E65" w:rsidRPr="003A78A2">
        <w:t>Be to, 48 proc. gyventojų bent vieną nelegalios prieigos ar turinio sklaidos būdą laiko priimtinu, 39 proc. išreiškia pakantumą piratavimui bent vienu aspektu, o 60 proc. nurodo stokojantys informacijos apie nelegalaus turinio daromą žalą ir legalias alternatyvas. Šie rezultatai rodo, kad nelegalaus turinio vartojimą lemia ne tik ekonominiai ar technologiniai veiksniai, bet ir visuomenės nuostatos bei informuotumo lygis, todėl šis reiškinys laikytinas ne tik technologine ar ekonomine, bet ir socialine bei elgsenos problema.</w:t>
      </w:r>
      <w:r w:rsidR="00A83384" w:rsidRPr="003A78A2">
        <w:rPr>
          <w:rStyle w:val="FootnoteReference"/>
        </w:rPr>
        <w:footnoteReference w:id="3"/>
      </w:r>
    </w:p>
    <w:p w14:paraId="7FC50D86" w14:textId="63719100" w:rsidR="00E32BBA" w:rsidRDefault="007B6545" w:rsidP="00A11FAE">
      <w:pPr>
        <w:tabs>
          <w:tab w:val="left" w:pos="1276"/>
        </w:tabs>
        <w:spacing w:line="276" w:lineRule="auto"/>
        <w:ind w:firstLine="851"/>
        <w:jc w:val="both"/>
        <w:rPr>
          <w:szCs w:val="24"/>
          <w:lang w:eastAsia="lt-LT"/>
        </w:rPr>
      </w:pPr>
      <w:r w:rsidRPr="007B6545">
        <w:rPr>
          <w:szCs w:val="24"/>
          <w:lang w:eastAsia="lt-LT"/>
        </w:rPr>
        <w:t>1.3</w:t>
      </w:r>
      <w:r w:rsidR="00BD44A2">
        <w:rPr>
          <w:szCs w:val="24"/>
          <w:lang w:eastAsia="lt-LT"/>
        </w:rPr>
        <w:t xml:space="preserve">. </w:t>
      </w:r>
      <w:r w:rsidR="00BD44A2" w:rsidRPr="00BD44A2">
        <w:rPr>
          <w:szCs w:val="24"/>
          <w:lang w:eastAsia="lt-LT"/>
        </w:rPr>
        <w:t>Nepaisant augančio legalaus turinio prieinamumo ir vartotojų galimybių rinktis teisėtas alternatyvas, nelegalaus turinio vartojimas išlieka paplitęs ir daro reikšmingą neigiamą poveikį kūrybinėms industrijoms.</w:t>
      </w:r>
      <w:r w:rsidR="00BD44A2">
        <w:rPr>
          <w:szCs w:val="24"/>
          <w:lang w:eastAsia="lt-LT"/>
        </w:rPr>
        <w:t xml:space="preserve"> </w:t>
      </w:r>
      <w:r w:rsidR="00D37A49" w:rsidRPr="00D37A49">
        <w:rPr>
          <w:szCs w:val="24"/>
          <w:lang w:eastAsia="lt-LT"/>
        </w:rPr>
        <w:t>Nelegali turinio sklaida mažina autorių, atlikėjų, prodiuserių ir kitų teisių turėtojų pajamas, taip silpnindama paskatas kurti naują turinį ir investuoti į jo kūrimą bei sklaidą.</w:t>
      </w:r>
      <w:r w:rsidR="00D37A49">
        <w:rPr>
          <w:szCs w:val="24"/>
          <w:lang w:eastAsia="lt-LT"/>
        </w:rPr>
        <w:t xml:space="preserve"> </w:t>
      </w:r>
      <w:r w:rsidR="00945135" w:rsidRPr="00945135">
        <w:rPr>
          <w:szCs w:val="24"/>
          <w:lang w:eastAsia="lt-LT"/>
        </w:rPr>
        <w:t xml:space="preserve">Be to, nelegalaus turinio vartojimas iškraipo konkurencines sąlygas rinkoje, nes nelegalūs turinio platintojai veikia nepatirdami su teisėta veikla susijusių kaštų, tokių kaip licencijavimo, turinio kūrimo ar mokesčių mokėjimo prievolės. Tai daro neigiamą įtaką legalių verslo modelių </w:t>
      </w:r>
      <w:r w:rsidR="00FA102E">
        <w:rPr>
          <w:szCs w:val="24"/>
          <w:lang w:eastAsia="lt-LT"/>
        </w:rPr>
        <w:t>veikimui</w:t>
      </w:r>
      <w:r w:rsidR="00945135" w:rsidRPr="00945135">
        <w:rPr>
          <w:szCs w:val="24"/>
          <w:lang w:eastAsia="lt-LT"/>
        </w:rPr>
        <w:t xml:space="preserve">, riboja inovacijų diegimą ir gali mažinti teisėtų skaitmeninių paslaugų patrauklumą bei prieinamumą </w:t>
      </w:r>
      <w:r w:rsidR="00945135" w:rsidRPr="00945135">
        <w:rPr>
          <w:szCs w:val="24"/>
          <w:lang w:eastAsia="lt-LT"/>
        </w:rPr>
        <w:lastRenderedPageBreak/>
        <w:t>vartotojams.</w:t>
      </w:r>
      <w:r w:rsidR="00A11FAE">
        <w:rPr>
          <w:szCs w:val="24"/>
          <w:lang w:eastAsia="lt-LT"/>
        </w:rPr>
        <w:t xml:space="preserve"> </w:t>
      </w:r>
      <w:r w:rsidR="00945135" w:rsidRPr="00945135">
        <w:rPr>
          <w:szCs w:val="24"/>
          <w:lang w:eastAsia="lt-LT"/>
        </w:rPr>
        <w:t>Nelegalaus turinio vartojimas taip pat turi platesnį ekonominį poveikį – mažėja valstybės biudžeto pajamos iš mokesčių, susijusių su kūrybinių industrijų veikla, o ilgalaikėje perspektyvoje gali būti daromas neigiamas poveikis užimtumui šiame sektoriuje. Atsižvelgiant į tai, nelegalaus turinio vartojimo mastas ir jo pokyčiai yra svarbūs vertinant ne tik autorių teisių apsaugos situaciją, bet ir platesnius ekonominius bei socialinius padarinius.</w:t>
      </w:r>
    </w:p>
    <w:p w14:paraId="3E69DD91" w14:textId="453A42DC" w:rsidR="00E72C29" w:rsidRPr="00E72C29" w:rsidRDefault="000618E4" w:rsidP="00E72C29">
      <w:pPr>
        <w:tabs>
          <w:tab w:val="left" w:pos="1276"/>
        </w:tabs>
        <w:spacing w:line="276" w:lineRule="auto"/>
        <w:ind w:firstLine="851"/>
        <w:jc w:val="both"/>
        <w:rPr>
          <w:szCs w:val="24"/>
          <w:lang w:eastAsia="lt-LT"/>
        </w:rPr>
      </w:pPr>
      <w:r w:rsidRPr="00E32BBA">
        <w:rPr>
          <w:szCs w:val="24"/>
          <w:lang w:eastAsia="lt-LT"/>
        </w:rPr>
        <w:t xml:space="preserve">1.4. </w:t>
      </w:r>
      <w:r w:rsidR="00E72C29" w:rsidRPr="00E72C29">
        <w:rPr>
          <w:szCs w:val="24"/>
          <w:lang w:eastAsia="lt-LT"/>
        </w:rPr>
        <w:t xml:space="preserve">Siekiant formuoti efektyvią autorių teisių apsaugos politiką skaitmeninėje erdvėje, būtina turėti patikimus ir reguliariai atnaujinamus duomenis apie legalaus ir nelegalaus turinio vartojimo įpročius, šio turinio pasirinkimo priežastis, vartojimo būdus, neigiamas pasekmes, taip pat visuomenės žinias, įsitikinimus, nuostatas bei komunikaciją socialinėje erdvėje ir </w:t>
      </w:r>
      <w:r w:rsidR="00CC2332">
        <w:rPr>
          <w:szCs w:val="24"/>
          <w:lang w:eastAsia="lt-LT"/>
        </w:rPr>
        <w:t>artimoje aplinkoje</w:t>
      </w:r>
      <w:r w:rsidR="00E72C29" w:rsidRPr="00E72C29">
        <w:rPr>
          <w:szCs w:val="24"/>
          <w:lang w:eastAsia="lt-LT"/>
        </w:rPr>
        <w:t>.</w:t>
      </w:r>
    </w:p>
    <w:p w14:paraId="21C2673A" w14:textId="7AE378F1" w:rsidR="00E72C29" w:rsidRPr="00E72C29" w:rsidRDefault="00E72C29" w:rsidP="00E72C29">
      <w:pPr>
        <w:tabs>
          <w:tab w:val="left" w:pos="1276"/>
        </w:tabs>
        <w:spacing w:line="276" w:lineRule="auto"/>
        <w:ind w:firstLine="851"/>
        <w:jc w:val="both"/>
        <w:rPr>
          <w:szCs w:val="24"/>
          <w:lang w:eastAsia="lt-LT"/>
        </w:rPr>
      </w:pPr>
      <w:r w:rsidRPr="00E72C29">
        <w:rPr>
          <w:szCs w:val="24"/>
          <w:lang w:eastAsia="lt-LT"/>
        </w:rPr>
        <w:t>Taip pat svarbu užtikrinti tęstinę šio reiškinio stebėseną, leidžiančią vertinti ne tik legalaus ir nelegalaus turinio vartojimo mastą, pobūdį ir jį lemiančius veiksnius, bet ir šio vartojimo pokyčius laike, nustatyti naujas tendencijas bei sudaryti prielaidas įrodymais grįstam sprendimų priėmimui.</w:t>
      </w:r>
    </w:p>
    <w:p w14:paraId="702E6D72" w14:textId="32D27002" w:rsidR="00945135" w:rsidRDefault="00E72C29" w:rsidP="00E72C29">
      <w:pPr>
        <w:tabs>
          <w:tab w:val="left" w:pos="1276"/>
        </w:tabs>
        <w:spacing w:line="276" w:lineRule="auto"/>
        <w:ind w:firstLine="851"/>
        <w:jc w:val="both"/>
        <w:rPr>
          <w:szCs w:val="24"/>
          <w:lang w:eastAsia="lt-LT"/>
        </w:rPr>
      </w:pPr>
      <w:r w:rsidRPr="00E72C29">
        <w:rPr>
          <w:szCs w:val="24"/>
          <w:lang w:eastAsia="lt-LT"/>
        </w:rPr>
        <w:t xml:space="preserve">Siekiant užtikrinti duomenų tęstinumą ir galimybę vertinti pokyčius laike, numatoma periodiškai (kas dvejus metus) vykdyti tyrimus, taikant Kultūros ministerijos užsakymu </w:t>
      </w:r>
      <w:r w:rsidR="00852CB2">
        <w:rPr>
          <w:szCs w:val="24"/>
          <w:lang w:eastAsia="lt-LT"/>
        </w:rPr>
        <w:t xml:space="preserve">parengtą </w:t>
      </w:r>
      <w:r w:rsidR="009B26ED">
        <w:rPr>
          <w:szCs w:val="24"/>
          <w:lang w:eastAsia="lt-LT"/>
        </w:rPr>
        <w:t>M</w:t>
      </w:r>
      <w:r w:rsidRPr="00E72C29">
        <w:rPr>
          <w:szCs w:val="24"/>
          <w:lang w:eastAsia="lt-LT"/>
        </w:rPr>
        <w:t xml:space="preserve">etodiką. Šiuo metu užsakomas tyrimas yra tęstinis ir </w:t>
      </w:r>
      <w:r w:rsidR="004829B5">
        <w:rPr>
          <w:szCs w:val="24"/>
          <w:lang w:eastAsia="lt-LT"/>
        </w:rPr>
        <w:t>tikimasi</w:t>
      </w:r>
      <w:r w:rsidR="008A4CDA">
        <w:rPr>
          <w:szCs w:val="24"/>
          <w:lang w:eastAsia="lt-LT"/>
        </w:rPr>
        <w:t xml:space="preserve">, kad </w:t>
      </w:r>
      <w:r w:rsidRPr="00E72C29">
        <w:rPr>
          <w:szCs w:val="24"/>
          <w:lang w:eastAsia="lt-LT"/>
        </w:rPr>
        <w:t>leis palyginti gautus duomenis su 2024 m. atlikto tyrimo rezultatais. Tai sudarys galimybę nustatyti vartojimo lygio pokyčius, identifikuoti tendencijas bei prognozuoti jų raidą.</w:t>
      </w:r>
    </w:p>
    <w:p w14:paraId="3B7F1A58" w14:textId="77777777" w:rsidR="00B05541" w:rsidRDefault="00B05541" w:rsidP="00A01AE3">
      <w:pPr>
        <w:tabs>
          <w:tab w:val="left" w:pos="284"/>
        </w:tabs>
        <w:spacing w:line="276" w:lineRule="auto"/>
        <w:rPr>
          <w:rFonts w:eastAsia="Calibri"/>
          <w:color w:val="FF0000"/>
        </w:rPr>
      </w:pPr>
    </w:p>
    <w:p w14:paraId="16227D29" w14:textId="77777777" w:rsidR="00B05541" w:rsidRDefault="00B05541" w:rsidP="00B05541">
      <w:pPr>
        <w:tabs>
          <w:tab w:val="left" w:pos="284"/>
        </w:tabs>
        <w:spacing w:line="276" w:lineRule="auto"/>
        <w:jc w:val="center"/>
        <w:rPr>
          <w:rFonts w:eastAsia="Calibri"/>
          <w:b/>
          <w:szCs w:val="24"/>
          <w:lang w:eastAsia="ar-SA"/>
        </w:rPr>
      </w:pPr>
      <w:r w:rsidRPr="007E5CD3">
        <w:rPr>
          <w:rFonts w:eastAsia="Calibri"/>
          <w:b/>
          <w:szCs w:val="24"/>
          <w:lang w:val="pt-BR" w:eastAsia="ar-SA"/>
        </w:rPr>
        <w:t>2</w:t>
      </w:r>
      <w:r>
        <w:rPr>
          <w:rFonts w:eastAsia="Calibri"/>
          <w:b/>
          <w:szCs w:val="24"/>
          <w:lang w:eastAsia="ar-SA"/>
        </w:rPr>
        <w:t>. PIRKIMO OBJEKTAS, UŽDAVINIAI IR LAUKIAMI REZULTATAI IR JŲ PATEIKIMO FORMA, TERMINAI</w:t>
      </w:r>
    </w:p>
    <w:p w14:paraId="4428438B" w14:textId="77777777" w:rsidR="00B05541" w:rsidRDefault="00B05541" w:rsidP="00B05541">
      <w:pPr>
        <w:tabs>
          <w:tab w:val="left" w:pos="284"/>
        </w:tabs>
        <w:spacing w:line="276" w:lineRule="auto"/>
        <w:jc w:val="center"/>
        <w:rPr>
          <w:szCs w:val="24"/>
          <w:lang w:eastAsia="lt-LT"/>
        </w:rPr>
      </w:pPr>
    </w:p>
    <w:p w14:paraId="526FD4E9" w14:textId="4044C308" w:rsidR="00682C6F" w:rsidRDefault="00B05541" w:rsidP="0002306C">
      <w:pPr>
        <w:tabs>
          <w:tab w:val="left" w:pos="993"/>
        </w:tabs>
        <w:spacing w:line="276" w:lineRule="auto"/>
        <w:ind w:firstLine="851"/>
        <w:jc w:val="both"/>
        <w:rPr>
          <w:szCs w:val="24"/>
          <w:lang w:eastAsia="lt-LT"/>
        </w:rPr>
      </w:pPr>
      <w:r>
        <w:rPr>
          <w:szCs w:val="24"/>
          <w:lang w:eastAsia="lt-LT"/>
        </w:rPr>
        <w:t>2.1.</w:t>
      </w:r>
      <w:r>
        <w:rPr>
          <w:b/>
          <w:szCs w:val="24"/>
          <w:lang w:eastAsia="lt-LT"/>
        </w:rPr>
        <w:t xml:space="preserve"> Pirkimo objektas</w:t>
      </w:r>
      <w:r w:rsidR="00C841BA">
        <w:rPr>
          <w:b/>
          <w:szCs w:val="24"/>
          <w:lang w:eastAsia="lt-LT"/>
        </w:rPr>
        <w:t xml:space="preserve"> -</w:t>
      </w:r>
      <w:r>
        <w:rPr>
          <w:szCs w:val="24"/>
          <w:lang w:eastAsia="lt-LT"/>
        </w:rPr>
        <w:t xml:space="preserve"> </w:t>
      </w:r>
      <w:r w:rsidR="002A723F" w:rsidRPr="002A723F">
        <w:rPr>
          <w:szCs w:val="24"/>
          <w:lang w:eastAsia="lt-LT"/>
        </w:rPr>
        <w:t>Lietuvos gyventojų nelegalaus turinio naudojimo lygio pokyčio tyrim</w:t>
      </w:r>
      <w:r w:rsidR="00524DCD">
        <w:rPr>
          <w:szCs w:val="24"/>
          <w:lang w:eastAsia="lt-LT"/>
        </w:rPr>
        <w:t xml:space="preserve">o </w:t>
      </w:r>
      <w:r>
        <w:rPr>
          <w:szCs w:val="24"/>
          <w:lang w:eastAsia="lt-LT"/>
        </w:rPr>
        <w:t>(toliau – Tyrimas) paslaugos (toliau – paslaugos).</w:t>
      </w:r>
    </w:p>
    <w:p w14:paraId="308E024B" w14:textId="77777777" w:rsidR="00B05541" w:rsidRDefault="00B05541" w:rsidP="00B05541">
      <w:pPr>
        <w:tabs>
          <w:tab w:val="left" w:pos="993"/>
        </w:tabs>
        <w:spacing w:line="276" w:lineRule="auto"/>
        <w:ind w:firstLine="851"/>
        <w:jc w:val="both"/>
        <w:rPr>
          <w:b/>
          <w:szCs w:val="24"/>
          <w:lang w:eastAsia="lt-LT"/>
        </w:rPr>
      </w:pPr>
      <w:r>
        <w:rPr>
          <w:szCs w:val="24"/>
          <w:lang w:eastAsia="lt-LT"/>
        </w:rPr>
        <w:t>2.2.</w:t>
      </w:r>
      <w:r>
        <w:rPr>
          <w:b/>
          <w:szCs w:val="24"/>
          <w:lang w:eastAsia="lt-LT"/>
        </w:rPr>
        <w:t xml:space="preserve"> Uždaviniai: </w:t>
      </w:r>
    </w:p>
    <w:p w14:paraId="52FAD056" w14:textId="6FEA49C7" w:rsidR="00B05541" w:rsidRDefault="00B05541" w:rsidP="00B05541">
      <w:pPr>
        <w:tabs>
          <w:tab w:val="left" w:pos="1276"/>
        </w:tabs>
        <w:spacing w:line="276" w:lineRule="auto"/>
        <w:ind w:firstLine="851"/>
        <w:jc w:val="both"/>
        <w:rPr>
          <w:rFonts w:eastAsia="Calibri"/>
          <w:szCs w:val="24"/>
        </w:rPr>
      </w:pPr>
      <w:r>
        <w:rPr>
          <w:rFonts w:eastAsia="Calibri"/>
          <w:szCs w:val="24"/>
        </w:rPr>
        <w:t>2.2.1.</w:t>
      </w:r>
      <w:r>
        <w:rPr>
          <w:b/>
          <w:szCs w:val="24"/>
          <w:lang w:eastAsia="lt-LT"/>
        </w:rPr>
        <w:t xml:space="preserve"> </w:t>
      </w:r>
      <w:r w:rsidRPr="00E83A58">
        <w:rPr>
          <w:rFonts w:eastAsia="Calibri"/>
          <w:szCs w:val="24"/>
        </w:rPr>
        <w:t xml:space="preserve">vadovaujantis </w:t>
      </w:r>
      <w:r>
        <w:rPr>
          <w:rFonts w:eastAsia="Calibri"/>
          <w:szCs w:val="24"/>
        </w:rPr>
        <w:t>M</w:t>
      </w:r>
      <w:r w:rsidRPr="00E83A58">
        <w:rPr>
          <w:rFonts w:eastAsia="Calibri"/>
          <w:szCs w:val="24"/>
        </w:rPr>
        <w:t>etodika</w:t>
      </w:r>
      <w:r w:rsidR="00B461AD">
        <w:rPr>
          <w:rStyle w:val="FootnoteReference"/>
          <w:rFonts w:eastAsia="Calibri"/>
          <w:szCs w:val="24"/>
        </w:rPr>
        <w:footnoteReference w:id="4"/>
      </w:r>
      <w:r w:rsidRPr="00E83A58">
        <w:rPr>
          <w:rFonts w:eastAsia="Calibri"/>
          <w:szCs w:val="24"/>
        </w:rPr>
        <w:t xml:space="preserve"> atlikti tyrimą</w:t>
      </w:r>
      <w:r>
        <w:rPr>
          <w:rFonts w:eastAsia="Calibri"/>
          <w:szCs w:val="24"/>
        </w:rPr>
        <w:t>, kuris atitiktų šiuos reikalavimus:</w:t>
      </w:r>
    </w:p>
    <w:p w14:paraId="7B174BF4" w14:textId="411FADC2" w:rsidR="00B05541" w:rsidRDefault="00B05541" w:rsidP="00B05541">
      <w:pPr>
        <w:tabs>
          <w:tab w:val="left" w:pos="1276"/>
        </w:tabs>
        <w:spacing w:line="276" w:lineRule="auto"/>
        <w:ind w:firstLine="851"/>
        <w:jc w:val="both"/>
        <w:rPr>
          <w:rFonts w:eastAsia="Calibri"/>
          <w:color w:val="000000" w:themeColor="text1"/>
          <w:szCs w:val="24"/>
        </w:rPr>
      </w:pPr>
      <w:r w:rsidRPr="00773D06">
        <w:rPr>
          <w:rFonts w:eastAsia="Calibri"/>
          <w:szCs w:val="24"/>
        </w:rPr>
        <w:t>2.2.1.1. taikyti visas Metodikos sudėtines dalis naudojant išplėstinį (visą) klausimyną</w:t>
      </w:r>
      <w:r w:rsidRPr="00773D06">
        <w:rPr>
          <w:rFonts w:eastAsia="Calibri"/>
          <w:color w:val="000000" w:themeColor="text1"/>
          <w:szCs w:val="24"/>
        </w:rPr>
        <w:t>;</w:t>
      </w:r>
    </w:p>
    <w:p w14:paraId="47C9D23E" w14:textId="38FA4F76" w:rsidR="00B05541" w:rsidRDefault="00B05541" w:rsidP="00B05541">
      <w:pPr>
        <w:tabs>
          <w:tab w:val="left" w:pos="1276"/>
        </w:tabs>
        <w:spacing w:line="276" w:lineRule="auto"/>
        <w:ind w:firstLine="851"/>
        <w:jc w:val="both"/>
        <w:rPr>
          <w:rFonts w:eastAsia="Calibri"/>
          <w:color w:val="000000" w:themeColor="text1"/>
          <w:szCs w:val="24"/>
        </w:rPr>
      </w:pPr>
      <w:r>
        <w:rPr>
          <w:rFonts w:eastAsia="Calibri"/>
          <w:szCs w:val="24"/>
        </w:rPr>
        <w:t>2.2.1.</w:t>
      </w:r>
      <w:r>
        <w:rPr>
          <w:rFonts w:eastAsia="Calibri"/>
          <w:color w:val="000000" w:themeColor="text1"/>
          <w:szCs w:val="24"/>
        </w:rPr>
        <w:t xml:space="preserve">2. </w:t>
      </w:r>
      <w:r w:rsidR="00892B31">
        <w:rPr>
          <w:rFonts w:eastAsia="Calibri"/>
          <w:color w:val="000000" w:themeColor="text1"/>
          <w:szCs w:val="24"/>
        </w:rPr>
        <w:t>iš</w:t>
      </w:r>
      <w:r w:rsidRPr="00DD178B">
        <w:rPr>
          <w:rFonts w:eastAsia="Calibri"/>
          <w:color w:val="000000" w:themeColor="text1"/>
          <w:szCs w:val="24"/>
        </w:rPr>
        <w:t>tir</w:t>
      </w:r>
      <w:r>
        <w:rPr>
          <w:rFonts w:eastAsia="Calibri"/>
          <w:color w:val="000000" w:themeColor="text1"/>
          <w:szCs w:val="24"/>
        </w:rPr>
        <w:t>ti</w:t>
      </w:r>
      <w:r w:rsidRPr="00DD178B">
        <w:rPr>
          <w:rFonts w:eastAsia="Calibri"/>
          <w:color w:val="000000" w:themeColor="text1"/>
          <w:szCs w:val="24"/>
        </w:rPr>
        <w:t xml:space="preserve"> dvi </w:t>
      </w:r>
      <w:r>
        <w:rPr>
          <w:rFonts w:eastAsia="Calibri"/>
          <w:color w:val="000000" w:themeColor="text1"/>
          <w:szCs w:val="24"/>
        </w:rPr>
        <w:t xml:space="preserve">tikslines grupes: </w:t>
      </w:r>
      <w:r w:rsidRPr="00784886">
        <w:rPr>
          <w:rFonts w:eastAsia="Calibri"/>
          <w:color w:val="000000" w:themeColor="text1"/>
          <w:szCs w:val="24"/>
        </w:rPr>
        <w:t>14–64 metų Lietuvos gyventojai,</w:t>
      </w:r>
      <w:r>
        <w:rPr>
          <w:rFonts w:eastAsia="Calibri"/>
          <w:color w:val="000000" w:themeColor="text1"/>
          <w:szCs w:val="24"/>
        </w:rPr>
        <w:t xml:space="preserve"> </w:t>
      </w:r>
      <w:r w:rsidRPr="00784886">
        <w:rPr>
          <w:rFonts w:eastAsia="Calibri"/>
          <w:color w:val="000000" w:themeColor="text1"/>
          <w:szCs w:val="24"/>
        </w:rPr>
        <w:t>besinaudojantys internetu,</w:t>
      </w:r>
      <w:r>
        <w:rPr>
          <w:rFonts w:eastAsia="Calibri"/>
          <w:color w:val="000000" w:themeColor="text1"/>
          <w:szCs w:val="24"/>
        </w:rPr>
        <w:t xml:space="preserve"> </w:t>
      </w:r>
      <w:r w:rsidRPr="00784886">
        <w:rPr>
          <w:rFonts w:eastAsia="Calibri"/>
          <w:color w:val="000000" w:themeColor="text1"/>
          <w:szCs w:val="24"/>
        </w:rPr>
        <w:t>papildomai išskiriant 14–29 m.</w:t>
      </w:r>
      <w:r>
        <w:rPr>
          <w:rFonts w:eastAsia="Calibri"/>
          <w:color w:val="000000" w:themeColor="text1"/>
          <w:szCs w:val="24"/>
        </w:rPr>
        <w:t xml:space="preserve"> </w:t>
      </w:r>
      <w:r w:rsidRPr="00784886">
        <w:rPr>
          <w:rFonts w:eastAsia="Calibri"/>
          <w:color w:val="000000" w:themeColor="text1"/>
          <w:szCs w:val="24"/>
        </w:rPr>
        <w:t>amžiaus gyventojus</w:t>
      </w:r>
      <w:r>
        <w:rPr>
          <w:rFonts w:eastAsia="Calibri"/>
          <w:color w:val="000000" w:themeColor="text1"/>
          <w:szCs w:val="24"/>
        </w:rPr>
        <w:t xml:space="preserve"> (toliau – tikslinės grupės);</w:t>
      </w:r>
    </w:p>
    <w:p w14:paraId="24935F14" w14:textId="77777777" w:rsidR="00B05541" w:rsidRPr="0013398C" w:rsidRDefault="00B05541" w:rsidP="00B05541">
      <w:pPr>
        <w:tabs>
          <w:tab w:val="left" w:pos="1276"/>
        </w:tabs>
        <w:spacing w:line="276" w:lineRule="auto"/>
        <w:ind w:firstLine="851"/>
        <w:jc w:val="both"/>
        <w:rPr>
          <w:rFonts w:eastAsia="Calibri"/>
          <w:color w:val="000000" w:themeColor="text1"/>
          <w:szCs w:val="24"/>
        </w:rPr>
      </w:pPr>
      <w:r>
        <w:rPr>
          <w:rFonts w:eastAsia="Calibri"/>
          <w:szCs w:val="24"/>
        </w:rPr>
        <w:t>2.2.1.</w:t>
      </w:r>
      <w:r>
        <w:rPr>
          <w:rFonts w:eastAsia="Calibri"/>
          <w:color w:val="000000" w:themeColor="text1"/>
          <w:szCs w:val="24"/>
        </w:rPr>
        <w:t>3. a</w:t>
      </w:r>
      <w:r w:rsidRPr="00DD178B">
        <w:rPr>
          <w:rFonts w:eastAsia="Calibri"/>
          <w:color w:val="000000" w:themeColor="text1"/>
          <w:szCs w:val="24"/>
        </w:rPr>
        <w:t>tskir</w:t>
      </w:r>
      <w:r>
        <w:rPr>
          <w:rFonts w:eastAsia="Calibri"/>
          <w:color w:val="000000" w:themeColor="text1"/>
          <w:szCs w:val="24"/>
        </w:rPr>
        <w:t>ą</w:t>
      </w:r>
      <w:r w:rsidRPr="00DD178B">
        <w:rPr>
          <w:rFonts w:eastAsia="Calibri"/>
          <w:color w:val="000000" w:themeColor="text1"/>
          <w:szCs w:val="24"/>
        </w:rPr>
        <w:t xml:space="preserve"> dėmes</w:t>
      </w:r>
      <w:r>
        <w:rPr>
          <w:rFonts w:eastAsia="Calibri"/>
          <w:color w:val="000000" w:themeColor="text1"/>
          <w:szCs w:val="24"/>
        </w:rPr>
        <w:t>į</w:t>
      </w:r>
      <w:r w:rsidRPr="00DD178B">
        <w:rPr>
          <w:rFonts w:eastAsia="Calibri"/>
          <w:color w:val="000000" w:themeColor="text1"/>
          <w:szCs w:val="24"/>
        </w:rPr>
        <w:t xml:space="preserve"> skir</w:t>
      </w:r>
      <w:r>
        <w:rPr>
          <w:rFonts w:eastAsia="Calibri"/>
          <w:color w:val="000000" w:themeColor="text1"/>
          <w:szCs w:val="24"/>
        </w:rPr>
        <w:t>ti</w:t>
      </w:r>
      <w:r w:rsidRPr="00DD178B">
        <w:rPr>
          <w:rFonts w:eastAsia="Calibri"/>
          <w:color w:val="000000" w:themeColor="text1"/>
          <w:szCs w:val="24"/>
        </w:rPr>
        <w:t xml:space="preserve"> jaunimo nelegalaus turinio vartojimo įpročių analizei</w:t>
      </w:r>
      <w:r>
        <w:rPr>
          <w:rFonts w:eastAsia="Calibri"/>
          <w:color w:val="000000" w:themeColor="text1"/>
          <w:szCs w:val="24"/>
        </w:rPr>
        <w:t xml:space="preserve">, nes </w:t>
      </w:r>
      <w:r w:rsidRPr="00B22865">
        <w:rPr>
          <w:rFonts w:eastAsia="Calibri"/>
          <w:szCs w:val="24"/>
        </w:rPr>
        <w:t>pastaroji tikslinė grupė dėl didesnio nelegalaus turinio vartojimo turi būti stebima atskirai.</w:t>
      </w:r>
      <w:r w:rsidRPr="00DD178B">
        <w:rPr>
          <w:rFonts w:eastAsia="Calibri"/>
          <w:color w:val="000000" w:themeColor="text1"/>
          <w:szCs w:val="24"/>
        </w:rPr>
        <w:t xml:space="preserve"> </w:t>
      </w:r>
      <w:r>
        <w:rPr>
          <w:rFonts w:eastAsia="Calibri"/>
          <w:color w:val="000000" w:themeColor="text1"/>
          <w:szCs w:val="24"/>
        </w:rPr>
        <w:t xml:space="preserve">Šių dviejų tikslinių grupių tyrimo duomenys </w:t>
      </w:r>
      <w:r w:rsidRPr="0013398C">
        <w:rPr>
          <w:rFonts w:eastAsia="Calibri"/>
          <w:color w:val="000000" w:themeColor="text1"/>
          <w:szCs w:val="24"/>
        </w:rPr>
        <w:t>turi būti palyginti tarpusavyje</w:t>
      </w:r>
      <w:r>
        <w:rPr>
          <w:color w:val="000000" w:themeColor="text1"/>
          <w:szCs w:val="24"/>
          <w:lang w:eastAsia="lt-LT"/>
        </w:rPr>
        <w:t>;</w:t>
      </w:r>
    </w:p>
    <w:p w14:paraId="44B351D7" w14:textId="652CFF20" w:rsidR="00B05541" w:rsidRPr="00BB7858" w:rsidRDefault="00B05541" w:rsidP="00B05541">
      <w:pPr>
        <w:tabs>
          <w:tab w:val="left" w:pos="1276"/>
        </w:tabs>
        <w:spacing w:line="276" w:lineRule="auto"/>
        <w:ind w:firstLine="851"/>
        <w:jc w:val="both"/>
        <w:rPr>
          <w:rFonts w:eastAsia="Calibri"/>
          <w:color w:val="000000" w:themeColor="text1"/>
          <w:szCs w:val="24"/>
        </w:rPr>
      </w:pPr>
      <w:r w:rsidRPr="00BB7858">
        <w:rPr>
          <w:rFonts w:eastAsia="Calibri"/>
          <w:color w:val="000000" w:themeColor="text1"/>
          <w:szCs w:val="24"/>
        </w:rPr>
        <w:t>2.2.</w:t>
      </w:r>
      <w:r>
        <w:rPr>
          <w:rFonts w:eastAsia="Calibri"/>
          <w:color w:val="000000" w:themeColor="text1"/>
          <w:szCs w:val="24"/>
        </w:rPr>
        <w:t>2</w:t>
      </w:r>
      <w:r w:rsidRPr="00BB7858">
        <w:rPr>
          <w:rFonts w:eastAsia="Calibri"/>
          <w:color w:val="000000" w:themeColor="text1"/>
          <w:szCs w:val="24"/>
        </w:rPr>
        <w:t>. pateikti</w:t>
      </w:r>
      <w:r w:rsidRPr="00081486">
        <w:rPr>
          <w:rFonts w:eastAsia="Calibri"/>
          <w:color w:val="FF0000"/>
          <w:szCs w:val="24"/>
        </w:rPr>
        <w:t xml:space="preserve"> </w:t>
      </w:r>
      <w:r w:rsidR="006C09C6">
        <w:rPr>
          <w:rFonts w:eastAsia="Calibri"/>
          <w:color w:val="000000" w:themeColor="text1"/>
          <w:szCs w:val="24"/>
        </w:rPr>
        <w:t>n</w:t>
      </w:r>
      <w:r w:rsidRPr="00FE2C6C">
        <w:rPr>
          <w:rFonts w:eastAsia="Calibri"/>
          <w:color w:val="000000" w:themeColor="text1"/>
          <w:szCs w:val="24"/>
        </w:rPr>
        <w:t xml:space="preserve">elegalaus turinio vartojimo tendencijų </w:t>
      </w:r>
      <w:r>
        <w:rPr>
          <w:rFonts w:eastAsia="Calibri"/>
          <w:color w:val="000000" w:themeColor="text1"/>
          <w:szCs w:val="24"/>
        </w:rPr>
        <w:t xml:space="preserve">pagal tikslines grupes </w:t>
      </w:r>
      <w:r w:rsidRPr="00FE2C6C">
        <w:rPr>
          <w:rFonts w:eastAsia="Calibri"/>
          <w:color w:val="000000" w:themeColor="text1"/>
          <w:szCs w:val="24"/>
        </w:rPr>
        <w:t xml:space="preserve">prognozę, </w:t>
      </w:r>
      <w:r w:rsidRPr="00BB7858">
        <w:rPr>
          <w:rFonts w:eastAsia="Calibri"/>
          <w:color w:val="000000" w:themeColor="text1"/>
          <w:szCs w:val="24"/>
        </w:rPr>
        <w:t xml:space="preserve">kaip nelegalaus turinio vartojimo lygis galėtų kisti artimiausioje ateityje. Prognozes pateikti </w:t>
      </w:r>
      <w:r w:rsidR="006C09C6" w:rsidRPr="00BB7858">
        <w:rPr>
          <w:rFonts w:eastAsia="Calibri"/>
          <w:color w:val="000000" w:themeColor="text1"/>
          <w:szCs w:val="24"/>
        </w:rPr>
        <w:t>202</w:t>
      </w:r>
      <w:r w:rsidR="006C09C6">
        <w:rPr>
          <w:rFonts w:eastAsia="Calibri"/>
          <w:color w:val="000000" w:themeColor="text1"/>
          <w:szCs w:val="24"/>
        </w:rPr>
        <w:t>8</w:t>
      </w:r>
      <w:r w:rsidR="006C09C6" w:rsidRPr="00BB7858">
        <w:rPr>
          <w:rFonts w:eastAsia="Calibri"/>
          <w:color w:val="000000" w:themeColor="text1"/>
          <w:szCs w:val="24"/>
        </w:rPr>
        <w:t xml:space="preserve"> </w:t>
      </w:r>
      <w:r w:rsidRPr="00BB7858">
        <w:rPr>
          <w:rFonts w:eastAsia="Calibri"/>
          <w:color w:val="000000" w:themeColor="text1"/>
          <w:szCs w:val="24"/>
        </w:rPr>
        <w:t xml:space="preserve">m., </w:t>
      </w:r>
      <w:r w:rsidR="006C09C6" w:rsidRPr="00BB7858">
        <w:rPr>
          <w:rFonts w:eastAsia="Calibri"/>
          <w:color w:val="000000" w:themeColor="text1"/>
          <w:szCs w:val="24"/>
        </w:rPr>
        <w:t>20</w:t>
      </w:r>
      <w:r w:rsidR="006C09C6">
        <w:rPr>
          <w:rFonts w:eastAsia="Calibri"/>
          <w:color w:val="000000" w:themeColor="text1"/>
          <w:szCs w:val="24"/>
        </w:rPr>
        <w:t>30</w:t>
      </w:r>
      <w:r w:rsidR="006C09C6" w:rsidRPr="00BB7858">
        <w:rPr>
          <w:rFonts w:eastAsia="Calibri"/>
          <w:color w:val="000000" w:themeColor="text1"/>
          <w:szCs w:val="24"/>
        </w:rPr>
        <w:t xml:space="preserve"> </w:t>
      </w:r>
      <w:r w:rsidRPr="00BB7858">
        <w:rPr>
          <w:rFonts w:eastAsia="Calibri"/>
          <w:color w:val="000000" w:themeColor="text1"/>
          <w:szCs w:val="24"/>
        </w:rPr>
        <w:t xml:space="preserve">m. </w:t>
      </w:r>
      <w:r>
        <w:rPr>
          <w:rFonts w:eastAsia="Calibri"/>
          <w:color w:val="000000" w:themeColor="text1"/>
          <w:szCs w:val="24"/>
        </w:rPr>
        <w:t xml:space="preserve">ir </w:t>
      </w:r>
      <w:r w:rsidR="006C09C6" w:rsidRPr="00BB7858">
        <w:rPr>
          <w:rFonts w:eastAsia="Calibri"/>
          <w:color w:val="000000" w:themeColor="text1"/>
          <w:szCs w:val="24"/>
        </w:rPr>
        <w:t>20</w:t>
      </w:r>
      <w:r w:rsidR="006C09C6">
        <w:rPr>
          <w:rFonts w:eastAsia="Calibri"/>
          <w:color w:val="000000" w:themeColor="text1"/>
          <w:szCs w:val="24"/>
        </w:rPr>
        <w:t>32</w:t>
      </w:r>
      <w:r w:rsidR="006C09C6" w:rsidRPr="00BB7858">
        <w:rPr>
          <w:rFonts w:eastAsia="Calibri"/>
          <w:color w:val="000000" w:themeColor="text1"/>
          <w:szCs w:val="24"/>
        </w:rPr>
        <w:t xml:space="preserve"> </w:t>
      </w:r>
      <w:r w:rsidRPr="00BB7858">
        <w:rPr>
          <w:rFonts w:eastAsia="Calibri"/>
          <w:color w:val="000000" w:themeColor="text1"/>
          <w:szCs w:val="24"/>
        </w:rPr>
        <w:t>m.</w:t>
      </w:r>
      <w:r>
        <w:rPr>
          <w:rFonts w:eastAsia="Calibri"/>
          <w:color w:val="000000" w:themeColor="text1"/>
          <w:szCs w:val="24"/>
        </w:rPr>
        <w:t>;</w:t>
      </w:r>
    </w:p>
    <w:p w14:paraId="2E577B33" w14:textId="7AFC408F" w:rsidR="00B05541" w:rsidRDefault="00B05541" w:rsidP="00B05541">
      <w:pPr>
        <w:tabs>
          <w:tab w:val="left" w:pos="993"/>
        </w:tabs>
        <w:spacing w:line="276" w:lineRule="auto"/>
        <w:ind w:firstLine="851"/>
        <w:jc w:val="both"/>
        <w:rPr>
          <w:rFonts w:eastAsia="Calibri"/>
          <w:szCs w:val="24"/>
        </w:rPr>
      </w:pPr>
      <w:r>
        <w:rPr>
          <w:rFonts w:eastAsia="Calibri"/>
          <w:szCs w:val="24"/>
        </w:rPr>
        <w:t>2.2.3. pateikti Lietuvos gyventojų nelegalaus turinio vartojimo lygio nustatymo rezultatą (lygį), kuris būtų išreikštas</w:t>
      </w:r>
      <w:r w:rsidR="006C09C6">
        <w:rPr>
          <w:rFonts w:eastAsia="Calibri"/>
          <w:szCs w:val="24"/>
        </w:rPr>
        <w:t xml:space="preserve"> Metodikoje nustatytu būdu</w:t>
      </w:r>
      <w:r>
        <w:rPr>
          <w:rFonts w:eastAsia="Calibri"/>
          <w:szCs w:val="24"/>
        </w:rPr>
        <w:t xml:space="preserve">. </w:t>
      </w:r>
    </w:p>
    <w:p w14:paraId="3E277A4B" w14:textId="55F7C116" w:rsidR="005E436E" w:rsidRDefault="005E436E" w:rsidP="00B05541">
      <w:pPr>
        <w:tabs>
          <w:tab w:val="left" w:pos="993"/>
        </w:tabs>
        <w:spacing w:line="276" w:lineRule="auto"/>
        <w:ind w:firstLine="851"/>
        <w:jc w:val="both"/>
        <w:rPr>
          <w:rFonts w:eastAsia="Calibri"/>
          <w:szCs w:val="24"/>
        </w:rPr>
      </w:pPr>
      <w:r w:rsidRPr="00E865DE">
        <w:rPr>
          <w:rFonts w:eastAsia="Calibri"/>
          <w:szCs w:val="24"/>
        </w:rPr>
        <w:t xml:space="preserve">2.2.4. </w:t>
      </w:r>
      <w:r w:rsidR="005D2CAF" w:rsidRPr="005D2CAF">
        <w:rPr>
          <w:rFonts w:eastAsia="Calibri"/>
          <w:szCs w:val="24"/>
        </w:rPr>
        <w:t xml:space="preserve">palyginti </w:t>
      </w:r>
      <w:r w:rsidR="00892B31">
        <w:rPr>
          <w:rFonts w:eastAsia="Calibri"/>
          <w:szCs w:val="24"/>
        </w:rPr>
        <w:t xml:space="preserve">ir aprašyti </w:t>
      </w:r>
      <w:r w:rsidR="005D2CAF" w:rsidRPr="005D2CAF">
        <w:rPr>
          <w:rFonts w:eastAsia="Calibri"/>
          <w:szCs w:val="24"/>
        </w:rPr>
        <w:t>2024 m.</w:t>
      </w:r>
      <w:r w:rsidR="009576A6">
        <w:rPr>
          <w:rStyle w:val="FootnoteReference"/>
          <w:rFonts w:eastAsia="Calibri"/>
          <w:szCs w:val="24"/>
        </w:rPr>
        <w:footnoteReference w:id="5"/>
      </w:r>
      <w:r w:rsidR="005D2CAF" w:rsidRPr="005D2CAF">
        <w:rPr>
          <w:rFonts w:eastAsia="Calibri"/>
          <w:szCs w:val="24"/>
        </w:rPr>
        <w:t xml:space="preserve"> ir 2026 m. tyrimų išvadas, </w:t>
      </w:r>
      <w:r w:rsidR="00892B31" w:rsidRPr="005D2CAF">
        <w:rPr>
          <w:rFonts w:eastAsia="Calibri"/>
          <w:szCs w:val="24"/>
        </w:rPr>
        <w:t>nustat</w:t>
      </w:r>
      <w:r w:rsidR="00892B31">
        <w:rPr>
          <w:rFonts w:eastAsia="Calibri"/>
          <w:szCs w:val="24"/>
        </w:rPr>
        <w:t>ant ir išryškinant</w:t>
      </w:r>
      <w:r w:rsidR="00892B31" w:rsidRPr="005D2CAF">
        <w:rPr>
          <w:rFonts w:eastAsia="Calibri"/>
          <w:szCs w:val="24"/>
        </w:rPr>
        <w:t xml:space="preserve"> </w:t>
      </w:r>
      <w:r w:rsidR="005D2CAF" w:rsidRPr="005D2CAF">
        <w:rPr>
          <w:rFonts w:eastAsia="Calibri"/>
          <w:szCs w:val="24"/>
        </w:rPr>
        <w:t>nelegalaus turinio vartojimo pokyčius bei tendencijas tikslinėse grupėse.</w:t>
      </w:r>
    </w:p>
    <w:p w14:paraId="6D1E220D" w14:textId="77777777" w:rsidR="00B05541" w:rsidRDefault="00B05541" w:rsidP="00B05541">
      <w:pPr>
        <w:tabs>
          <w:tab w:val="left" w:pos="1276"/>
        </w:tabs>
        <w:spacing w:line="276" w:lineRule="auto"/>
        <w:ind w:firstLine="851"/>
        <w:jc w:val="both"/>
        <w:rPr>
          <w:szCs w:val="24"/>
          <w:lang w:eastAsia="lt-LT"/>
        </w:rPr>
      </w:pPr>
      <w:r>
        <w:rPr>
          <w:b/>
          <w:szCs w:val="24"/>
          <w:lang w:eastAsia="lt-LT"/>
        </w:rPr>
        <w:t>2.3.</w:t>
      </w:r>
      <w:r>
        <w:rPr>
          <w:szCs w:val="24"/>
          <w:lang w:eastAsia="lt-LT"/>
        </w:rPr>
        <w:t xml:space="preserve"> </w:t>
      </w:r>
      <w:r>
        <w:rPr>
          <w:b/>
          <w:szCs w:val="24"/>
          <w:lang w:eastAsia="lt-LT"/>
        </w:rPr>
        <w:t xml:space="preserve">Laukiami rezultatai: </w:t>
      </w:r>
    </w:p>
    <w:p w14:paraId="380D3459" w14:textId="60FFC629" w:rsidR="00B05541" w:rsidRDefault="00B05541" w:rsidP="00B05541">
      <w:pPr>
        <w:tabs>
          <w:tab w:val="left" w:pos="1276"/>
        </w:tabs>
        <w:spacing w:line="276" w:lineRule="auto"/>
        <w:ind w:firstLine="851"/>
        <w:jc w:val="both"/>
        <w:rPr>
          <w:szCs w:val="24"/>
          <w:lang w:eastAsia="lt-LT"/>
        </w:rPr>
      </w:pPr>
      <w:r>
        <w:rPr>
          <w:szCs w:val="24"/>
          <w:lang w:eastAsia="lt-LT"/>
        </w:rPr>
        <w:lastRenderedPageBreak/>
        <w:t xml:space="preserve">2.3.1. atliktas Tyrimas pagal Metodiką, kuriame atsispindi visi iškelti uždaviniai pagal visus </w:t>
      </w:r>
      <w:r w:rsidRPr="003D5260">
        <w:rPr>
          <w:szCs w:val="24"/>
          <w:lang w:eastAsia="lt-LT"/>
        </w:rPr>
        <w:t>2.2.1</w:t>
      </w:r>
      <w:r w:rsidR="006C09C6">
        <w:rPr>
          <w:szCs w:val="24"/>
          <w:lang w:eastAsia="lt-LT"/>
        </w:rPr>
        <w:t>–</w:t>
      </w:r>
      <w:r w:rsidRPr="003D5260">
        <w:rPr>
          <w:szCs w:val="24"/>
          <w:lang w:eastAsia="lt-LT"/>
        </w:rPr>
        <w:t>2.2.</w:t>
      </w:r>
      <w:r w:rsidR="00892B31">
        <w:rPr>
          <w:szCs w:val="24"/>
          <w:lang w:eastAsia="lt-LT"/>
        </w:rPr>
        <w:t>4</w:t>
      </w:r>
      <w:r w:rsidRPr="003D5260">
        <w:rPr>
          <w:szCs w:val="24"/>
          <w:lang w:eastAsia="lt-LT"/>
        </w:rPr>
        <w:t xml:space="preserve"> </w:t>
      </w:r>
      <w:r w:rsidR="006C09C6">
        <w:rPr>
          <w:szCs w:val="24"/>
          <w:lang w:eastAsia="lt-LT"/>
        </w:rPr>
        <w:t>pa</w:t>
      </w:r>
      <w:r w:rsidR="006C09C6" w:rsidRPr="003D5260">
        <w:rPr>
          <w:szCs w:val="24"/>
          <w:lang w:eastAsia="lt-LT"/>
        </w:rPr>
        <w:t>pun</w:t>
      </w:r>
      <w:r w:rsidR="006C09C6">
        <w:rPr>
          <w:szCs w:val="24"/>
          <w:lang w:eastAsia="lt-LT"/>
        </w:rPr>
        <w:t>kči</w:t>
      </w:r>
      <w:r w:rsidR="006C09C6" w:rsidRPr="003D5260">
        <w:rPr>
          <w:szCs w:val="24"/>
          <w:lang w:eastAsia="lt-LT"/>
        </w:rPr>
        <w:t xml:space="preserve">uose </w:t>
      </w:r>
      <w:r w:rsidRPr="003D5260">
        <w:rPr>
          <w:szCs w:val="24"/>
          <w:lang w:eastAsia="lt-LT"/>
        </w:rPr>
        <w:t>nustatytus reikalavimus</w:t>
      </w:r>
      <w:r>
        <w:rPr>
          <w:szCs w:val="24"/>
          <w:lang w:eastAsia="lt-LT"/>
        </w:rPr>
        <w:t>;</w:t>
      </w:r>
    </w:p>
    <w:p w14:paraId="6D9E1C43" w14:textId="7F5BE5E5" w:rsidR="00B05541" w:rsidRDefault="00B05541" w:rsidP="00B05541">
      <w:pPr>
        <w:tabs>
          <w:tab w:val="left" w:pos="1276"/>
        </w:tabs>
        <w:spacing w:line="276" w:lineRule="auto"/>
        <w:ind w:firstLine="851"/>
        <w:jc w:val="both"/>
        <w:rPr>
          <w:szCs w:val="24"/>
          <w:lang w:eastAsia="lt-LT"/>
        </w:rPr>
      </w:pPr>
      <w:r>
        <w:rPr>
          <w:szCs w:val="24"/>
          <w:lang w:eastAsia="lt-LT"/>
        </w:rPr>
        <w:t xml:space="preserve">2.3.2. viešai pristatytas Tyrimas. </w:t>
      </w:r>
      <w:r w:rsidR="00892B31">
        <w:rPr>
          <w:szCs w:val="24"/>
          <w:lang w:eastAsia="lt-LT"/>
        </w:rPr>
        <w:t>Tyrimo p</w:t>
      </w:r>
      <w:r>
        <w:rPr>
          <w:szCs w:val="24"/>
          <w:lang w:eastAsia="lt-LT"/>
        </w:rPr>
        <w:t>ristatymą</w:t>
      </w:r>
      <w:r w:rsidR="00892B31">
        <w:rPr>
          <w:szCs w:val="24"/>
          <w:lang w:eastAsia="lt-LT"/>
        </w:rPr>
        <w:t xml:space="preserve"> (skaidres)</w:t>
      </w:r>
      <w:r>
        <w:rPr>
          <w:szCs w:val="24"/>
          <w:lang w:eastAsia="lt-LT"/>
        </w:rPr>
        <w:t xml:space="preserve">, suderinęs su </w:t>
      </w:r>
      <w:r w:rsidR="00C46C47">
        <w:rPr>
          <w:szCs w:val="24"/>
          <w:lang w:eastAsia="lt-LT"/>
        </w:rPr>
        <w:t xml:space="preserve">Paslaugų teikėju </w:t>
      </w:r>
      <w:r>
        <w:rPr>
          <w:szCs w:val="24"/>
          <w:lang w:eastAsia="lt-LT"/>
        </w:rPr>
        <w:t xml:space="preserve">organizuoja Užsakovas. </w:t>
      </w:r>
      <w:bookmarkStart w:id="0" w:name="_Hlk106020469"/>
      <w:r w:rsidR="00892B31">
        <w:rPr>
          <w:szCs w:val="24"/>
          <w:lang w:eastAsia="lt-LT"/>
        </w:rPr>
        <w:t>Tyrimo p</w:t>
      </w:r>
      <w:r>
        <w:rPr>
          <w:szCs w:val="24"/>
          <w:lang w:eastAsia="lt-LT"/>
        </w:rPr>
        <w:t>ristatymas, esant abiejų šalių pritarimui, gali būti organizuojamas naudojant elektronines ryšio priemones;</w:t>
      </w:r>
    </w:p>
    <w:bookmarkEnd w:id="0"/>
    <w:p w14:paraId="65AF1FB0" w14:textId="5AA0F0A6" w:rsidR="00B05541" w:rsidRPr="00BA61E7" w:rsidRDefault="00B05541" w:rsidP="00B05541">
      <w:pPr>
        <w:tabs>
          <w:tab w:val="left" w:pos="1276"/>
        </w:tabs>
        <w:spacing w:line="276" w:lineRule="auto"/>
        <w:ind w:firstLine="851"/>
        <w:jc w:val="both"/>
        <w:rPr>
          <w:szCs w:val="24"/>
          <w:lang w:eastAsia="lt-LT"/>
        </w:rPr>
      </w:pPr>
      <w:r>
        <w:rPr>
          <w:rFonts w:eastAsia="Calibri"/>
          <w:szCs w:val="24"/>
          <w:lang w:eastAsia="ar-SA"/>
        </w:rPr>
        <w:t xml:space="preserve">2.3.3. pateikta suredaguota ir sumaketuota </w:t>
      </w:r>
      <w:r>
        <w:rPr>
          <w:szCs w:val="24"/>
          <w:lang w:eastAsia="lt-LT"/>
        </w:rPr>
        <w:t>galutinė Tyrimo ataskaita. Tyrimo ataskaita turi būti pateikta taisyklinga lietuvių kalba</w:t>
      </w:r>
      <w:r>
        <w:rPr>
          <w:rFonts w:eastAsia="Calibri"/>
          <w:szCs w:val="24"/>
          <w:lang w:eastAsia="ar-SA"/>
        </w:rPr>
        <w:t xml:space="preserve"> elektroniniais MS Word ir MS Acrobat </w:t>
      </w:r>
      <w:proofErr w:type="spellStart"/>
      <w:r>
        <w:rPr>
          <w:rFonts w:eastAsia="Calibri"/>
          <w:szCs w:val="24"/>
          <w:lang w:eastAsia="ar-SA"/>
        </w:rPr>
        <w:t>Reader</w:t>
      </w:r>
      <w:proofErr w:type="spellEnd"/>
      <w:r>
        <w:rPr>
          <w:rFonts w:eastAsia="Calibri"/>
          <w:szCs w:val="24"/>
          <w:lang w:eastAsia="ar-SA"/>
        </w:rPr>
        <w:t xml:space="preserve"> DC </w:t>
      </w:r>
      <w:r>
        <w:rPr>
          <w:szCs w:val="24"/>
          <w:lang w:eastAsia="lt-LT"/>
        </w:rPr>
        <w:t xml:space="preserve">formatais. Pateikta Tyrimo ataskaitos santrauka ir </w:t>
      </w:r>
      <w:proofErr w:type="spellStart"/>
      <w:r>
        <w:rPr>
          <w:szCs w:val="24"/>
          <w:lang w:eastAsia="lt-LT"/>
        </w:rPr>
        <w:t>infografikas</w:t>
      </w:r>
      <w:proofErr w:type="spellEnd"/>
      <w:r>
        <w:rPr>
          <w:szCs w:val="24"/>
          <w:lang w:eastAsia="lt-LT"/>
        </w:rPr>
        <w:t xml:space="preserve"> lietuvių ir anglų kalbomis. </w:t>
      </w:r>
      <w:proofErr w:type="spellStart"/>
      <w:r>
        <w:rPr>
          <w:szCs w:val="24"/>
          <w:lang w:eastAsia="lt-LT"/>
        </w:rPr>
        <w:t>Infografikas</w:t>
      </w:r>
      <w:proofErr w:type="spellEnd"/>
      <w:r>
        <w:rPr>
          <w:szCs w:val="24"/>
          <w:lang w:eastAsia="lt-LT"/>
        </w:rPr>
        <w:t xml:space="preserve"> suprantamas kaip vizualinis duomenų, informacijos, statistikos atvaizdavimas. </w:t>
      </w:r>
      <w:proofErr w:type="spellStart"/>
      <w:r>
        <w:rPr>
          <w:szCs w:val="24"/>
          <w:lang w:eastAsia="lt-LT"/>
        </w:rPr>
        <w:t>Infografiką</w:t>
      </w:r>
      <w:proofErr w:type="spellEnd"/>
      <w:r>
        <w:rPr>
          <w:szCs w:val="24"/>
          <w:lang w:eastAsia="lt-LT"/>
        </w:rPr>
        <w:t xml:space="preserve"> turi sudaryti 1</w:t>
      </w:r>
      <w:r w:rsidR="00892B31">
        <w:rPr>
          <w:szCs w:val="24"/>
          <w:lang w:eastAsia="lt-LT"/>
        </w:rPr>
        <w:t xml:space="preserve">– </w:t>
      </w:r>
      <w:r>
        <w:rPr>
          <w:szCs w:val="24"/>
          <w:lang w:eastAsia="lt-LT"/>
        </w:rPr>
        <w:t xml:space="preserve">3 puslapiai, kuriuose vizualiai patraukliai pateiktos grafinės diagramos, atskleidžiančios svarbiausius galutinės Tyrimo ataskaitos rezultatus. </w:t>
      </w:r>
      <w:proofErr w:type="spellStart"/>
      <w:r>
        <w:rPr>
          <w:szCs w:val="24"/>
          <w:lang w:eastAsia="lt-LT"/>
        </w:rPr>
        <w:t>Infografikas</w:t>
      </w:r>
      <w:proofErr w:type="spellEnd"/>
      <w:r>
        <w:rPr>
          <w:szCs w:val="24"/>
          <w:lang w:eastAsia="lt-LT"/>
        </w:rPr>
        <w:t xml:space="preserve"> turi būti pritaikomas viešinimui socialiniuose tinkluose. Taip pat turi būti pateiktos T</w:t>
      </w:r>
      <w:r w:rsidRPr="00151564">
        <w:rPr>
          <w:szCs w:val="24"/>
          <w:lang w:eastAsia="lt-LT"/>
        </w:rPr>
        <w:t>yrimo pristatymo skaidrės</w:t>
      </w:r>
      <w:r>
        <w:rPr>
          <w:szCs w:val="24"/>
          <w:lang w:eastAsia="lt-LT"/>
        </w:rPr>
        <w:t>;</w:t>
      </w:r>
    </w:p>
    <w:p w14:paraId="0A5F8BC4" w14:textId="4C9EA908" w:rsidR="00B05541" w:rsidRDefault="00B05541" w:rsidP="00B05541">
      <w:pPr>
        <w:tabs>
          <w:tab w:val="left" w:pos="1276"/>
        </w:tabs>
        <w:spacing w:line="276" w:lineRule="auto"/>
        <w:ind w:firstLine="851"/>
        <w:jc w:val="both"/>
        <w:rPr>
          <w:szCs w:val="24"/>
          <w:lang w:eastAsia="lt-LT"/>
        </w:rPr>
      </w:pPr>
      <w:r>
        <w:rPr>
          <w:szCs w:val="24"/>
          <w:lang w:eastAsia="lt-LT"/>
        </w:rPr>
        <w:t>2.3.4. pateiktos rekomendacijos dėl Tyrim</w:t>
      </w:r>
      <w:r w:rsidR="00892B31">
        <w:rPr>
          <w:szCs w:val="24"/>
          <w:lang w:eastAsia="lt-LT"/>
        </w:rPr>
        <w:t>o</w:t>
      </w:r>
      <w:r>
        <w:rPr>
          <w:szCs w:val="24"/>
          <w:lang w:eastAsia="lt-LT"/>
        </w:rPr>
        <w:t xml:space="preserve"> </w:t>
      </w:r>
      <w:r w:rsidRPr="00145EEC">
        <w:rPr>
          <w:szCs w:val="24"/>
          <w:lang w:eastAsia="lt-LT"/>
        </w:rPr>
        <w:t>202</w:t>
      </w:r>
      <w:r w:rsidR="00D2420F">
        <w:rPr>
          <w:szCs w:val="24"/>
          <w:lang w:eastAsia="lt-LT"/>
        </w:rPr>
        <w:t>8</w:t>
      </w:r>
      <w:r w:rsidRPr="00145EEC">
        <w:rPr>
          <w:szCs w:val="24"/>
          <w:lang w:eastAsia="lt-LT"/>
        </w:rPr>
        <w:t xml:space="preserve"> m., 20</w:t>
      </w:r>
      <w:r w:rsidR="00D2420F">
        <w:rPr>
          <w:szCs w:val="24"/>
          <w:lang w:eastAsia="lt-LT"/>
        </w:rPr>
        <w:t>30</w:t>
      </w:r>
      <w:r w:rsidRPr="00145EEC">
        <w:rPr>
          <w:szCs w:val="24"/>
          <w:lang w:eastAsia="lt-LT"/>
        </w:rPr>
        <w:t xml:space="preserve"> m. ir 203</w:t>
      </w:r>
      <w:r w:rsidR="00D2420F">
        <w:rPr>
          <w:szCs w:val="24"/>
          <w:lang w:eastAsia="lt-LT"/>
        </w:rPr>
        <w:t>2</w:t>
      </w:r>
      <w:r w:rsidRPr="00145EEC">
        <w:rPr>
          <w:szCs w:val="24"/>
          <w:lang w:eastAsia="lt-LT"/>
        </w:rPr>
        <w:t xml:space="preserve"> m.</w:t>
      </w:r>
    </w:p>
    <w:p w14:paraId="15975961" w14:textId="3119E51C" w:rsidR="00452E34" w:rsidRPr="0096230E" w:rsidRDefault="00E04ABE" w:rsidP="0096230E">
      <w:pPr>
        <w:tabs>
          <w:tab w:val="left" w:pos="993"/>
        </w:tabs>
        <w:spacing w:line="276" w:lineRule="auto"/>
        <w:ind w:firstLine="851"/>
        <w:jc w:val="both"/>
        <w:rPr>
          <w:rFonts w:eastAsia="Calibri"/>
          <w:szCs w:val="24"/>
        </w:rPr>
      </w:pPr>
      <w:r>
        <w:rPr>
          <w:szCs w:val="24"/>
          <w:lang w:eastAsia="lt-LT"/>
        </w:rPr>
        <w:t xml:space="preserve">2.3.5. pateiktas </w:t>
      </w:r>
      <w:r w:rsidR="00A15928">
        <w:t xml:space="preserve">2024 m. ir 2026 m. tyrimų išvadų palyginimas, leidžiantis įvertinti nelegalaus turinio vartojimo pokyčius ir tendencijas tikslinėse grupėse. </w:t>
      </w:r>
    </w:p>
    <w:p w14:paraId="0E81961A" w14:textId="5795508A" w:rsidR="00B05541" w:rsidRPr="007F6D66" w:rsidRDefault="00B05541" w:rsidP="00B05541">
      <w:pPr>
        <w:tabs>
          <w:tab w:val="left" w:pos="1276"/>
        </w:tabs>
        <w:spacing w:line="276" w:lineRule="auto"/>
        <w:contextualSpacing/>
        <w:jc w:val="both"/>
        <w:rPr>
          <w:rFonts w:eastAsia="Calibri"/>
          <w:b/>
          <w:bCs/>
          <w:szCs w:val="24"/>
          <w:lang w:eastAsia="ar-SA"/>
        </w:rPr>
      </w:pPr>
      <w:r>
        <w:rPr>
          <w:rFonts w:eastAsia="Calibri"/>
          <w:b/>
          <w:szCs w:val="24"/>
          <w:lang w:eastAsia="ar-SA"/>
        </w:rPr>
        <w:t xml:space="preserve">              2.</w:t>
      </w:r>
      <w:r w:rsidRPr="007F6D66">
        <w:rPr>
          <w:rFonts w:eastAsia="Calibri"/>
          <w:b/>
          <w:bCs/>
          <w:szCs w:val="24"/>
          <w:lang w:eastAsia="ar-SA"/>
        </w:rPr>
        <w:t xml:space="preserve">4. Numatomi paslaugų teikimo terminai: </w:t>
      </w:r>
      <w:r w:rsidR="004649E1">
        <w:rPr>
          <w:rFonts w:eastAsia="Calibri"/>
          <w:b/>
          <w:bCs/>
          <w:szCs w:val="24"/>
          <w:lang w:eastAsia="ar-SA"/>
        </w:rPr>
        <w:t xml:space="preserve"> </w:t>
      </w:r>
    </w:p>
    <w:p w14:paraId="1C682A41" w14:textId="125D51BB" w:rsidR="00B05541" w:rsidRPr="00CD7D33" w:rsidRDefault="00B05541" w:rsidP="00B05541">
      <w:pPr>
        <w:tabs>
          <w:tab w:val="left" w:pos="1276"/>
        </w:tabs>
        <w:spacing w:line="276" w:lineRule="auto"/>
        <w:ind w:firstLine="851"/>
        <w:contextualSpacing/>
        <w:jc w:val="both"/>
        <w:rPr>
          <w:rFonts w:eastAsia="Calibri"/>
          <w:szCs w:val="24"/>
          <w:lang w:eastAsia="ar-SA"/>
        </w:rPr>
      </w:pPr>
      <w:r>
        <w:rPr>
          <w:rFonts w:eastAsia="Calibri"/>
          <w:szCs w:val="24"/>
          <w:lang w:eastAsia="ar-SA"/>
        </w:rPr>
        <w:t>2</w:t>
      </w:r>
      <w:r w:rsidRPr="00CD7D33">
        <w:rPr>
          <w:rFonts w:eastAsia="Calibri"/>
          <w:szCs w:val="24"/>
          <w:lang w:eastAsia="ar-SA"/>
        </w:rPr>
        <w:t>.</w:t>
      </w:r>
      <w:r>
        <w:rPr>
          <w:rFonts w:eastAsia="Calibri"/>
          <w:szCs w:val="24"/>
          <w:lang w:eastAsia="ar-SA"/>
        </w:rPr>
        <w:t>4</w:t>
      </w:r>
      <w:r w:rsidRPr="00CD7D33">
        <w:rPr>
          <w:rFonts w:eastAsia="Calibri"/>
          <w:szCs w:val="24"/>
          <w:lang w:eastAsia="ar-SA"/>
        </w:rPr>
        <w:t>.</w:t>
      </w:r>
      <w:r>
        <w:rPr>
          <w:rFonts w:eastAsia="Calibri"/>
          <w:szCs w:val="24"/>
          <w:lang w:eastAsia="ar-SA"/>
        </w:rPr>
        <w:t>1</w:t>
      </w:r>
      <w:r w:rsidR="000C5757">
        <w:rPr>
          <w:rFonts w:eastAsia="Calibri"/>
          <w:szCs w:val="24"/>
          <w:lang w:eastAsia="ar-SA"/>
        </w:rPr>
        <w:t>.</w:t>
      </w:r>
      <w:r w:rsidRPr="00CD7D33">
        <w:rPr>
          <w:rFonts w:eastAsia="Calibri"/>
          <w:szCs w:val="24"/>
          <w:lang w:eastAsia="ar-SA"/>
        </w:rPr>
        <w:t xml:space="preserve"> Ne vėliau kaip per 5 </w:t>
      </w:r>
      <w:r w:rsidR="004649E1">
        <w:rPr>
          <w:szCs w:val="24"/>
        </w:rPr>
        <w:t>kalendorines</w:t>
      </w:r>
      <w:r w:rsidR="004649E1" w:rsidRPr="00CD7D33">
        <w:rPr>
          <w:rFonts w:eastAsia="Calibri"/>
          <w:szCs w:val="24"/>
          <w:lang w:eastAsia="ar-SA"/>
        </w:rPr>
        <w:t xml:space="preserve"> </w:t>
      </w:r>
      <w:r w:rsidRPr="00CD7D33">
        <w:rPr>
          <w:rFonts w:eastAsia="Calibri"/>
          <w:szCs w:val="24"/>
          <w:lang w:eastAsia="ar-SA"/>
        </w:rPr>
        <w:t xml:space="preserve">dienas nuo sutarties įsigaliojimo </w:t>
      </w:r>
      <w:r>
        <w:rPr>
          <w:rFonts w:eastAsia="Calibri"/>
          <w:szCs w:val="24"/>
          <w:lang w:eastAsia="ar-SA"/>
        </w:rPr>
        <w:t>Užsakovas</w:t>
      </w:r>
      <w:r w:rsidRPr="00CD7D33">
        <w:rPr>
          <w:rFonts w:eastAsia="Calibri"/>
          <w:szCs w:val="24"/>
          <w:lang w:eastAsia="ar-SA"/>
        </w:rPr>
        <w:t xml:space="preserve"> organizuoja įvadinį susitikimą su </w:t>
      </w:r>
      <w:r w:rsidR="00C46C47">
        <w:rPr>
          <w:szCs w:val="24"/>
          <w:lang w:eastAsia="lt-LT"/>
        </w:rPr>
        <w:t>Paslaugų teikėju</w:t>
      </w:r>
      <w:r w:rsidRPr="00CD7D33">
        <w:rPr>
          <w:rFonts w:eastAsia="Calibri"/>
          <w:szCs w:val="24"/>
          <w:lang w:eastAsia="ar-SA"/>
        </w:rPr>
        <w:t xml:space="preserve">, kurio metu bus derinamas paslaugų teikimo tvarkaraštis. </w:t>
      </w:r>
    </w:p>
    <w:p w14:paraId="6329CC0A" w14:textId="4D7E7DC7" w:rsidR="00B05541" w:rsidRPr="00CD7D33" w:rsidRDefault="00B05541" w:rsidP="00B05541">
      <w:pPr>
        <w:tabs>
          <w:tab w:val="left" w:pos="1276"/>
        </w:tabs>
        <w:spacing w:line="276" w:lineRule="auto"/>
        <w:ind w:firstLine="851"/>
        <w:contextualSpacing/>
        <w:jc w:val="both"/>
        <w:rPr>
          <w:rFonts w:eastAsia="Calibri"/>
          <w:szCs w:val="24"/>
          <w:lang w:eastAsia="ar-SA"/>
        </w:rPr>
      </w:pPr>
      <w:r>
        <w:rPr>
          <w:rFonts w:eastAsia="Calibri"/>
          <w:szCs w:val="24"/>
          <w:lang w:eastAsia="ar-SA"/>
        </w:rPr>
        <w:t>2</w:t>
      </w:r>
      <w:r w:rsidRPr="00CD7D33">
        <w:rPr>
          <w:rFonts w:eastAsia="Calibri"/>
          <w:szCs w:val="24"/>
          <w:lang w:eastAsia="ar-SA"/>
        </w:rPr>
        <w:t>.</w:t>
      </w:r>
      <w:r>
        <w:rPr>
          <w:rFonts w:eastAsia="Calibri"/>
          <w:szCs w:val="24"/>
          <w:lang w:eastAsia="ar-SA"/>
        </w:rPr>
        <w:t>4</w:t>
      </w:r>
      <w:r w:rsidRPr="00CD7D33">
        <w:rPr>
          <w:rFonts w:eastAsia="Calibri"/>
          <w:szCs w:val="24"/>
          <w:lang w:eastAsia="ar-SA"/>
        </w:rPr>
        <w:t>.</w:t>
      </w:r>
      <w:r>
        <w:rPr>
          <w:rFonts w:eastAsia="Calibri"/>
          <w:szCs w:val="24"/>
          <w:lang w:eastAsia="ar-SA"/>
        </w:rPr>
        <w:t>2.</w:t>
      </w:r>
      <w:r w:rsidRPr="00CD7D33">
        <w:rPr>
          <w:rFonts w:eastAsia="Calibri"/>
          <w:szCs w:val="24"/>
          <w:lang w:eastAsia="ar-SA"/>
        </w:rPr>
        <w:t xml:space="preserve"> Ne vėliau kaip per 5 </w:t>
      </w:r>
      <w:r w:rsidR="004649E1">
        <w:rPr>
          <w:szCs w:val="24"/>
        </w:rPr>
        <w:t>kalendorines</w:t>
      </w:r>
      <w:r w:rsidR="004649E1" w:rsidRPr="00CD7D33">
        <w:rPr>
          <w:rFonts w:eastAsia="Calibri"/>
          <w:szCs w:val="24"/>
          <w:lang w:eastAsia="ar-SA"/>
        </w:rPr>
        <w:t xml:space="preserve"> </w:t>
      </w:r>
      <w:r w:rsidRPr="00CD7D33">
        <w:rPr>
          <w:rFonts w:eastAsia="Calibri"/>
          <w:szCs w:val="24"/>
          <w:lang w:eastAsia="ar-SA"/>
        </w:rPr>
        <w:t xml:space="preserve">dienas nuo įvadinio susitikimo dienos, </w:t>
      </w:r>
      <w:r w:rsidR="00C46C47">
        <w:rPr>
          <w:szCs w:val="24"/>
          <w:lang w:eastAsia="lt-LT"/>
        </w:rPr>
        <w:t>Paslaugų teikėj</w:t>
      </w:r>
      <w:r w:rsidR="00C46C47">
        <w:rPr>
          <w:szCs w:val="24"/>
          <w:lang w:eastAsia="lt-LT"/>
        </w:rPr>
        <w:t xml:space="preserve">as </w:t>
      </w:r>
      <w:r w:rsidRPr="00CD7D33">
        <w:rPr>
          <w:rFonts w:eastAsia="Calibri"/>
          <w:szCs w:val="24"/>
          <w:lang w:eastAsia="ar-SA"/>
        </w:rPr>
        <w:t xml:space="preserve">turi pateikti su </w:t>
      </w:r>
      <w:r>
        <w:rPr>
          <w:rFonts w:eastAsia="Calibri"/>
          <w:szCs w:val="24"/>
          <w:lang w:eastAsia="ar-SA"/>
        </w:rPr>
        <w:t>Užsakovu</w:t>
      </w:r>
      <w:r w:rsidRPr="00CD7D33">
        <w:rPr>
          <w:rFonts w:eastAsia="Calibri"/>
          <w:szCs w:val="24"/>
          <w:lang w:eastAsia="ar-SA"/>
        </w:rPr>
        <w:t xml:space="preserve"> suderintą paslaugų teikimo tvarkaraštį. </w:t>
      </w:r>
      <w:r w:rsidR="004649E1">
        <w:rPr>
          <w:rFonts w:eastAsia="Calibri"/>
          <w:szCs w:val="24"/>
          <w:lang w:eastAsia="ar-SA"/>
        </w:rPr>
        <w:t xml:space="preserve"> </w:t>
      </w:r>
    </w:p>
    <w:p w14:paraId="55857FF6" w14:textId="42FFDADA" w:rsidR="00B05541" w:rsidRPr="00CD7D33" w:rsidRDefault="00B05541" w:rsidP="00B05541">
      <w:pPr>
        <w:tabs>
          <w:tab w:val="left" w:pos="1276"/>
        </w:tabs>
        <w:spacing w:line="276" w:lineRule="auto"/>
        <w:ind w:firstLine="851"/>
        <w:contextualSpacing/>
        <w:jc w:val="both"/>
        <w:rPr>
          <w:rFonts w:eastAsia="Calibri"/>
          <w:szCs w:val="24"/>
          <w:lang w:eastAsia="ar-SA"/>
        </w:rPr>
      </w:pPr>
      <w:r>
        <w:rPr>
          <w:rFonts w:eastAsia="Calibri"/>
          <w:szCs w:val="24"/>
          <w:lang w:eastAsia="ar-SA"/>
        </w:rPr>
        <w:t>2</w:t>
      </w:r>
      <w:r w:rsidRPr="00CD7D33">
        <w:rPr>
          <w:rFonts w:eastAsia="Calibri"/>
          <w:szCs w:val="24"/>
          <w:lang w:eastAsia="ar-SA"/>
        </w:rPr>
        <w:t>.</w:t>
      </w:r>
      <w:r>
        <w:rPr>
          <w:rFonts w:eastAsia="Calibri"/>
          <w:szCs w:val="24"/>
          <w:lang w:eastAsia="ar-SA"/>
        </w:rPr>
        <w:t>4</w:t>
      </w:r>
      <w:r w:rsidRPr="00CD7D33">
        <w:rPr>
          <w:rFonts w:eastAsia="Calibri"/>
          <w:szCs w:val="24"/>
          <w:lang w:eastAsia="ar-SA"/>
        </w:rPr>
        <w:t>.</w:t>
      </w:r>
      <w:r>
        <w:rPr>
          <w:rFonts w:eastAsia="Calibri"/>
          <w:szCs w:val="24"/>
          <w:lang w:eastAsia="ar-SA"/>
        </w:rPr>
        <w:t>3.</w:t>
      </w:r>
      <w:r w:rsidRPr="00CD7D33">
        <w:rPr>
          <w:rFonts w:eastAsia="Calibri"/>
          <w:szCs w:val="24"/>
          <w:lang w:eastAsia="ar-SA"/>
        </w:rPr>
        <w:t xml:space="preserve"> Ne vėliau kaip </w:t>
      </w:r>
      <w:r w:rsidR="00182962">
        <w:rPr>
          <w:rFonts w:eastAsia="Calibri"/>
          <w:szCs w:val="24"/>
          <w:lang w:eastAsia="ar-SA"/>
        </w:rPr>
        <w:t xml:space="preserve">per </w:t>
      </w:r>
      <w:r w:rsidR="004C5603">
        <w:rPr>
          <w:rFonts w:eastAsia="Calibri"/>
          <w:szCs w:val="24"/>
          <w:lang w:eastAsia="ar-SA"/>
        </w:rPr>
        <w:t>120</w:t>
      </w:r>
      <w:r>
        <w:rPr>
          <w:rFonts w:eastAsia="Calibri"/>
          <w:szCs w:val="24"/>
          <w:lang w:eastAsia="ar-SA"/>
        </w:rPr>
        <w:t xml:space="preserve"> </w:t>
      </w:r>
      <w:r w:rsidR="004649E1">
        <w:rPr>
          <w:szCs w:val="24"/>
        </w:rPr>
        <w:t xml:space="preserve">kalendorinių </w:t>
      </w:r>
      <w:r w:rsidRPr="00CD7D33">
        <w:rPr>
          <w:rFonts w:eastAsia="Calibri"/>
          <w:szCs w:val="24"/>
          <w:lang w:eastAsia="ar-SA"/>
        </w:rPr>
        <w:t xml:space="preserve">dienų nuo įvadinio susitikimo dienos </w:t>
      </w:r>
      <w:r w:rsidR="00C46C47">
        <w:rPr>
          <w:szCs w:val="24"/>
          <w:lang w:eastAsia="lt-LT"/>
        </w:rPr>
        <w:t>Paslaugų teikėj</w:t>
      </w:r>
      <w:r w:rsidR="00C46C47">
        <w:rPr>
          <w:szCs w:val="24"/>
          <w:lang w:eastAsia="lt-LT"/>
        </w:rPr>
        <w:t xml:space="preserve">as </w:t>
      </w:r>
      <w:r w:rsidRPr="00CD7D33">
        <w:rPr>
          <w:rFonts w:eastAsia="Calibri"/>
          <w:szCs w:val="24"/>
          <w:lang w:eastAsia="ar-SA"/>
        </w:rPr>
        <w:t xml:space="preserve">pateikia Užsakovui nurodytu el. paštu </w:t>
      </w:r>
      <w:r>
        <w:rPr>
          <w:rFonts w:eastAsia="Calibri"/>
          <w:szCs w:val="24"/>
          <w:lang w:eastAsia="ar-SA"/>
        </w:rPr>
        <w:t xml:space="preserve">Tyrimo ataskaitą. </w:t>
      </w:r>
    </w:p>
    <w:p w14:paraId="7D8AE285" w14:textId="20F0A190" w:rsidR="00B05541" w:rsidRPr="00CD7D33" w:rsidRDefault="00B05541" w:rsidP="00B05541">
      <w:pPr>
        <w:tabs>
          <w:tab w:val="left" w:pos="1276"/>
        </w:tabs>
        <w:spacing w:line="276" w:lineRule="auto"/>
        <w:ind w:firstLine="851"/>
        <w:contextualSpacing/>
        <w:jc w:val="both"/>
        <w:rPr>
          <w:rFonts w:eastAsia="Calibri"/>
          <w:szCs w:val="24"/>
          <w:lang w:eastAsia="ar-SA"/>
        </w:rPr>
      </w:pPr>
      <w:r>
        <w:rPr>
          <w:rFonts w:eastAsia="Calibri"/>
          <w:szCs w:val="24"/>
          <w:lang w:eastAsia="ar-SA"/>
        </w:rPr>
        <w:t>2</w:t>
      </w:r>
      <w:r w:rsidRPr="00CD7D33">
        <w:rPr>
          <w:rFonts w:eastAsia="Calibri"/>
          <w:szCs w:val="24"/>
          <w:lang w:eastAsia="ar-SA"/>
        </w:rPr>
        <w:t>.4.</w:t>
      </w:r>
      <w:r>
        <w:rPr>
          <w:rFonts w:eastAsia="Calibri"/>
          <w:szCs w:val="24"/>
          <w:lang w:eastAsia="ar-SA"/>
        </w:rPr>
        <w:t>4.</w:t>
      </w:r>
      <w:r w:rsidRPr="00CD7D33">
        <w:rPr>
          <w:rFonts w:eastAsia="Calibri"/>
          <w:szCs w:val="24"/>
          <w:lang w:eastAsia="ar-SA"/>
        </w:rPr>
        <w:t xml:space="preserve"> Užsakovas įvertina pateikt</w:t>
      </w:r>
      <w:r>
        <w:rPr>
          <w:rFonts w:eastAsia="Calibri"/>
          <w:szCs w:val="24"/>
          <w:lang w:eastAsia="ar-SA"/>
        </w:rPr>
        <w:t xml:space="preserve">ą ataskaitą </w:t>
      </w:r>
      <w:r w:rsidRPr="00CD7D33">
        <w:rPr>
          <w:rFonts w:eastAsia="Calibri"/>
          <w:szCs w:val="24"/>
          <w:lang w:eastAsia="ar-SA"/>
        </w:rPr>
        <w:t xml:space="preserve">per </w:t>
      </w:r>
      <w:r>
        <w:rPr>
          <w:rFonts w:eastAsia="Calibri"/>
          <w:szCs w:val="24"/>
          <w:lang w:eastAsia="ar-SA"/>
        </w:rPr>
        <w:t>5</w:t>
      </w:r>
      <w:r w:rsidRPr="00CD7D33">
        <w:rPr>
          <w:rFonts w:eastAsia="Calibri"/>
          <w:szCs w:val="24"/>
          <w:lang w:eastAsia="ar-SA"/>
        </w:rPr>
        <w:t xml:space="preserve"> </w:t>
      </w:r>
      <w:r w:rsidR="004649E1">
        <w:rPr>
          <w:szCs w:val="24"/>
        </w:rPr>
        <w:t>kalendorines</w:t>
      </w:r>
      <w:r w:rsidR="004649E1" w:rsidRPr="00CD7D33">
        <w:rPr>
          <w:rFonts w:eastAsia="Calibri"/>
          <w:szCs w:val="24"/>
          <w:lang w:eastAsia="ar-SA"/>
        </w:rPr>
        <w:t xml:space="preserve"> </w:t>
      </w:r>
      <w:r w:rsidRPr="00CD7D33">
        <w:rPr>
          <w:rFonts w:eastAsia="Calibri"/>
          <w:szCs w:val="24"/>
          <w:lang w:eastAsia="ar-SA"/>
        </w:rPr>
        <w:t>dien</w:t>
      </w:r>
      <w:r>
        <w:rPr>
          <w:rFonts w:eastAsia="Calibri"/>
          <w:szCs w:val="24"/>
          <w:lang w:eastAsia="ar-SA"/>
        </w:rPr>
        <w:t xml:space="preserve">as ir, jeigu </w:t>
      </w:r>
      <w:r w:rsidRPr="00CD7D33">
        <w:rPr>
          <w:rFonts w:eastAsia="Calibri"/>
          <w:szCs w:val="24"/>
          <w:lang w:eastAsia="ar-SA"/>
        </w:rPr>
        <w:t>reikia</w:t>
      </w:r>
      <w:r>
        <w:rPr>
          <w:rFonts w:eastAsia="Calibri"/>
          <w:szCs w:val="24"/>
          <w:lang w:eastAsia="ar-SA"/>
        </w:rPr>
        <w:t>,</w:t>
      </w:r>
      <w:r w:rsidRPr="00CD7D33">
        <w:rPr>
          <w:rFonts w:eastAsia="Calibri"/>
          <w:szCs w:val="24"/>
          <w:lang w:eastAsia="ar-SA"/>
        </w:rPr>
        <w:t xml:space="preserve"> pateikia </w:t>
      </w:r>
      <w:r w:rsidR="00C46C47">
        <w:rPr>
          <w:szCs w:val="24"/>
          <w:lang w:eastAsia="lt-LT"/>
        </w:rPr>
        <w:t>Paslaugų teikėju</w:t>
      </w:r>
      <w:r w:rsidR="00C46C47">
        <w:rPr>
          <w:szCs w:val="24"/>
          <w:lang w:eastAsia="lt-LT"/>
        </w:rPr>
        <w:t xml:space="preserve">i </w:t>
      </w:r>
      <w:r w:rsidRPr="00CD7D33">
        <w:rPr>
          <w:rFonts w:eastAsia="Calibri"/>
          <w:szCs w:val="24"/>
          <w:lang w:eastAsia="ar-SA"/>
        </w:rPr>
        <w:t>pastabas.</w:t>
      </w:r>
    </w:p>
    <w:p w14:paraId="54210692" w14:textId="6D187147" w:rsidR="00B05541" w:rsidRPr="00CD7D33" w:rsidRDefault="00B05541" w:rsidP="00B05541">
      <w:pPr>
        <w:tabs>
          <w:tab w:val="left" w:pos="1276"/>
        </w:tabs>
        <w:spacing w:line="276" w:lineRule="auto"/>
        <w:ind w:firstLine="851"/>
        <w:contextualSpacing/>
        <w:jc w:val="both"/>
        <w:rPr>
          <w:rFonts w:eastAsia="Calibri"/>
          <w:szCs w:val="24"/>
          <w:lang w:eastAsia="ar-SA"/>
        </w:rPr>
      </w:pPr>
      <w:r>
        <w:rPr>
          <w:rFonts w:eastAsia="Calibri"/>
          <w:szCs w:val="24"/>
          <w:lang w:eastAsia="ar-SA"/>
        </w:rPr>
        <w:t>2</w:t>
      </w:r>
      <w:r w:rsidRPr="00CD7D33">
        <w:rPr>
          <w:rFonts w:eastAsia="Calibri"/>
          <w:szCs w:val="24"/>
          <w:lang w:eastAsia="ar-SA"/>
        </w:rPr>
        <w:t>.</w:t>
      </w:r>
      <w:r>
        <w:rPr>
          <w:rFonts w:eastAsia="Calibri"/>
          <w:szCs w:val="24"/>
          <w:lang w:eastAsia="ar-SA"/>
        </w:rPr>
        <w:t>4</w:t>
      </w:r>
      <w:r w:rsidRPr="00CD7D33">
        <w:rPr>
          <w:rFonts w:eastAsia="Calibri"/>
          <w:szCs w:val="24"/>
          <w:lang w:eastAsia="ar-SA"/>
        </w:rPr>
        <w:t>.</w:t>
      </w:r>
      <w:r>
        <w:rPr>
          <w:rFonts w:eastAsia="Calibri"/>
          <w:szCs w:val="24"/>
          <w:lang w:eastAsia="ar-SA"/>
        </w:rPr>
        <w:t>5.</w:t>
      </w:r>
      <w:r w:rsidRPr="00CD7D33">
        <w:rPr>
          <w:rFonts w:eastAsia="Calibri"/>
          <w:szCs w:val="24"/>
          <w:lang w:eastAsia="ar-SA"/>
        </w:rPr>
        <w:t xml:space="preserve"> </w:t>
      </w:r>
      <w:r w:rsidR="00C46C47">
        <w:rPr>
          <w:szCs w:val="24"/>
          <w:lang w:eastAsia="lt-LT"/>
        </w:rPr>
        <w:t>Paslaugų teikėj</w:t>
      </w:r>
      <w:r w:rsidR="00C46C47">
        <w:rPr>
          <w:szCs w:val="24"/>
          <w:lang w:eastAsia="lt-LT"/>
        </w:rPr>
        <w:t xml:space="preserve">as </w:t>
      </w:r>
      <w:r>
        <w:rPr>
          <w:rFonts w:eastAsia="Calibri"/>
          <w:szCs w:val="24"/>
          <w:lang w:eastAsia="ar-SA"/>
        </w:rPr>
        <w:t>įvertinęs Užsakovo pastabas pakoreguoja ataskaitą</w:t>
      </w:r>
      <w:r w:rsidRPr="00CD7D33">
        <w:rPr>
          <w:rFonts w:eastAsia="Calibri"/>
          <w:szCs w:val="24"/>
          <w:lang w:eastAsia="ar-SA"/>
        </w:rPr>
        <w:t xml:space="preserve"> per </w:t>
      </w:r>
      <w:r>
        <w:rPr>
          <w:rFonts w:eastAsia="Calibri"/>
          <w:szCs w:val="24"/>
          <w:lang w:eastAsia="ar-SA"/>
        </w:rPr>
        <w:t>5</w:t>
      </w:r>
      <w:r w:rsidRPr="00CD7D33">
        <w:rPr>
          <w:rFonts w:eastAsia="Calibri"/>
          <w:szCs w:val="24"/>
          <w:lang w:eastAsia="ar-SA"/>
        </w:rPr>
        <w:t xml:space="preserve"> </w:t>
      </w:r>
      <w:r w:rsidR="004649E1">
        <w:rPr>
          <w:szCs w:val="24"/>
        </w:rPr>
        <w:t>kalendorines</w:t>
      </w:r>
      <w:r w:rsidR="004649E1" w:rsidRPr="00CD7D33">
        <w:rPr>
          <w:rFonts w:eastAsia="Calibri"/>
          <w:szCs w:val="24"/>
          <w:lang w:eastAsia="ar-SA"/>
        </w:rPr>
        <w:t xml:space="preserve"> </w:t>
      </w:r>
      <w:r w:rsidRPr="00CD7D33">
        <w:rPr>
          <w:rFonts w:eastAsia="Calibri"/>
          <w:szCs w:val="24"/>
          <w:lang w:eastAsia="ar-SA"/>
        </w:rPr>
        <w:t>dien</w:t>
      </w:r>
      <w:r>
        <w:rPr>
          <w:rFonts w:eastAsia="Calibri"/>
          <w:szCs w:val="24"/>
          <w:lang w:eastAsia="ar-SA"/>
        </w:rPr>
        <w:t>as</w:t>
      </w:r>
      <w:r w:rsidRPr="00CD7D33">
        <w:rPr>
          <w:rFonts w:eastAsia="Calibri"/>
          <w:szCs w:val="24"/>
          <w:lang w:eastAsia="ar-SA"/>
        </w:rPr>
        <w:t xml:space="preserve"> nuo Užsakovo pastabų pateikimo.</w:t>
      </w:r>
    </w:p>
    <w:p w14:paraId="1205EB6E" w14:textId="6180BA34" w:rsidR="00B05541" w:rsidRPr="00C732C6" w:rsidRDefault="00B05541" w:rsidP="00B05541">
      <w:pPr>
        <w:tabs>
          <w:tab w:val="left" w:pos="1276"/>
        </w:tabs>
        <w:spacing w:line="276" w:lineRule="auto"/>
        <w:ind w:firstLine="851"/>
        <w:jc w:val="both"/>
        <w:rPr>
          <w:color w:val="000000" w:themeColor="text1"/>
          <w:szCs w:val="24"/>
          <w:lang w:eastAsia="lt-LT"/>
        </w:rPr>
      </w:pPr>
      <w:r>
        <w:rPr>
          <w:rFonts w:eastAsia="Calibri"/>
          <w:szCs w:val="24"/>
          <w:lang w:eastAsia="ar-SA"/>
        </w:rPr>
        <w:t xml:space="preserve">2.4.6. </w:t>
      </w:r>
      <w:r w:rsidR="00C46C47">
        <w:rPr>
          <w:szCs w:val="24"/>
          <w:lang w:eastAsia="lt-LT"/>
        </w:rPr>
        <w:t>Paslaugų teikėj</w:t>
      </w:r>
      <w:r w:rsidR="00C46C47">
        <w:rPr>
          <w:szCs w:val="24"/>
          <w:lang w:eastAsia="lt-LT"/>
        </w:rPr>
        <w:t>as</w:t>
      </w:r>
      <w:r>
        <w:rPr>
          <w:rFonts w:eastAsia="Calibri"/>
          <w:szCs w:val="24"/>
          <w:lang w:eastAsia="ar-SA"/>
        </w:rPr>
        <w:t xml:space="preserve"> viešai pristato Tyrimą </w:t>
      </w:r>
      <w:r w:rsidRPr="00C732C6">
        <w:rPr>
          <w:color w:val="000000" w:themeColor="text1"/>
          <w:szCs w:val="24"/>
          <w:lang w:eastAsia="lt-LT"/>
        </w:rPr>
        <w:t xml:space="preserve">ne vėliau kaip per 10 </w:t>
      </w:r>
      <w:r w:rsidR="004649E1">
        <w:rPr>
          <w:szCs w:val="24"/>
        </w:rPr>
        <w:t xml:space="preserve">kalendorinių </w:t>
      </w:r>
      <w:r w:rsidRPr="00C732C6">
        <w:rPr>
          <w:color w:val="000000" w:themeColor="text1"/>
          <w:szCs w:val="24"/>
          <w:lang w:eastAsia="lt-LT"/>
        </w:rPr>
        <w:t xml:space="preserve">dienų nuo Kultūros ministerijos patvirtinimo, kad Tyrimas atitinka iškeltus uždavinius. </w:t>
      </w:r>
    </w:p>
    <w:p w14:paraId="08258D04" w14:textId="77777777" w:rsidR="00B05541" w:rsidRDefault="00B05541" w:rsidP="00B05541">
      <w:pPr>
        <w:tabs>
          <w:tab w:val="left" w:pos="1276"/>
        </w:tabs>
        <w:spacing w:line="276" w:lineRule="auto"/>
        <w:ind w:firstLine="851"/>
        <w:jc w:val="both"/>
        <w:rPr>
          <w:szCs w:val="24"/>
          <w:lang w:eastAsia="lt-LT"/>
        </w:rPr>
      </w:pPr>
    </w:p>
    <w:p w14:paraId="239F92D2" w14:textId="77777777" w:rsidR="00B05541" w:rsidRPr="0068684E" w:rsidRDefault="00B05541" w:rsidP="00B05541">
      <w:pPr>
        <w:tabs>
          <w:tab w:val="left" w:pos="1276"/>
        </w:tabs>
        <w:spacing w:line="276" w:lineRule="auto"/>
        <w:ind w:firstLine="851"/>
        <w:jc w:val="both"/>
        <w:rPr>
          <w:color w:val="FF0000"/>
          <w:szCs w:val="24"/>
          <w:lang w:eastAsia="lt-LT"/>
        </w:rPr>
      </w:pPr>
    </w:p>
    <w:p w14:paraId="3BD036E4" w14:textId="77777777" w:rsidR="00B05541" w:rsidRDefault="00B05541" w:rsidP="00B05541">
      <w:pPr>
        <w:jc w:val="center"/>
        <w:rPr>
          <w:szCs w:val="24"/>
        </w:rPr>
      </w:pPr>
    </w:p>
    <w:tbl>
      <w:tblPr>
        <w:tblW w:w="0" w:type="auto"/>
        <w:tblInd w:w="108" w:type="dxa"/>
        <w:tblLook w:val="04A0" w:firstRow="1" w:lastRow="0" w:firstColumn="1" w:lastColumn="0" w:noHBand="0" w:noVBand="1"/>
      </w:tblPr>
      <w:tblGrid>
        <w:gridCol w:w="4765"/>
        <w:gridCol w:w="4765"/>
      </w:tblGrid>
      <w:tr w:rsidR="00B05541" w14:paraId="31D276ED" w14:textId="77777777" w:rsidTr="00611847">
        <w:trPr>
          <w:trHeight w:val="936"/>
        </w:trPr>
        <w:tc>
          <w:tcPr>
            <w:tcW w:w="4841" w:type="dxa"/>
          </w:tcPr>
          <w:p w14:paraId="3DD68FEF" w14:textId="77777777" w:rsidR="00B05541" w:rsidRDefault="00B05541" w:rsidP="00611847">
            <w:pPr>
              <w:spacing w:line="276" w:lineRule="auto"/>
              <w:rPr>
                <w:b/>
                <w:snapToGrid w:val="0"/>
                <w:szCs w:val="24"/>
              </w:rPr>
            </w:pPr>
          </w:p>
          <w:p w14:paraId="6B5CAC1F" w14:textId="77777777" w:rsidR="00B05541" w:rsidRDefault="00B05541" w:rsidP="00611847">
            <w:pPr>
              <w:spacing w:line="276" w:lineRule="auto"/>
              <w:rPr>
                <w:b/>
                <w:snapToGrid w:val="0"/>
                <w:szCs w:val="24"/>
              </w:rPr>
            </w:pPr>
            <w:r>
              <w:rPr>
                <w:b/>
                <w:snapToGrid w:val="0"/>
                <w:szCs w:val="24"/>
              </w:rPr>
              <w:t>UŽSAKOVAS</w:t>
            </w:r>
          </w:p>
        </w:tc>
        <w:tc>
          <w:tcPr>
            <w:tcW w:w="4906" w:type="dxa"/>
          </w:tcPr>
          <w:p w14:paraId="5D441B78" w14:textId="77777777" w:rsidR="00B05541" w:rsidRDefault="00B05541" w:rsidP="00611847">
            <w:pPr>
              <w:spacing w:line="276" w:lineRule="auto"/>
              <w:rPr>
                <w:b/>
                <w:snapToGrid w:val="0"/>
                <w:szCs w:val="24"/>
              </w:rPr>
            </w:pPr>
          </w:p>
          <w:p w14:paraId="18DEAE53" w14:textId="77777777" w:rsidR="00B05541" w:rsidRDefault="00B05541" w:rsidP="00611847">
            <w:pPr>
              <w:spacing w:line="276" w:lineRule="auto"/>
              <w:rPr>
                <w:b/>
                <w:snapToGrid w:val="0"/>
                <w:szCs w:val="24"/>
              </w:rPr>
            </w:pPr>
            <w:r>
              <w:rPr>
                <w:b/>
                <w:snapToGrid w:val="0"/>
                <w:szCs w:val="24"/>
              </w:rPr>
              <w:t>PASLAUGŲ TEIKĖJAS</w:t>
            </w:r>
          </w:p>
        </w:tc>
      </w:tr>
      <w:tr w:rsidR="00B05541" w14:paraId="1CD0F5A2" w14:textId="77777777" w:rsidTr="00611847">
        <w:trPr>
          <w:trHeight w:val="936"/>
        </w:trPr>
        <w:tc>
          <w:tcPr>
            <w:tcW w:w="4841" w:type="dxa"/>
          </w:tcPr>
          <w:p w14:paraId="72293497" w14:textId="77777777" w:rsidR="00B05541" w:rsidRDefault="00B05541" w:rsidP="00611847">
            <w:pPr>
              <w:spacing w:line="276" w:lineRule="auto"/>
              <w:rPr>
                <w:snapToGrid w:val="0"/>
                <w:szCs w:val="24"/>
              </w:rPr>
            </w:pPr>
          </w:p>
          <w:p w14:paraId="31D38489" w14:textId="77777777" w:rsidR="00B05541" w:rsidRDefault="00B05541" w:rsidP="00611847">
            <w:pPr>
              <w:spacing w:line="276" w:lineRule="auto"/>
              <w:rPr>
                <w:snapToGrid w:val="0"/>
                <w:szCs w:val="24"/>
              </w:rPr>
            </w:pPr>
            <w:r>
              <w:rPr>
                <w:snapToGrid w:val="0"/>
                <w:szCs w:val="24"/>
              </w:rPr>
              <w:t>______________________________________</w:t>
            </w:r>
          </w:p>
          <w:p w14:paraId="1A904307" w14:textId="3FDFF9F8" w:rsidR="00B05541" w:rsidRDefault="00091572" w:rsidP="00611847">
            <w:pPr>
              <w:widowControl w:val="0"/>
              <w:spacing w:line="276" w:lineRule="auto"/>
              <w:rPr>
                <w:szCs w:val="24"/>
              </w:rPr>
            </w:pPr>
            <w:r>
              <w:rPr>
                <w:szCs w:val="24"/>
              </w:rPr>
              <w:t xml:space="preserve">Lukas </w:t>
            </w:r>
            <w:proofErr w:type="spellStart"/>
            <w:r>
              <w:rPr>
                <w:szCs w:val="24"/>
              </w:rPr>
              <w:t>Alsys</w:t>
            </w:r>
            <w:proofErr w:type="spellEnd"/>
          </w:p>
          <w:p w14:paraId="2B68336B" w14:textId="77777777" w:rsidR="00B05541" w:rsidRDefault="00B05541" w:rsidP="00611847">
            <w:pPr>
              <w:widowControl w:val="0"/>
              <w:spacing w:line="276" w:lineRule="auto"/>
              <w:rPr>
                <w:szCs w:val="24"/>
              </w:rPr>
            </w:pPr>
            <w:r>
              <w:rPr>
                <w:szCs w:val="24"/>
              </w:rPr>
              <w:t xml:space="preserve">Ministerijos kancleris                                 </w:t>
            </w:r>
          </w:p>
        </w:tc>
        <w:tc>
          <w:tcPr>
            <w:tcW w:w="4906" w:type="dxa"/>
          </w:tcPr>
          <w:p w14:paraId="57895B79" w14:textId="77777777" w:rsidR="00B05541" w:rsidRDefault="00B05541" w:rsidP="00611847">
            <w:pPr>
              <w:spacing w:line="276" w:lineRule="auto"/>
              <w:rPr>
                <w:snapToGrid w:val="0"/>
                <w:szCs w:val="24"/>
              </w:rPr>
            </w:pPr>
          </w:p>
          <w:p w14:paraId="4B87155C" w14:textId="77777777" w:rsidR="00B05541" w:rsidRDefault="00B05541" w:rsidP="00611847">
            <w:pPr>
              <w:spacing w:line="276" w:lineRule="auto"/>
              <w:rPr>
                <w:snapToGrid w:val="0"/>
                <w:szCs w:val="24"/>
              </w:rPr>
            </w:pPr>
            <w:r>
              <w:rPr>
                <w:snapToGrid w:val="0"/>
                <w:szCs w:val="24"/>
              </w:rPr>
              <w:t>______________________________________</w:t>
            </w:r>
          </w:p>
          <w:p w14:paraId="184B538D" w14:textId="77777777" w:rsidR="00B05541" w:rsidRDefault="00B05541" w:rsidP="00611847">
            <w:pPr>
              <w:spacing w:line="276" w:lineRule="auto"/>
              <w:rPr>
                <w:b/>
                <w:snapToGrid w:val="0"/>
                <w:szCs w:val="24"/>
              </w:rPr>
            </w:pPr>
            <w:r>
              <w:rPr>
                <w:szCs w:val="24"/>
              </w:rPr>
              <w:t xml:space="preserve"> </w:t>
            </w:r>
          </w:p>
        </w:tc>
      </w:tr>
    </w:tbl>
    <w:p w14:paraId="176BFE2D" w14:textId="77777777" w:rsidR="00B05541" w:rsidRDefault="00B05541" w:rsidP="00B05541"/>
    <w:p w14:paraId="65EC9936" w14:textId="77777777" w:rsidR="00637FA8" w:rsidRDefault="00637FA8"/>
    <w:sectPr w:rsidR="00637FA8" w:rsidSect="00B0554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F50D" w14:textId="77777777" w:rsidR="00A00682" w:rsidRDefault="00A00682" w:rsidP="005054E2">
      <w:r>
        <w:separator/>
      </w:r>
    </w:p>
  </w:endnote>
  <w:endnote w:type="continuationSeparator" w:id="0">
    <w:p w14:paraId="0B732EA7" w14:textId="77777777" w:rsidR="00A00682" w:rsidRDefault="00A00682" w:rsidP="0050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84B8" w14:textId="77777777" w:rsidR="00A00682" w:rsidRDefault="00A00682" w:rsidP="005054E2">
      <w:r>
        <w:separator/>
      </w:r>
    </w:p>
  </w:footnote>
  <w:footnote w:type="continuationSeparator" w:id="0">
    <w:p w14:paraId="6A416DE3" w14:textId="77777777" w:rsidR="00A00682" w:rsidRDefault="00A00682" w:rsidP="005054E2">
      <w:r>
        <w:continuationSeparator/>
      </w:r>
    </w:p>
  </w:footnote>
  <w:footnote w:id="1">
    <w:p w14:paraId="2484437E" w14:textId="08E7DF97" w:rsidR="007F66FB" w:rsidRPr="007F66FB" w:rsidRDefault="007F66FB">
      <w:pPr>
        <w:pStyle w:val="FootnoteText"/>
        <w:rPr>
          <w:lang w:val="en-US"/>
        </w:rPr>
      </w:pPr>
      <w:r>
        <w:rPr>
          <w:rStyle w:val="FootnoteReference"/>
        </w:rPr>
        <w:footnoteRef/>
      </w:r>
      <w:r>
        <w:t xml:space="preserve"> </w:t>
      </w:r>
      <w:r>
        <w:t xml:space="preserve">Interneto protokolo televizija (IPTV, angl. </w:t>
      </w:r>
      <w:r>
        <w:rPr>
          <w:rStyle w:val="Emphasis"/>
        </w:rPr>
        <w:t xml:space="preserve">Internet </w:t>
      </w:r>
      <w:proofErr w:type="spellStart"/>
      <w:r>
        <w:rPr>
          <w:rStyle w:val="Emphasis"/>
        </w:rPr>
        <w:t>Protocol</w:t>
      </w:r>
      <w:proofErr w:type="spellEnd"/>
      <w:r>
        <w:rPr>
          <w:rStyle w:val="Emphasis"/>
        </w:rPr>
        <w:t xml:space="preserve"> </w:t>
      </w:r>
      <w:proofErr w:type="spellStart"/>
      <w:r>
        <w:rPr>
          <w:rStyle w:val="Emphasis"/>
        </w:rPr>
        <w:t>Television</w:t>
      </w:r>
      <w:proofErr w:type="spellEnd"/>
      <w:r>
        <w:t>)</w:t>
      </w:r>
    </w:p>
  </w:footnote>
  <w:footnote w:id="2">
    <w:p w14:paraId="6BA4B92C" w14:textId="173CF330" w:rsidR="005054E2" w:rsidRDefault="005054E2" w:rsidP="005054E2">
      <w:pPr>
        <w:pStyle w:val="FootnoteText"/>
      </w:pPr>
      <w:r>
        <w:rPr>
          <w:rStyle w:val="FootnoteReference"/>
        </w:rPr>
        <w:footnoteRef/>
      </w:r>
      <w:r>
        <w:t xml:space="preserve"> </w:t>
      </w:r>
      <w:r w:rsidR="0042155A">
        <w:t xml:space="preserve">Online Copyright </w:t>
      </w:r>
      <w:proofErr w:type="spellStart"/>
      <w:r w:rsidR="0042155A" w:rsidRPr="00A4671E">
        <w:t>Infringement</w:t>
      </w:r>
      <w:proofErr w:type="spellEnd"/>
      <w:r w:rsidR="0042155A" w:rsidRPr="00A4671E">
        <w:t xml:space="preserve"> </w:t>
      </w:r>
      <w:proofErr w:type="spellStart"/>
      <w:r w:rsidR="0042155A" w:rsidRPr="00A4671E">
        <w:t>in</w:t>
      </w:r>
      <w:proofErr w:type="spellEnd"/>
      <w:r w:rsidR="0042155A" w:rsidRPr="00A4671E">
        <w:t xml:space="preserve"> </w:t>
      </w:r>
      <w:proofErr w:type="spellStart"/>
      <w:r w:rsidR="0042155A" w:rsidRPr="00A4671E">
        <w:t>the</w:t>
      </w:r>
      <w:proofErr w:type="spellEnd"/>
      <w:r w:rsidR="0042155A" w:rsidRPr="00A4671E">
        <w:t xml:space="preserve"> </w:t>
      </w:r>
      <w:proofErr w:type="spellStart"/>
      <w:r w:rsidR="00260E29" w:rsidRPr="00A4671E">
        <w:t>E</w:t>
      </w:r>
      <w:r w:rsidR="0042155A" w:rsidRPr="00A4671E">
        <w:t>uropean</w:t>
      </w:r>
      <w:proofErr w:type="spellEnd"/>
      <w:r w:rsidR="0042155A" w:rsidRPr="00A4671E">
        <w:t xml:space="preserve"> </w:t>
      </w:r>
      <w:proofErr w:type="spellStart"/>
      <w:r w:rsidR="0042155A" w:rsidRPr="00A4671E">
        <w:t>union</w:t>
      </w:r>
      <w:proofErr w:type="spellEnd"/>
      <w:r w:rsidR="0042155A" w:rsidRPr="00A4671E">
        <w:t xml:space="preserve"> </w:t>
      </w:r>
      <w:proofErr w:type="spellStart"/>
      <w:r w:rsidR="00260E29" w:rsidRPr="00A4671E">
        <w:t>F</w:t>
      </w:r>
      <w:r w:rsidR="0042155A" w:rsidRPr="00A4671E">
        <w:t>ilms</w:t>
      </w:r>
      <w:proofErr w:type="spellEnd"/>
      <w:r w:rsidR="0042155A" w:rsidRPr="00A4671E">
        <w:t xml:space="preserve">, </w:t>
      </w:r>
      <w:proofErr w:type="spellStart"/>
      <w:r w:rsidR="00260E29" w:rsidRPr="00A4671E">
        <w:t>M</w:t>
      </w:r>
      <w:r w:rsidR="0042155A" w:rsidRPr="00A4671E">
        <w:t>usic</w:t>
      </w:r>
      <w:proofErr w:type="spellEnd"/>
      <w:r w:rsidR="0042155A" w:rsidRPr="00A4671E">
        <w:t xml:space="preserve">, </w:t>
      </w:r>
      <w:proofErr w:type="spellStart"/>
      <w:r w:rsidR="00260E29" w:rsidRPr="00A4671E">
        <w:t>P</w:t>
      </w:r>
      <w:r w:rsidR="0042155A" w:rsidRPr="00A4671E">
        <w:t>ublications</w:t>
      </w:r>
      <w:proofErr w:type="spellEnd"/>
      <w:r w:rsidR="0042155A" w:rsidRPr="00A4671E">
        <w:t xml:space="preserve">, </w:t>
      </w:r>
      <w:proofErr w:type="spellStart"/>
      <w:r w:rsidR="00260E29" w:rsidRPr="00A4671E">
        <w:t>S</w:t>
      </w:r>
      <w:r w:rsidR="0042155A" w:rsidRPr="00A4671E">
        <w:t>oftware</w:t>
      </w:r>
      <w:proofErr w:type="spellEnd"/>
      <w:r w:rsidR="0042155A" w:rsidRPr="00A4671E">
        <w:t xml:space="preserve"> </w:t>
      </w:r>
      <w:proofErr w:type="spellStart"/>
      <w:r w:rsidR="0042155A" w:rsidRPr="00A4671E">
        <w:t>and</w:t>
      </w:r>
      <w:proofErr w:type="spellEnd"/>
      <w:r w:rsidR="0042155A">
        <w:t xml:space="preserve"> </w:t>
      </w:r>
      <w:r w:rsidR="00260E29">
        <w:t>TV</w:t>
      </w:r>
      <w:r w:rsidR="0042155A">
        <w:t xml:space="preserve"> (2017-2023)</w:t>
      </w:r>
      <w:r>
        <w:t>, 31 psl.</w:t>
      </w:r>
    </w:p>
  </w:footnote>
  <w:footnote w:id="3">
    <w:p w14:paraId="3FCC4D6A" w14:textId="657D434C" w:rsidR="00A83384" w:rsidRDefault="00A83384">
      <w:pPr>
        <w:pStyle w:val="FootnoteText"/>
      </w:pPr>
      <w:r>
        <w:rPr>
          <w:rStyle w:val="FootnoteReference"/>
        </w:rPr>
        <w:footnoteRef/>
      </w:r>
      <w:r>
        <w:t xml:space="preserve"> </w:t>
      </w:r>
      <w:r w:rsidR="00DE1258" w:rsidRPr="00DE1258">
        <w:t>Lietuvos gyventojų nelegalaus turinio vartojimo lygio nustatymo tyrimas 2024</w:t>
      </w:r>
    </w:p>
  </w:footnote>
  <w:footnote w:id="4">
    <w:p w14:paraId="0A1D5480" w14:textId="15C03AB5" w:rsidR="00B461AD" w:rsidRDefault="00B461AD">
      <w:pPr>
        <w:pStyle w:val="FootnoteText"/>
      </w:pPr>
      <w:r>
        <w:rPr>
          <w:rStyle w:val="FootnoteReference"/>
        </w:rPr>
        <w:footnoteRef/>
      </w:r>
      <w:r>
        <w:t xml:space="preserve"> </w:t>
      </w:r>
      <w:r w:rsidR="001B586B">
        <w:t>Metodika viešai skelbiama Lietuvos kultūros tarybos pusla</w:t>
      </w:r>
      <w:r w:rsidR="00320AAA">
        <w:t>p</w:t>
      </w:r>
      <w:r w:rsidR="001B586B">
        <w:t xml:space="preserve">yje. Nuoroda: </w:t>
      </w:r>
      <w:hyperlink r:id="rId1" w:history="1">
        <w:r w:rsidR="00663484" w:rsidRPr="00AD2BD9">
          <w:rPr>
            <w:rStyle w:val="Hyperlink"/>
          </w:rPr>
          <w:t>https://www.ltkt.lt/tyrimai-ir-statistika/kulturos-tyrimai/lietuvos-gyventoju-nelegalaus-turinio-vartojimo-lygio-nustatymo-metodi-171</w:t>
        </w:r>
      </w:hyperlink>
      <w:r w:rsidR="00663484">
        <w:t xml:space="preserve"> </w:t>
      </w:r>
    </w:p>
  </w:footnote>
  <w:footnote w:id="5">
    <w:p w14:paraId="2EFC401B" w14:textId="10B8B6E2" w:rsidR="009576A6" w:rsidRDefault="009576A6">
      <w:pPr>
        <w:pStyle w:val="FootnoteText"/>
      </w:pPr>
      <w:r>
        <w:rPr>
          <w:rStyle w:val="FootnoteReference"/>
        </w:rPr>
        <w:footnoteRef/>
      </w:r>
      <w:r>
        <w:t xml:space="preserve"> </w:t>
      </w:r>
      <w:r>
        <w:rPr>
          <w:rFonts w:eastAsia="Calibri"/>
          <w:szCs w:val="24"/>
        </w:rPr>
        <w:t xml:space="preserve">2024 m. tyrimo rezultatai prieinami Lietuvos Kultūros tarybos puslapyje, nuoroda </w:t>
      </w:r>
      <w:hyperlink r:id="rId2" w:history="1">
        <w:r w:rsidRPr="00640E3D">
          <w:rPr>
            <w:rStyle w:val="Hyperlink"/>
            <w:rFonts w:eastAsia="Calibri"/>
            <w:szCs w:val="24"/>
          </w:rPr>
          <w:t>https://www.ltkt.lt/tyrimai-ir-statistika/kulturos-tyrimai/lietuvos-gyventoju-nelegalaus-turinio-vartojimo-lygio-nustatymo-tyrima-178</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41"/>
    <w:rsid w:val="00003699"/>
    <w:rsid w:val="0002200E"/>
    <w:rsid w:val="0002306C"/>
    <w:rsid w:val="000403FB"/>
    <w:rsid w:val="00043C1C"/>
    <w:rsid w:val="00050E45"/>
    <w:rsid w:val="000514C1"/>
    <w:rsid w:val="000606AE"/>
    <w:rsid w:val="000618E4"/>
    <w:rsid w:val="00070602"/>
    <w:rsid w:val="00072C88"/>
    <w:rsid w:val="00081771"/>
    <w:rsid w:val="00091445"/>
    <w:rsid w:val="00091572"/>
    <w:rsid w:val="000C5757"/>
    <w:rsid w:val="000E7C58"/>
    <w:rsid w:val="001055ED"/>
    <w:rsid w:val="001242D8"/>
    <w:rsid w:val="0015151A"/>
    <w:rsid w:val="00154E79"/>
    <w:rsid w:val="0016118F"/>
    <w:rsid w:val="00172D2A"/>
    <w:rsid w:val="00182962"/>
    <w:rsid w:val="001B1BA6"/>
    <w:rsid w:val="001B1D67"/>
    <w:rsid w:val="001B586B"/>
    <w:rsid w:val="001C6E04"/>
    <w:rsid w:val="001D483D"/>
    <w:rsid w:val="00202E78"/>
    <w:rsid w:val="00224E6F"/>
    <w:rsid w:val="00235812"/>
    <w:rsid w:val="00237A30"/>
    <w:rsid w:val="00253B96"/>
    <w:rsid w:val="0025470A"/>
    <w:rsid w:val="00260E29"/>
    <w:rsid w:val="002716A7"/>
    <w:rsid w:val="0028602B"/>
    <w:rsid w:val="002954E2"/>
    <w:rsid w:val="00297255"/>
    <w:rsid w:val="002A723F"/>
    <w:rsid w:val="002B4897"/>
    <w:rsid w:val="002E6B26"/>
    <w:rsid w:val="00316E63"/>
    <w:rsid w:val="003172F2"/>
    <w:rsid w:val="00320AAA"/>
    <w:rsid w:val="00353792"/>
    <w:rsid w:val="00353D98"/>
    <w:rsid w:val="00355B75"/>
    <w:rsid w:val="00357EB9"/>
    <w:rsid w:val="00374874"/>
    <w:rsid w:val="00387563"/>
    <w:rsid w:val="003A3F7A"/>
    <w:rsid w:val="003A5188"/>
    <w:rsid w:val="003A663C"/>
    <w:rsid w:val="003A78A2"/>
    <w:rsid w:val="003D15E5"/>
    <w:rsid w:val="003E43EF"/>
    <w:rsid w:val="003F4658"/>
    <w:rsid w:val="003F7766"/>
    <w:rsid w:val="00403664"/>
    <w:rsid w:val="00403E0B"/>
    <w:rsid w:val="0042155A"/>
    <w:rsid w:val="004415CB"/>
    <w:rsid w:val="00452E34"/>
    <w:rsid w:val="004649E1"/>
    <w:rsid w:val="004829B5"/>
    <w:rsid w:val="00497A17"/>
    <w:rsid w:val="004A21E7"/>
    <w:rsid w:val="004C5603"/>
    <w:rsid w:val="004D4ABF"/>
    <w:rsid w:val="004E4B58"/>
    <w:rsid w:val="005054E2"/>
    <w:rsid w:val="00505CF7"/>
    <w:rsid w:val="00524DCD"/>
    <w:rsid w:val="005479EF"/>
    <w:rsid w:val="00566A07"/>
    <w:rsid w:val="005B60A8"/>
    <w:rsid w:val="005C2CCE"/>
    <w:rsid w:val="005D2CAF"/>
    <w:rsid w:val="005D4B3E"/>
    <w:rsid w:val="005D561E"/>
    <w:rsid w:val="005D77D4"/>
    <w:rsid w:val="005E436E"/>
    <w:rsid w:val="005E5D72"/>
    <w:rsid w:val="005E5FD6"/>
    <w:rsid w:val="005F11DB"/>
    <w:rsid w:val="00605B15"/>
    <w:rsid w:val="00622740"/>
    <w:rsid w:val="00626701"/>
    <w:rsid w:val="006364F5"/>
    <w:rsid w:val="00637FA8"/>
    <w:rsid w:val="00660A04"/>
    <w:rsid w:val="00663484"/>
    <w:rsid w:val="00671A96"/>
    <w:rsid w:val="00677015"/>
    <w:rsid w:val="00680E2B"/>
    <w:rsid w:val="006817E9"/>
    <w:rsid w:val="00682C6F"/>
    <w:rsid w:val="00682D65"/>
    <w:rsid w:val="006B60E2"/>
    <w:rsid w:val="006C09C6"/>
    <w:rsid w:val="006C5E0B"/>
    <w:rsid w:val="006C786D"/>
    <w:rsid w:val="006E01B9"/>
    <w:rsid w:val="006E447B"/>
    <w:rsid w:val="006E4F51"/>
    <w:rsid w:val="006E7463"/>
    <w:rsid w:val="0072423F"/>
    <w:rsid w:val="00741D47"/>
    <w:rsid w:val="00757703"/>
    <w:rsid w:val="00773D06"/>
    <w:rsid w:val="00797342"/>
    <w:rsid w:val="007A30C6"/>
    <w:rsid w:val="007B240D"/>
    <w:rsid w:val="007B6545"/>
    <w:rsid w:val="007D003C"/>
    <w:rsid w:val="007F66FB"/>
    <w:rsid w:val="00833DBC"/>
    <w:rsid w:val="00841FCA"/>
    <w:rsid w:val="00846D0A"/>
    <w:rsid w:val="00852CB2"/>
    <w:rsid w:val="00871658"/>
    <w:rsid w:val="008734ED"/>
    <w:rsid w:val="00892B31"/>
    <w:rsid w:val="008A4CDA"/>
    <w:rsid w:val="008B6177"/>
    <w:rsid w:val="008C0022"/>
    <w:rsid w:val="008C7E75"/>
    <w:rsid w:val="008D2CD0"/>
    <w:rsid w:val="008D7A14"/>
    <w:rsid w:val="008F0E65"/>
    <w:rsid w:val="00905BD9"/>
    <w:rsid w:val="00907437"/>
    <w:rsid w:val="00916C37"/>
    <w:rsid w:val="0092474E"/>
    <w:rsid w:val="00931E38"/>
    <w:rsid w:val="00940DE5"/>
    <w:rsid w:val="00945135"/>
    <w:rsid w:val="00953B2C"/>
    <w:rsid w:val="009576A6"/>
    <w:rsid w:val="0096230E"/>
    <w:rsid w:val="009624A3"/>
    <w:rsid w:val="00967774"/>
    <w:rsid w:val="00984341"/>
    <w:rsid w:val="009A6D44"/>
    <w:rsid w:val="009A714C"/>
    <w:rsid w:val="009B203C"/>
    <w:rsid w:val="009B26ED"/>
    <w:rsid w:val="009B4E98"/>
    <w:rsid w:val="00A00682"/>
    <w:rsid w:val="00A01AE3"/>
    <w:rsid w:val="00A11FAE"/>
    <w:rsid w:val="00A15928"/>
    <w:rsid w:val="00A45434"/>
    <w:rsid w:val="00A4671E"/>
    <w:rsid w:val="00A67F08"/>
    <w:rsid w:val="00A733F1"/>
    <w:rsid w:val="00A77DCC"/>
    <w:rsid w:val="00A81D5B"/>
    <w:rsid w:val="00A83384"/>
    <w:rsid w:val="00A92423"/>
    <w:rsid w:val="00AA0142"/>
    <w:rsid w:val="00AB3D12"/>
    <w:rsid w:val="00AC6AFE"/>
    <w:rsid w:val="00AD3FED"/>
    <w:rsid w:val="00AF463F"/>
    <w:rsid w:val="00AF4BBC"/>
    <w:rsid w:val="00B05541"/>
    <w:rsid w:val="00B25871"/>
    <w:rsid w:val="00B461AD"/>
    <w:rsid w:val="00B472A3"/>
    <w:rsid w:val="00B50A21"/>
    <w:rsid w:val="00B5551C"/>
    <w:rsid w:val="00B721BA"/>
    <w:rsid w:val="00B72928"/>
    <w:rsid w:val="00B83224"/>
    <w:rsid w:val="00B85922"/>
    <w:rsid w:val="00BB51B0"/>
    <w:rsid w:val="00BD44A2"/>
    <w:rsid w:val="00C06336"/>
    <w:rsid w:val="00C116DE"/>
    <w:rsid w:val="00C3468C"/>
    <w:rsid w:val="00C35E15"/>
    <w:rsid w:val="00C40AE4"/>
    <w:rsid w:val="00C46C47"/>
    <w:rsid w:val="00C472D5"/>
    <w:rsid w:val="00C841BA"/>
    <w:rsid w:val="00C93BB4"/>
    <w:rsid w:val="00CA5BD2"/>
    <w:rsid w:val="00CB70A3"/>
    <w:rsid w:val="00CC171C"/>
    <w:rsid w:val="00CC2332"/>
    <w:rsid w:val="00CD35BD"/>
    <w:rsid w:val="00CE3C17"/>
    <w:rsid w:val="00CF54DC"/>
    <w:rsid w:val="00D204EC"/>
    <w:rsid w:val="00D2420F"/>
    <w:rsid w:val="00D2605F"/>
    <w:rsid w:val="00D31573"/>
    <w:rsid w:val="00D339BB"/>
    <w:rsid w:val="00D37A49"/>
    <w:rsid w:val="00D43F94"/>
    <w:rsid w:val="00D53A45"/>
    <w:rsid w:val="00DA4F6A"/>
    <w:rsid w:val="00DC3E11"/>
    <w:rsid w:val="00DE1258"/>
    <w:rsid w:val="00DE2712"/>
    <w:rsid w:val="00DE5817"/>
    <w:rsid w:val="00DF5034"/>
    <w:rsid w:val="00E04ABE"/>
    <w:rsid w:val="00E073D1"/>
    <w:rsid w:val="00E116A5"/>
    <w:rsid w:val="00E20823"/>
    <w:rsid w:val="00E3273D"/>
    <w:rsid w:val="00E32BBA"/>
    <w:rsid w:val="00E32F4D"/>
    <w:rsid w:val="00E47108"/>
    <w:rsid w:val="00E61318"/>
    <w:rsid w:val="00E71203"/>
    <w:rsid w:val="00E72C29"/>
    <w:rsid w:val="00E865DE"/>
    <w:rsid w:val="00E923DA"/>
    <w:rsid w:val="00E94375"/>
    <w:rsid w:val="00EA6D5A"/>
    <w:rsid w:val="00ED3B1F"/>
    <w:rsid w:val="00ED7F47"/>
    <w:rsid w:val="00EF1B2A"/>
    <w:rsid w:val="00F10E94"/>
    <w:rsid w:val="00F13564"/>
    <w:rsid w:val="00F14ED4"/>
    <w:rsid w:val="00F42CB6"/>
    <w:rsid w:val="00F9680E"/>
    <w:rsid w:val="00FA102E"/>
    <w:rsid w:val="00FA113E"/>
    <w:rsid w:val="00FB5F72"/>
    <w:rsid w:val="00FC028C"/>
    <w:rsid w:val="00FC1AD6"/>
    <w:rsid w:val="00FC4093"/>
    <w:rsid w:val="00FE357D"/>
    <w:rsid w:val="00FF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0725"/>
  <w15:chartTrackingRefBased/>
  <w15:docId w15:val="{02F93569-B61A-4628-BFF2-0670B3F4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1"/>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B055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055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055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05541"/>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B05541"/>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B05541"/>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B05541"/>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B05541"/>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B05541"/>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541"/>
    <w:rPr>
      <w:rFonts w:eastAsiaTheme="majorEastAsia" w:cstheme="majorBidi"/>
      <w:color w:val="272727" w:themeColor="text1" w:themeTint="D8"/>
    </w:rPr>
  </w:style>
  <w:style w:type="paragraph" w:styleId="Title">
    <w:name w:val="Title"/>
    <w:basedOn w:val="Normal"/>
    <w:next w:val="Normal"/>
    <w:link w:val="TitleChar"/>
    <w:uiPriority w:val="10"/>
    <w:qFormat/>
    <w:rsid w:val="00B0554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05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5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05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541"/>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B05541"/>
    <w:rPr>
      <w:i/>
      <w:iCs/>
      <w:color w:val="404040" w:themeColor="text1" w:themeTint="BF"/>
    </w:rPr>
  </w:style>
  <w:style w:type="paragraph" w:styleId="ListParagraph">
    <w:name w:val="List Paragraph"/>
    <w:basedOn w:val="Normal"/>
    <w:uiPriority w:val="34"/>
    <w:qFormat/>
    <w:rsid w:val="00B05541"/>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B05541"/>
    <w:rPr>
      <w:i/>
      <w:iCs/>
      <w:color w:val="0F4761" w:themeColor="accent1" w:themeShade="BF"/>
    </w:rPr>
  </w:style>
  <w:style w:type="paragraph" w:styleId="IntenseQuote">
    <w:name w:val="Intense Quote"/>
    <w:basedOn w:val="Normal"/>
    <w:next w:val="Normal"/>
    <w:link w:val="IntenseQuoteChar"/>
    <w:uiPriority w:val="30"/>
    <w:qFormat/>
    <w:rsid w:val="00B055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B05541"/>
    <w:rPr>
      <w:i/>
      <w:iCs/>
      <w:color w:val="0F4761" w:themeColor="accent1" w:themeShade="BF"/>
    </w:rPr>
  </w:style>
  <w:style w:type="character" w:styleId="IntenseReference">
    <w:name w:val="Intense Reference"/>
    <w:basedOn w:val="DefaultParagraphFont"/>
    <w:uiPriority w:val="32"/>
    <w:qFormat/>
    <w:rsid w:val="00B05541"/>
    <w:rPr>
      <w:b/>
      <w:bCs/>
      <w:smallCaps/>
      <w:color w:val="0F4761" w:themeColor="accent1" w:themeShade="BF"/>
      <w:spacing w:val="5"/>
    </w:rPr>
  </w:style>
  <w:style w:type="paragraph" w:customStyle="1" w:styleId="xparagraph">
    <w:name w:val="x_paragraph"/>
    <w:basedOn w:val="Normal"/>
    <w:rsid w:val="00B05541"/>
    <w:pPr>
      <w:spacing w:before="100" w:beforeAutospacing="1" w:after="100" w:afterAutospacing="1"/>
    </w:pPr>
    <w:rPr>
      <w:szCs w:val="24"/>
      <w:lang w:val="en-US"/>
    </w:rPr>
  </w:style>
  <w:style w:type="paragraph" w:styleId="NormalWeb">
    <w:name w:val="Normal (Web)"/>
    <w:basedOn w:val="Normal"/>
    <w:uiPriority w:val="99"/>
    <w:semiHidden/>
    <w:unhideWhenUsed/>
    <w:rsid w:val="007B6545"/>
    <w:pPr>
      <w:spacing w:before="100" w:beforeAutospacing="1" w:after="100" w:afterAutospacing="1"/>
    </w:pPr>
    <w:rPr>
      <w:szCs w:val="24"/>
      <w:lang w:val="en-US"/>
    </w:rPr>
  </w:style>
  <w:style w:type="paragraph" w:customStyle="1" w:styleId="Default">
    <w:name w:val="Default"/>
    <w:rsid w:val="000403FB"/>
    <w:pPr>
      <w:autoSpaceDE w:val="0"/>
      <w:autoSpaceDN w:val="0"/>
      <w:adjustRightInd w:val="0"/>
      <w:spacing w:after="0" w:line="240" w:lineRule="auto"/>
    </w:pPr>
    <w:rPr>
      <w:rFonts w:ascii="Cambria" w:hAnsi="Cambria" w:cs="Cambria"/>
      <w:color w:val="000000"/>
      <w:kern w:val="0"/>
    </w:rPr>
  </w:style>
  <w:style w:type="character" w:styleId="Strong">
    <w:name w:val="Strong"/>
    <w:basedOn w:val="DefaultParagraphFont"/>
    <w:uiPriority w:val="22"/>
    <w:qFormat/>
    <w:rsid w:val="00FC1AD6"/>
    <w:rPr>
      <w:b/>
      <w:bCs/>
    </w:rPr>
  </w:style>
  <w:style w:type="character" w:styleId="CommentReference">
    <w:name w:val="annotation reference"/>
    <w:basedOn w:val="DefaultParagraphFont"/>
    <w:uiPriority w:val="99"/>
    <w:semiHidden/>
    <w:unhideWhenUsed/>
    <w:rsid w:val="00CD35BD"/>
    <w:rPr>
      <w:sz w:val="16"/>
      <w:szCs w:val="16"/>
    </w:rPr>
  </w:style>
  <w:style w:type="paragraph" w:styleId="CommentText">
    <w:name w:val="annotation text"/>
    <w:basedOn w:val="Normal"/>
    <w:link w:val="CommentTextChar"/>
    <w:uiPriority w:val="99"/>
    <w:unhideWhenUsed/>
    <w:rsid w:val="00CD35BD"/>
    <w:rPr>
      <w:sz w:val="20"/>
    </w:rPr>
  </w:style>
  <w:style w:type="character" w:customStyle="1" w:styleId="CommentTextChar">
    <w:name w:val="Comment Text Char"/>
    <w:basedOn w:val="DefaultParagraphFont"/>
    <w:link w:val="CommentText"/>
    <w:uiPriority w:val="99"/>
    <w:rsid w:val="00CD35BD"/>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CD35BD"/>
    <w:rPr>
      <w:b/>
      <w:bCs/>
    </w:rPr>
  </w:style>
  <w:style w:type="character" w:customStyle="1" w:styleId="CommentSubjectChar">
    <w:name w:val="Comment Subject Char"/>
    <w:basedOn w:val="CommentTextChar"/>
    <w:link w:val="CommentSubject"/>
    <w:uiPriority w:val="99"/>
    <w:semiHidden/>
    <w:rsid w:val="00CD35BD"/>
    <w:rPr>
      <w:rFonts w:ascii="Times New Roman" w:eastAsia="Times New Roman" w:hAnsi="Times New Roman" w:cs="Times New Roman"/>
      <w:b/>
      <w:bCs/>
      <w:kern w:val="0"/>
      <w:sz w:val="20"/>
      <w:szCs w:val="20"/>
      <w:lang w:val="lt-LT"/>
      <w14:ligatures w14:val="none"/>
    </w:rPr>
  </w:style>
  <w:style w:type="paragraph" w:styleId="FootnoteText">
    <w:name w:val="footnote text"/>
    <w:basedOn w:val="Normal"/>
    <w:link w:val="FootnoteTextChar"/>
    <w:uiPriority w:val="99"/>
    <w:semiHidden/>
    <w:unhideWhenUsed/>
    <w:rsid w:val="005054E2"/>
    <w:rPr>
      <w:sz w:val="20"/>
    </w:rPr>
  </w:style>
  <w:style w:type="character" w:customStyle="1" w:styleId="FootnoteTextChar">
    <w:name w:val="Footnote Text Char"/>
    <w:basedOn w:val="DefaultParagraphFont"/>
    <w:link w:val="FootnoteText"/>
    <w:uiPriority w:val="99"/>
    <w:semiHidden/>
    <w:rsid w:val="005054E2"/>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5054E2"/>
    <w:rPr>
      <w:vertAlign w:val="superscript"/>
    </w:rPr>
  </w:style>
  <w:style w:type="paragraph" w:styleId="Revision">
    <w:name w:val="Revision"/>
    <w:hidden/>
    <w:uiPriority w:val="99"/>
    <w:semiHidden/>
    <w:rsid w:val="006C09C6"/>
    <w:pPr>
      <w:spacing w:after="0" w:line="240" w:lineRule="auto"/>
    </w:pPr>
    <w:rPr>
      <w:rFonts w:ascii="Times New Roman" w:eastAsia="Times New Roman" w:hAnsi="Times New Roman" w:cs="Times New Roman"/>
      <w:kern w:val="0"/>
      <w:szCs w:val="20"/>
      <w:lang w:val="lt-LT"/>
      <w14:ligatures w14:val="none"/>
    </w:rPr>
  </w:style>
  <w:style w:type="character" w:styleId="Hyperlink">
    <w:name w:val="Hyperlink"/>
    <w:basedOn w:val="DefaultParagraphFont"/>
    <w:uiPriority w:val="99"/>
    <w:unhideWhenUsed/>
    <w:rsid w:val="00AB3D12"/>
    <w:rPr>
      <w:color w:val="467886" w:themeColor="hyperlink"/>
      <w:u w:val="single"/>
    </w:rPr>
  </w:style>
  <w:style w:type="character" w:styleId="UnresolvedMention">
    <w:name w:val="Unresolved Mention"/>
    <w:basedOn w:val="DefaultParagraphFont"/>
    <w:uiPriority w:val="99"/>
    <w:semiHidden/>
    <w:unhideWhenUsed/>
    <w:rsid w:val="00AB3D12"/>
    <w:rPr>
      <w:color w:val="605E5C"/>
      <w:shd w:val="clear" w:color="auto" w:fill="E1DFDD"/>
    </w:rPr>
  </w:style>
  <w:style w:type="paragraph" w:styleId="Header">
    <w:name w:val="header"/>
    <w:basedOn w:val="Normal"/>
    <w:link w:val="HeaderChar"/>
    <w:uiPriority w:val="99"/>
    <w:semiHidden/>
    <w:unhideWhenUsed/>
    <w:rsid w:val="00A733F1"/>
    <w:pPr>
      <w:tabs>
        <w:tab w:val="center" w:pos="4819"/>
        <w:tab w:val="right" w:pos="9638"/>
      </w:tabs>
    </w:pPr>
  </w:style>
  <w:style w:type="character" w:customStyle="1" w:styleId="HeaderChar">
    <w:name w:val="Header Char"/>
    <w:basedOn w:val="DefaultParagraphFont"/>
    <w:link w:val="Header"/>
    <w:uiPriority w:val="99"/>
    <w:semiHidden/>
    <w:rsid w:val="00A733F1"/>
    <w:rPr>
      <w:rFonts w:ascii="Times New Roman" w:eastAsia="Times New Roman" w:hAnsi="Times New Roman" w:cs="Times New Roman"/>
      <w:kern w:val="0"/>
      <w:szCs w:val="20"/>
      <w:lang w:val="lt-LT"/>
      <w14:ligatures w14:val="none"/>
    </w:rPr>
  </w:style>
  <w:style w:type="paragraph" w:styleId="Footer">
    <w:name w:val="footer"/>
    <w:basedOn w:val="Normal"/>
    <w:link w:val="FooterChar"/>
    <w:uiPriority w:val="99"/>
    <w:semiHidden/>
    <w:unhideWhenUsed/>
    <w:rsid w:val="00A733F1"/>
    <w:pPr>
      <w:tabs>
        <w:tab w:val="center" w:pos="4819"/>
        <w:tab w:val="right" w:pos="9638"/>
      </w:tabs>
    </w:pPr>
  </w:style>
  <w:style w:type="character" w:customStyle="1" w:styleId="FooterChar">
    <w:name w:val="Footer Char"/>
    <w:basedOn w:val="DefaultParagraphFont"/>
    <w:link w:val="Footer"/>
    <w:uiPriority w:val="99"/>
    <w:semiHidden/>
    <w:rsid w:val="00A733F1"/>
    <w:rPr>
      <w:rFonts w:ascii="Times New Roman" w:eastAsia="Times New Roman" w:hAnsi="Times New Roman" w:cs="Times New Roman"/>
      <w:kern w:val="0"/>
      <w:szCs w:val="20"/>
      <w:lang w:val="lt-LT"/>
      <w14:ligatures w14:val="none"/>
    </w:rPr>
  </w:style>
  <w:style w:type="character" w:styleId="Emphasis">
    <w:name w:val="Emphasis"/>
    <w:basedOn w:val="DefaultParagraphFont"/>
    <w:uiPriority w:val="20"/>
    <w:qFormat/>
    <w:rsid w:val="007F66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ltkt.lt/tyrimai-ir-statistika/kulturos-tyrimai/lietuvos-gyventoju-nelegalaus-turinio-vartojimo-lygio-nustatymo-tyrima-178" TargetMode="External"/><Relationship Id="rId1" Type="http://schemas.openxmlformats.org/officeDocument/2006/relationships/hyperlink" Target="https://www.ltkt.lt/tyrimai-ir-statistika/kulturos-tyrimai/lietuvos-gyventoju-nelegalaus-turinio-vartojimo-lygio-nustatymo-metodi-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6C3BB-D9EE-44EC-A6C0-A1DEF1E8D62C}">
  <ds:schemaRefs>
    <ds:schemaRef ds:uri="http://schemas.microsoft.com/sharepoint/v3/contenttype/forms"/>
  </ds:schemaRefs>
</ds:datastoreItem>
</file>

<file path=customXml/itemProps2.xml><?xml version="1.0" encoding="utf-8"?>
<ds:datastoreItem xmlns:ds="http://schemas.openxmlformats.org/officeDocument/2006/customXml" ds:itemID="{72E7AFEB-7DCD-4DE1-9DA4-40FE75CC331F}">
  <ds:schemaRefs>
    <ds:schemaRef ds:uri="http://schemas.openxmlformats.org/officeDocument/2006/bibliography"/>
  </ds:schemaRefs>
</ds:datastoreItem>
</file>

<file path=customXml/itemProps3.xml><?xml version="1.0" encoding="utf-8"?>
<ds:datastoreItem xmlns:ds="http://schemas.openxmlformats.org/officeDocument/2006/customXml" ds:itemID="{0A0DA712-BCA9-4C8D-BA3D-261888B1B9FB}">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4.xml><?xml version="1.0" encoding="utf-8"?>
<ds:datastoreItem xmlns:ds="http://schemas.openxmlformats.org/officeDocument/2006/customXml" ds:itemID="{CE3AECE7-F919-4061-AB0B-332F0CD1C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1290</Words>
  <Characters>7359</Characters>
  <Application>Microsoft Office Word</Application>
  <DocSecurity>4</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Martinavičiūtė</dc:creator>
  <cp:keywords/>
  <dc:description/>
  <cp:lastModifiedBy>Simona Martinavičiūtė</cp:lastModifiedBy>
  <cp:revision>2</cp:revision>
  <dcterms:created xsi:type="dcterms:W3CDTF">2026-06-02T12:56:00Z</dcterms:created>
  <dcterms:modified xsi:type="dcterms:W3CDTF">2026-06-02T12:56:00Z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