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4382" w14:textId="77777777" w:rsidR="00E04021" w:rsidRPr="00712FB3" w:rsidRDefault="00E04021" w:rsidP="00E26443">
      <w:pPr>
        <w:jc w:val="center"/>
        <w:rPr>
          <w:rFonts w:ascii="Times New Roman" w:hAnsi="Times New Roman" w:cs="Times New Roman"/>
          <w:b/>
          <w:sz w:val="22"/>
          <w:szCs w:val="22"/>
          <w:u w:val="single"/>
        </w:rPr>
      </w:pPr>
    </w:p>
    <w:p w14:paraId="6D247967" w14:textId="7C658F59" w:rsidR="00E04021" w:rsidRDefault="00E04021" w:rsidP="00E26443">
      <w:pPr>
        <w:jc w:val="center"/>
        <w:rPr>
          <w:rFonts w:ascii="Times New Roman" w:hAnsi="Times New Roman" w:cs="Times New Roman"/>
          <w:b/>
          <w:sz w:val="22"/>
          <w:szCs w:val="22"/>
        </w:rPr>
      </w:pPr>
      <w:r>
        <w:rPr>
          <w:rFonts w:ascii="Times New Roman" w:hAnsi="Times New Roman" w:cs="Times New Roman"/>
          <w:b/>
          <w:noProof/>
          <w:sz w:val="22"/>
          <w:szCs w:val="22"/>
        </w:rPr>
        <w:drawing>
          <wp:anchor distT="0" distB="0" distL="114300" distR="114300" simplePos="0" relativeHeight="251659264" behindDoc="0" locked="0" layoutInCell="1" allowOverlap="1" wp14:anchorId="5F394D21" wp14:editId="3450D84F">
            <wp:simplePos x="0" y="0"/>
            <wp:positionH relativeFrom="column">
              <wp:posOffset>0</wp:posOffset>
            </wp:positionH>
            <wp:positionV relativeFrom="paragraph">
              <wp:posOffset>285115</wp:posOffset>
            </wp:positionV>
            <wp:extent cx="3371215" cy="9048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215" cy="904875"/>
                    </a:xfrm>
                    <a:prstGeom prst="rect">
                      <a:avLst/>
                    </a:prstGeom>
                    <a:noFill/>
                  </pic:spPr>
                </pic:pic>
              </a:graphicData>
            </a:graphic>
          </wp:anchor>
        </w:drawing>
      </w:r>
    </w:p>
    <w:p w14:paraId="0E506E89" w14:textId="77777777" w:rsidR="00E04021" w:rsidRDefault="00E04021" w:rsidP="00E26443">
      <w:pPr>
        <w:jc w:val="center"/>
        <w:rPr>
          <w:rFonts w:ascii="Times New Roman" w:hAnsi="Times New Roman" w:cs="Times New Roman"/>
          <w:b/>
          <w:sz w:val="22"/>
          <w:szCs w:val="22"/>
        </w:rPr>
      </w:pPr>
    </w:p>
    <w:p w14:paraId="16806177" w14:textId="77777777" w:rsidR="00E04021" w:rsidRDefault="00E04021" w:rsidP="00E26443">
      <w:pPr>
        <w:jc w:val="center"/>
        <w:rPr>
          <w:rFonts w:ascii="Times New Roman" w:hAnsi="Times New Roman" w:cs="Times New Roman"/>
          <w:b/>
          <w:sz w:val="22"/>
          <w:szCs w:val="22"/>
        </w:rPr>
      </w:pPr>
    </w:p>
    <w:p w14:paraId="50738FEE" w14:textId="77777777" w:rsidR="00E04021" w:rsidRDefault="00E04021" w:rsidP="00E26443">
      <w:pPr>
        <w:jc w:val="center"/>
        <w:rPr>
          <w:rFonts w:ascii="Times New Roman" w:hAnsi="Times New Roman" w:cs="Times New Roman"/>
          <w:b/>
          <w:sz w:val="22"/>
          <w:szCs w:val="22"/>
        </w:rPr>
      </w:pPr>
    </w:p>
    <w:p w14:paraId="44898B48" w14:textId="77777777" w:rsidR="00E04021" w:rsidRDefault="00E04021" w:rsidP="00E26443">
      <w:pPr>
        <w:jc w:val="center"/>
        <w:rPr>
          <w:rFonts w:ascii="Times New Roman" w:hAnsi="Times New Roman" w:cs="Times New Roman"/>
          <w:b/>
          <w:sz w:val="22"/>
          <w:szCs w:val="22"/>
        </w:rPr>
      </w:pPr>
    </w:p>
    <w:p w14:paraId="05A6C1AA" w14:textId="1E852C17" w:rsidR="00E04021" w:rsidRDefault="00E04021" w:rsidP="00E04021">
      <w:pP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75F93E4D" wp14:editId="75D808E7">
            <wp:extent cx="305689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1162050"/>
                    </a:xfrm>
                    <a:prstGeom prst="rect">
                      <a:avLst/>
                    </a:prstGeom>
                    <a:noFill/>
                  </pic:spPr>
                </pic:pic>
              </a:graphicData>
            </a:graphic>
          </wp:inline>
        </w:drawing>
      </w:r>
    </w:p>
    <w:p w14:paraId="30A79377" w14:textId="77777777" w:rsidR="00E04021" w:rsidRDefault="00E04021" w:rsidP="00E26443">
      <w:pPr>
        <w:jc w:val="center"/>
        <w:rPr>
          <w:rFonts w:ascii="Times New Roman" w:hAnsi="Times New Roman" w:cs="Times New Roman"/>
          <w:b/>
          <w:sz w:val="22"/>
          <w:szCs w:val="22"/>
        </w:rPr>
      </w:pPr>
    </w:p>
    <w:p w14:paraId="1BAA3DD1" w14:textId="77777777" w:rsidR="00E04021" w:rsidRDefault="00E04021" w:rsidP="00E26443">
      <w:pPr>
        <w:jc w:val="center"/>
        <w:rPr>
          <w:rFonts w:ascii="Times New Roman" w:hAnsi="Times New Roman" w:cs="Times New Roman"/>
          <w:b/>
          <w:sz w:val="22"/>
          <w:szCs w:val="22"/>
        </w:rPr>
      </w:pPr>
    </w:p>
    <w:p w14:paraId="7D567FA9" w14:textId="27D1189E" w:rsidR="00E26443" w:rsidRDefault="00E26443" w:rsidP="00E26443">
      <w:pPr>
        <w:jc w:val="center"/>
        <w:rPr>
          <w:rFonts w:ascii="Times New Roman" w:hAnsi="Times New Roman" w:cs="Times New Roman"/>
          <w:b/>
          <w:sz w:val="22"/>
          <w:szCs w:val="22"/>
        </w:rPr>
      </w:pPr>
      <w:r>
        <w:rPr>
          <w:rFonts w:ascii="Times New Roman" w:hAnsi="Times New Roman" w:cs="Times New Roman"/>
          <w:b/>
          <w:sz w:val="22"/>
          <w:szCs w:val="22"/>
        </w:rPr>
        <w:t>TECHNINĖ SPECIFIKACIJA</w:t>
      </w:r>
    </w:p>
    <w:p w14:paraId="37ACED5D" w14:textId="77777777" w:rsidR="00E26443" w:rsidRDefault="00E26443" w:rsidP="00E26443">
      <w:pPr>
        <w:jc w:val="center"/>
        <w:rPr>
          <w:rFonts w:ascii="Times New Roman" w:hAnsi="Times New Roman" w:cs="Times New Roman"/>
          <w:b/>
          <w:sz w:val="22"/>
          <w:szCs w:val="22"/>
        </w:rPr>
      </w:pPr>
    </w:p>
    <w:p w14:paraId="3FF05C2B" w14:textId="61546293" w:rsidR="007F7C1E" w:rsidRPr="00102350" w:rsidRDefault="007F7C1E" w:rsidP="007F7C1E">
      <w:pPr>
        <w:jc w:val="both"/>
        <w:rPr>
          <w:rFonts w:ascii="Times New Roman" w:hAnsi="Times New Roman" w:cs="Times New Roman"/>
          <w:b/>
          <w:sz w:val="22"/>
          <w:szCs w:val="22"/>
        </w:rPr>
      </w:pPr>
      <w:r w:rsidRPr="00102350">
        <w:rPr>
          <w:rFonts w:ascii="Times New Roman" w:hAnsi="Times New Roman" w:cs="Times New Roman"/>
          <w:b/>
          <w:sz w:val="22"/>
          <w:szCs w:val="22"/>
        </w:rPr>
        <w:t>BENDRI REIKALAVIMAI PERKAMAI ĮRANGAI</w:t>
      </w:r>
    </w:p>
    <w:p w14:paraId="094DAC76" w14:textId="03DDD129" w:rsidR="00F01E64" w:rsidRDefault="00F01E64" w:rsidP="007F7C1E">
      <w:pPr>
        <w:numPr>
          <w:ilvl w:val="0"/>
          <w:numId w:val="1"/>
        </w:numPr>
        <w:jc w:val="both"/>
        <w:rPr>
          <w:rFonts w:ascii="Times New Roman" w:hAnsi="Times New Roman" w:cs="Times New Roman"/>
          <w:sz w:val="22"/>
          <w:szCs w:val="22"/>
        </w:rPr>
      </w:pPr>
      <w:r w:rsidRPr="00C91C7F">
        <w:rPr>
          <w:rFonts w:asciiTheme="majorBidi" w:hAnsiTheme="majorBidi" w:cstheme="majorBidi"/>
          <w:bCs/>
        </w:rPr>
        <w:t>Pirkimą finansuoja Europos Sąjunga – „</w:t>
      </w:r>
      <w:proofErr w:type="spellStart"/>
      <w:r w:rsidRPr="00C91C7F">
        <w:rPr>
          <w:rFonts w:asciiTheme="majorBidi" w:hAnsiTheme="majorBidi" w:cstheme="majorBidi"/>
          <w:bCs/>
        </w:rPr>
        <w:t>NextGenerationEU</w:t>
      </w:r>
      <w:proofErr w:type="spellEnd"/>
      <w:r w:rsidRPr="00C91C7F">
        <w:rPr>
          <w:rFonts w:asciiTheme="majorBidi" w:hAnsiTheme="majorBidi" w:cstheme="majorBidi"/>
          <w:bCs/>
        </w:rPr>
        <w:t>“ pagal Ekonomikos gaivinimo ir atsparumo didinimo planą „Naujos kartos Lietuva“</w:t>
      </w:r>
      <w:r>
        <w:rPr>
          <w:rFonts w:asciiTheme="majorBidi" w:hAnsiTheme="majorBidi" w:cstheme="majorBidi"/>
          <w:bCs/>
        </w:rPr>
        <w:t>.</w:t>
      </w:r>
    </w:p>
    <w:p w14:paraId="030CB96A" w14:textId="1CBFE8AB" w:rsidR="007F7C1E" w:rsidRPr="00102350" w:rsidRDefault="007F7C1E" w:rsidP="007F7C1E">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 xml:space="preserve">Perkama </w:t>
      </w:r>
      <w:r w:rsidR="00E26443">
        <w:rPr>
          <w:rFonts w:ascii="Times New Roman" w:hAnsi="Times New Roman" w:cs="Times New Roman"/>
          <w:b/>
          <w:bCs/>
          <w:iCs/>
          <w:sz w:val="22"/>
          <w:szCs w:val="22"/>
        </w:rPr>
        <w:t>V</w:t>
      </w:r>
      <w:r>
        <w:rPr>
          <w:rFonts w:ascii="Times New Roman" w:hAnsi="Times New Roman" w:cs="Times New Roman"/>
          <w:b/>
          <w:bCs/>
          <w:iCs/>
          <w:sz w:val="22"/>
          <w:szCs w:val="22"/>
        </w:rPr>
        <w:t>a</w:t>
      </w:r>
      <w:r w:rsidRPr="00B831F3">
        <w:rPr>
          <w:rFonts w:ascii="Times New Roman" w:hAnsi="Times New Roman" w:cs="Times New Roman"/>
          <w:b/>
          <w:bCs/>
          <w:iCs/>
          <w:sz w:val="22"/>
          <w:szCs w:val="22"/>
        </w:rPr>
        <w:t>iruotojo akių žvilgsnio stebėjimo akinių sistema su programine įranga</w:t>
      </w:r>
      <w:r w:rsidRPr="00A908BC">
        <w:rPr>
          <w:rFonts w:ascii="Times New Roman" w:hAnsi="Times New Roman" w:cs="Times New Roman"/>
          <w:b/>
          <w:bCs/>
          <w:sz w:val="22"/>
          <w:szCs w:val="22"/>
        </w:rPr>
        <w:t xml:space="preserve"> </w:t>
      </w:r>
      <w:r w:rsidRPr="00102350">
        <w:rPr>
          <w:rFonts w:ascii="Times New Roman" w:hAnsi="Times New Roman" w:cs="Times New Roman"/>
          <w:sz w:val="22"/>
          <w:szCs w:val="22"/>
        </w:rPr>
        <w:t xml:space="preserve">(1 komplektas) (toliau – Įranga/prietaisas). </w:t>
      </w:r>
    </w:p>
    <w:p w14:paraId="1A31B82E" w14:textId="77777777" w:rsidR="007F7C1E" w:rsidRPr="00102350" w:rsidRDefault="007F7C1E" w:rsidP="007F7C1E">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 xml:space="preserve">Įranga bus skirta </w:t>
      </w:r>
      <w:r>
        <w:rPr>
          <w:rFonts w:ascii="Times New Roman" w:hAnsi="Times New Roman" w:cs="Times New Roman"/>
          <w:sz w:val="22"/>
          <w:szCs w:val="22"/>
        </w:rPr>
        <w:t>stebėti (sekti) automobilio vairuotojo (žmogaus) žvilgsnio judėjimą ir su tuo susijusius parametrus bei programinės įrangos pagalba užfiksuotus duomenis analizuoti</w:t>
      </w:r>
      <w:r w:rsidRPr="00102350">
        <w:rPr>
          <w:rFonts w:ascii="Times New Roman" w:hAnsi="Times New Roman" w:cs="Times New Roman"/>
          <w:sz w:val="22"/>
          <w:szCs w:val="22"/>
        </w:rPr>
        <w:t>.</w:t>
      </w:r>
    </w:p>
    <w:p w14:paraId="007377B0" w14:textId="77777777" w:rsidR="007F7C1E" w:rsidRPr="00712FB3" w:rsidRDefault="007F7C1E" w:rsidP="007F7C1E">
      <w:pPr>
        <w:numPr>
          <w:ilvl w:val="0"/>
          <w:numId w:val="1"/>
        </w:numPr>
        <w:jc w:val="both"/>
        <w:rPr>
          <w:rFonts w:ascii="Times New Roman" w:hAnsi="Times New Roman" w:cs="Times New Roman"/>
          <w:sz w:val="22"/>
          <w:szCs w:val="22"/>
        </w:rPr>
      </w:pPr>
      <w:r w:rsidRPr="00712FB3">
        <w:rPr>
          <w:rFonts w:ascii="Times New Roman" w:hAnsi="Times New Roman" w:cs="Times New Roman"/>
          <w:sz w:val="22"/>
          <w:szCs w:val="22"/>
        </w:rPr>
        <w:t xml:space="preserve">Tiekėjo pristatoma Įranga turi būti </w:t>
      </w:r>
      <w:proofErr w:type="spellStart"/>
      <w:r w:rsidRPr="00712FB3">
        <w:rPr>
          <w:rFonts w:ascii="Times New Roman" w:hAnsi="Times New Roman" w:cs="Times New Roman"/>
          <w:sz w:val="22"/>
          <w:szCs w:val="22"/>
        </w:rPr>
        <w:t>gamykliškai</w:t>
      </w:r>
      <w:proofErr w:type="spellEnd"/>
      <w:r w:rsidRPr="00712FB3">
        <w:rPr>
          <w:rFonts w:ascii="Times New Roman" w:hAnsi="Times New Roman" w:cs="Times New Roman"/>
          <w:sz w:val="22"/>
          <w:szCs w:val="22"/>
        </w:rPr>
        <w:t xml:space="preserve"> nauja „</w:t>
      </w:r>
      <w:proofErr w:type="spellStart"/>
      <w:r w:rsidRPr="00712FB3">
        <w:rPr>
          <w:rFonts w:ascii="Times New Roman" w:hAnsi="Times New Roman" w:cs="Times New Roman"/>
          <w:sz w:val="22"/>
          <w:szCs w:val="22"/>
        </w:rPr>
        <w:t>brand</w:t>
      </w:r>
      <w:proofErr w:type="spellEnd"/>
      <w:r w:rsidRPr="00712FB3">
        <w:rPr>
          <w:rFonts w:ascii="Times New Roman" w:hAnsi="Times New Roman" w:cs="Times New Roman"/>
          <w:sz w:val="22"/>
          <w:szCs w:val="22"/>
        </w:rPr>
        <w:t xml:space="preserve"> </w:t>
      </w:r>
      <w:proofErr w:type="spellStart"/>
      <w:r w:rsidRPr="00712FB3">
        <w:rPr>
          <w:rFonts w:ascii="Times New Roman" w:hAnsi="Times New Roman" w:cs="Times New Roman"/>
          <w:sz w:val="22"/>
          <w:szCs w:val="22"/>
        </w:rPr>
        <w:t>new</w:t>
      </w:r>
      <w:proofErr w:type="spellEnd"/>
      <w:r w:rsidRPr="00712FB3">
        <w:rPr>
          <w:rFonts w:ascii="Times New Roman" w:hAnsi="Times New Roman" w:cs="Times New Roman"/>
          <w:sz w:val="22"/>
          <w:szCs w:val="22"/>
        </w:rPr>
        <w:t xml:space="preserve">“, </w:t>
      </w:r>
      <w:proofErr w:type="spellStart"/>
      <w:r w:rsidRPr="00712FB3">
        <w:rPr>
          <w:rFonts w:ascii="Times New Roman" w:hAnsi="Times New Roman" w:cs="Times New Roman"/>
          <w:sz w:val="22"/>
          <w:szCs w:val="22"/>
        </w:rPr>
        <w:t>gamykliškai</w:t>
      </w:r>
      <w:proofErr w:type="spellEnd"/>
      <w:r w:rsidRPr="00712FB3">
        <w:rPr>
          <w:rFonts w:ascii="Times New Roman" w:hAnsi="Times New Roman" w:cs="Times New Roman"/>
          <w:sz w:val="22"/>
          <w:szCs w:val="22"/>
        </w:rPr>
        <w:t xml:space="preserve"> atnaujinti „</w:t>
      </w:r>
      <w:proofErr w:type="spellStart"/>
      <w:r w:rsidRPr="00712FB3">
        <w:rPr>
          <w:rFonts w:ascii="Times New Roman" w:hAnsi="Times New Roman" w:cs="Times New Roman"/>
          <w:sz w:val="22"/>
          <w:szCs w:val="22"/>
        </w:rPr>
        <w:t>renew</w:t>
      </w:r>
      <w:proofErr w:type="spellEnd"/>
      <w:r w:rsidRPr="00712FB3">
        <w:rPr>
          <w:rFonts w:ascii="Times New Roman" w:hAnsi="Times New Roman" w:cs="Times New Roman"/>
          <w:sz w:val="22"/>
          <w:szCs w:val="22"/>
        </w:rPr>
        <w:t>“/„</w:t>
      </w:r>
      <w:proofErr w:type="spellStart"/>
      <w:r w:rsidRPr="00712FB3">
        <w:rPr>
          <w:rFonts w:ascii="Times New Roman" w:hAnsi="Times New Roman" w:cs="Times New Roman"/>
          <w:sz w:val="22"/>
          <w:szCs w:val="22"/>
        </w:rPr>
        <w:t>refurbished</w:t>
      </w:r>
      <w:proofErr w:type="spellEnd"/>
      <w:r w:rsidRPr="00712FB3">
        <w:rPr>
          <w:rFonts w:ascii="Times New Roman" w:hAnsi="Times New Roman" w:cs="Times New Roman"/>
          <w:sz w:val="22"/>
          <w:szCs w:val="22"/>
        </w:rPr>
        <w:t>“ komponentai neleistini. Įranga turi atitikti šioje Techninėje specifikacijoje nustatytus minimalius / būtinus reikalavimus (Reikalaujamos techninės charakteristikos/parametrai ir kiti reikalavimai).</w:t>
      </w:r>
    </w:p>
    <w:p w14:paraId="68C33D2D" w14:textId="77777777" w:rsidR="007F7C1E" w:rsidRPr="00712FB3" w:rsidRDefault="007F7C1E" w:rsidP="007F7C1E">
      <w:pPr>
        <w:numPr>
          <w:ilvl w:val="0"/>
          <w:numId w:val="1"/>
        </w:numPr>
        <w:jc w:val="both"/>
        <w:rPr>
          <w:rFonts w:ascii="Times New Roman" w:hAnsi="Times New Roman" w:cs="Times New Roman"/>
          <w:sz w:val="22"/>
          <w:szCs w:val="22"/>
        </w:rPr>
      </w:pPr>
      <w:r w:rsidRPr="00712FB3">
        <w:rPr>
          <w:rFonts w:ascii="Times New Roman" w:hAnsi="Times New Roman" w:cs="Times New Roman"/>
          <w:sz w:val="22"/>
          <w:szCs w:val="22"/>
        </w:rPr>
        <w:t xml:space="preserve">Į pasiūlymo kainą turi būti įvertinti įrangos pristatymas. </w:t>
      </w:r>
    </w:p>
    <w:p w14:paraId="250EE7EE" w14:textId="77777777" w:rsidR="007F7C1E" w:rsidRPr="00102350" w:rsidRDefault="007F7C1E" w:rsidP="007F7C1E">
      <w:pPr>
        <w:numPr>
          <w:ilvl w:val="0"/>
          <w:numId w:val="1"/>
        </w:numPr>
        <w:jc w:val="both"/>
        <w:rPr>
          <w:rFonts w:ascii="Times New Roman" w:hAnsi="Times New Roman" w:cs="Times New Roman"/>
          <w:b/>
          <w:bCs/>
          <w:sz w:val="22"/>
          <w:szCs w:val="22"/>
        </w:rPr>
      </w:pPr>
      <w:r w:rsidRPr="00102350">
        <w:rPr>
          <w:rFonts w:ascii="Times New Roman" w:hAnsi="Times New Roman" w:cs="Times New Roman"/>
          <w:sz w:val="22"/>
          <w:szCs w:val="22"/>
        </w:rPr>
        <w:t xml:space="preserve">Įrangos pristatymo vieta – </w:t>
      </w:r>
      <w:r>
        <w:rPr>
          <w:rFonts w:ascii="Times New Roman" w:hAnsi="Times New Roman" w:cs="Times New Roman"/>
          <w:sz w:val="22"/>
          <w:szCs w:val="22"/>
        </w:rPr>
        <w:t>Plytinės g. 25</w:t>
      </w:r>
      <w:r w:rsidRPr="00102350">
        <w:rPr>
          <w:rFonts w:ascii="Times New Roman" w:hAnsi="Times New Roman" w:cs="Times New Roman"/>
          <w:sz w:val="22"/>
          <w:szCs w:val="22"/>
        </w:rPr>
        <w:t>, Vilnius, LT-10</w:t>
      </w:r>
      <w:r>
        <w:rPr>
          <w:rFonts w:ascii="Times New Roman" w:hAnsi="Times New Roman" w:cs="Times New Roman"/>
          <w:sz w:val="22"/>
          <w:szCs w:val="22"/>
        </w:rPr>
        <w:t>105</w:t>
      </w:r>
      <w:r w:rsidRPr="00102350">
        <w:rPr>
          <w:rFonts w:ascii="Times New Roman" w:hAnsi="Times New Roman" w:cs="Times New Roman"/>
          <w:sz w:val="22"/>
          <w:szCs w:val="22"/>
        </w:rPr>
        <w:t>, Lietuva;</w:t>
      </w:r>
    </w:p>
    <w:p w14:paraId="47E448B6" w14:textId="77777777" w:rsidR="007F7C1E" w:rsidRPr="00102350" w:rsidRDefault="007F7C1E" w:rsidP="007F7C1E">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Pristatymo terminai – ne vėliau kaip p</w:t>
      </w:r>
      <w:r w:rsidRPr="00102350">
        <w:rPr>
          <w:rFonts w:ascii="Times New Roman" w:hAnsi="Times New Roman" w:cs="Times New Roman"/>
          <w:b/>
          <w:sz w:val="22"/>
          <w:szCs w:val="22"/>
        </w:rPr>
        <w:t>er 3 mėnesius</w:t>
      </w:r>
      <w:r w:rsidRPr="00102350">
        <w:rPr>
          <w:rFonts w:ascii="Times New Roman" w:hAnsi="Times New Roman" w:cs="Times New Roman"/>
          <w:sz w:val="22"/>
          <w:szCs w:val="22"/>
        </w:rPr>
        <w:t xml:space="preserve"> nuo pirkimo sutarties įsigaliojimo dienos.</w:t>
      </w:r>
    </w:p>
    <w:p w14:paraId="1BC65140" w14:textId="77777777" w:rsidR="007F7C1E" w:rsidRPr="00102350" w:rsidRDefault="007F7C1E" w:rsidP="007F7C1E">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Kartu su Įranga turi būti pateikiama naudojimosi instrukcija (Lietuvių arba anglų kalba) bei kita prašoma dokumentacija.</w:t>
      </w:r>
    </w:p>
    <w:p w14:paraId="2227C3A4" w14:textId="39E1506E" w:rsidR="007F7C1E" w:rsidRDefault="003A0062" w:rsidP="007F7C1E">
      <w:pPr>
        <w:numPr>
          <w:ilvl w:val="0"/>
          <w:numId w:val="1"/>
        </w:numPr>
        <w:jc w:val="both"/>
        <w:rPr>
          <w:rFonts w:ascii="Times New Roman" w:hAnsi="Times New Roman" w:cs="Times New Roman"/>
          <w:sz w:val="22"/>
          <w:szCs w:val="22"/>
        </w:rPr>
      </w:pPr>
      <w:r>
        <w:rPr>
          <w:rFonts w:ascii="Times New Roman" w:hAnsi="Times New Roman" w:cs="Times New Roman"/>
          <w:sz w:val="24"/>
          <w:szCs w:val="24"/>
        </w:rPr>
        <w:lastRenderedPageBreak/>
        <w:t xml:space="preserve">Tiekėjas turi laikytis VPĮ įstatymo 17 str. 2 d. 2 punkte nurodytų aplinkos apsaugos, socialinės ir darbo teisės įpareigojimų, nepažeisti </w:t>
      </w:r>
      <w:r>
        <w:rPr>
          <w:rFonts w:ascii="Times New Roman" w:hAnsi="Times New Roman" w:cs="Times New Roman"/>
          <w:noProof/>
          <w:sz w:val="24"/>
          <w:szCs w:val="24"/>
        </w:rPr>
        <w:t>Jungtinių Tautų neįgaliųjų teisių konvencijos ir Europos Sąjungos pagrindinių teisių chartijos nuostatų</w:t>
      </w:r>
    </w:p>
    <w:p w14:paraId="482BDDC0" w14:textId="6CB2BF64" w:rsidR="00F01E64" w:rsidRPr="00102350" w:rsidRDefault="00F01E64" w:rsidP="007F7C1E">
      <w:pPr>
        <w:numPr>
          <w:ilvl w:val="0"/>
          <w:numId w:val="1"/>
        </w:numPr>
        <w:jc w:val="both"/>
        <w:rPr>
          <w:rFonts w:ascii="Times New Roman" w:hAnsi="Times New Roman" w:cs="Times New Roman"/>
          <w:sz w:val="22"/>
          <w:szCs w:val="22"/>
        </w:rPr>
      </w:pPr>
      <w:r w:rsidRPr="009F0617">
        <w:rPr>
          <w:rFonts w:ascii="Times New Roman" w:hAnsi="Times New Roman" w:cs="Times New Roman"/>
          <w:iCs/>
        </w:rPr>
        <w:t>Įrang</w:t>
      </w:r>
      <w:r w:rsidR="003A0062">
        <w:rPr>
          <w:rFonts w:ascii="Times New Roman" w:hAnsi="Times New Roman" w:cs="Times New Roman"/>
          <w:iCs/>
        </w:rPr>
        <w:t>os elektros ir elektroninės prekės</w:t>
      </w:r>
      <w:r w:rsidRPr="009F0617">
        <w:rPr>
          <w:rFonts w:ascii="Times New Roman" w:hAnsi="Times New Roman" w:cs="Times New Roman"/>
          <w:iCs/>
        </w:rPr>
        <w:t xml:space="preserve"> privalo atitikti Direktyv</w:t>
      </w:r>
      <w:r w:rsidR="003A0062">
        <w:rPr>
          <w:rFonts w:ascii="Times New Roman" w:hAnsi="Times New Roman" w:cs="Times New Roman"/>
          <w:iCs/>
        </w:rPr>
        <w:t xml:space="preserve">ų ar jas pakeitusių </w:t>
      </w:r>
      <w:r w:rsidRPr="009F0617">
        <w:rPr>
          <w:rFonts w:ascii="Times New Roman" w:hAnsi="Times New Roman" w:cs="Times New Roman"/>
          <w:iCs/>
        </w:rPr>
        <w:t xml:space="preserve"> 2009/125/EB</w:t>
      </w:r>
      <w:r w:rsidR="00FF4B44">
        <w:rPr>
          <w:rFonts w:ascii="Times New Roman" w:hAnsi="Times New Roman" w:cs="Times New Roman"/>
          <w:iCs/>
        </w:rPr>
        <w:t xml:space="preserve"> ir/ ar 2011/65/EU</w:t>
      </w:r>
      <w:r w:rsidRPr="009F0617">
        <w:rPr>
          <w:rFonts w:ascii="Times New Roman" w:hAnsi="Times New Roman" w:cs="Times New Roman"/>
          <w:iCs/>
        </w:rPr>
        <w:t xml:space="preserve"> nuostatas ir būti pažymėta</w:t>
      </w:r>
      <w:r w:rsidR="003A0062">
        <w:rPr>
          <w:rFonts w:ascii="Times New Roman" w:hAnsi="Times New Roman" w:cs="Times New Roman"/>
          <w:iCs/>
        </w:rPr>
        <w:t xml:space="preserve"> I tipo ekologiniu ženklu, turėti CE ženklinimą.</w:t>
      </w:r>
    </w:p>
    <w:p w14:paraId="6A8937AD" w14:textId="77777777" w:rsidR="007F7C1E" w:rsidRPr="00102350" w:rsidRDefault="007F7C1E" w:rsidP="007F7C1E">
      <w:pPr>
        <w:numPr>
          <w:ilvl w:val="0"/>
          <w:numId w:val="1"/>
        </w:numPr>
        <w:jc w:val="both"/>
        <w:rPr>
          <w:rFonts w:ascii="Times New Roman" w:hAnsi="Times New Roman" w:cs="Times New Roman"/>
          <w:sz w:val="22"/>
          <w:szCs w:val="22"/>
        </w:rPr>
      </w:pPr>
      <w:r w:rsidRPr="00F01E64">
        <w:rPr>
          <w:rFonts w:ascii="Times New Roman" w:hAnsi="Times New Roman" w:cs="Times New Roman"/>
          <w:b/>
          <w:bCs/>
          <w:sz w:val="22"/>
          <w:szCs w:val="22"/>
        </w:rPr>
        <w:t>Tiekėjas kartu su pasiūlymu</w:t>
      </w:r>
      <w:r w:rsidRPr="00102350">
        <w:rPr>
          <w:rFonts w:ascii="Times New Roman" w:hAnsi="Times New Roman" w:cs="Times New Roman"/>
          <w:sz w:val="22"/>
          <w:szCs w:val="22"/>
        </w:rPr>
        <w:t xml:space="preserve"> turi pateikti gamintojo parengtus katalogus (.</w:t>
      </w:r>
      <w:proofErr w:type="spellStart"/>
      <w:r w:rsidRPr="00102350">
        <w:rPr>
          <w:rFonts w:ascii="Times New Roman" w:hAnsi="Times New Roman" w:cs="Times New Roman"/>
          <w:sz w:val="22"/>
          <w:szCs w:val="22"/>
        </w:rPr>
        <w:t>pdf</w:t>
      </w:r>
      <w:proofErr w:type="spellEnd"/>
      <w:r w:rsidRPr="00102350">
        <w:rPr>
          <w:rFonts w:ascii="Times New Roman" w:hAnsi="Times New Roman" w:cs="Times New Roman"/>
          <w:sz w:val="22"/>
          <w:szCs w:val="22"/>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w:t>
      </w:r>
      <w:proofErr w:type="spellStart"/>
      <w:r w:rsidRPr="00102350">
        <w:rPr>
          <w:rFonts w:ascii="Times New Roman" w:hAnsi="Times New Roman" w:cs="Times New Roman"/>
          <w:sz w:val="22"/>
          <w:szCs w:val="22"/>
        </w:rPr>
        <w:t>markiruoti</w:t>
      </w:r>
      <w:proofErr w:type="spellEnd"/>
      <w:r w:rsidRPr="00102350">
        <w:rPr>
          <w:rFonts w:ascii="Times New Roman" w:hAnsi="Times New Roman" w:cs="Times New Roman"/>
          <w:sz w:val="22"/>
          <w:szCs w:val="22"/>
        </w:rPr>
        <w:t xml:space="preserve"> ir (ar) nurodyti rodyklėmis, ir (ar)  pabraukti) konkrečias teikiamų dokumentų vietas, kur aprašomos reikalaujamų techninių charakteristikų reikšmės, reikalinga įrašyti, kurį techninių reikalavimų punktą jos atitinka. </w:t>
      </w:r>
    </w:p>
    <w:p w14:paraId="2D29E488" w14:textId="77777777" w:rsidR="007F7C1E" w:rsidRDefault="007F7C1E" w:rsidP="007F7C1E">
      <w:pPr>
        <w:jc w:val="both"/>
        <w:rPr>
          <w:rFonts w:ascii="Times New Roman" w:hAnsi="Times New Roman" w:cs="Times New Roman"/>
          <w:bCs/>
          <w:sz w:val="22"/>
          <w:szCs w:val="22"/>
          <w:highlight w:val="lightGray"/>
        </w:rPr>
      </w:pPr>
      <w:r w:rsidRPr="00102350">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27C0CB46" w14:textId="77777777" w:rsidR="007F7C1E" w:rsidRDefault="007F7C1E">
      <w:pPr>
        <w:spacing w:line="259" w:lineRule="auto"/>
        <w:rPr>
          <w:rFonts w:ascii="Times New Roman" w:hAnsi="Times New Roman" w:cs="Times New Roman"/>
          <w:bCs/>
          <w:sz w:val="22"/>
          <w:szCs w:val="22"/>
        </w:rPr>
      </w:pPr>
      <w:r>
        <w:rPr>
          <w:rFonts w:ascii="Times New Roman" w:hAnsi="Times New Roman" w:cs="Times New Roman"/>
          <w:bCs/>
          <w:sz w:val="22"/>
          <w:szCs w:val="22"/>
        </w:rPr>
        <w:br w:type="page"/>
      </w:r>
    </w:p>
    <w:p w14:paraId="3B30F279" w14:textId="2BCD7356" w:rsidR="007F7C1E" w:rsidRPr="002D445B" w:rsidRDefault="007F7C1E" w:rsidP="007F7C1E">
      <w:pPr>
        <w:jc w:val="both"/>
        <w:rPr>
          <w:rFonts w:ascii="Times New Roman" w:hAnsi="Times New Roman" w:cs="Times New Roman"/>
          <w:bCs/>
          <w:sz w:val="22"/>
          <w:szCs w:val="22"/>
        </w:rPr>
      </w:pPr>
      <w:r w:rsidRPr="007F7C1E">
        <w:rPr>
          <w:rFonts w:ascii="Times New Roman" w:hAnsi="Times New Roman" w:cs="Times New Roman"/>
          <w:b/>
          <w:sz w:val="22"/>
          <w:szCs w:val="22"/>
        </w:rPr>
        <w:lastRenderedPageBreak/>
        <w:t>1 lentelė.</w:t>
      </w:r>
      <w:r w:rsidRPr="002D445B">
        <w:rPr>
          <w:rFonts w:ascii="Times New Roman" w:hAnsi="Times New Roman" w:cs="Times New Roman"/>
          <w:bCs/>
          <w:sz w:val="22"/>
          <w:szCs w:val="22"/>
        </w:rPr>
        <w:t xml:space="preserve">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7F7C1E" w:rsidRPr="007935E9" w14:paraId="509B7A16" w14:textId="77777777" w:rsidTr="00FC1455">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5FD2E738" w14:textId="77777777" w:rsidR="007F7C1E" w:rsidRPr="007935E9" w:rsidRDefault="007F7C1E" w:rsidP="00FC1455">
            <w:pPr>
              <w:jc w:val="center"/>
              <w:rPr>
                <w:rFonts w:ascii="Times New Roman" w:hAnsi="Times New Roman" w:cs="Times New Roman"/>
                <w:b/>
                <w:bCs/>
                <w:i/>
                <w:iCs/>
                <w:sz w:val="22"/>
                <w:szCs w:val="22"/>
              </w:rPr>
            </w:pPr>
            <w:r w:rsidRPr="007935E9">
              <w:rPr>
                <w:rFonts w:ascii="Times New Roman" w:hAnsi="Times New Roman" w:cs="Times New Roman"/>
                <w:b/>
                <w:bCs/>
                <w:i/>
                <w:iCs/>
                <w:sz w:val="22"/>
                <w:szCs w:val="22"/>
              </w:rPr>
              <w:t>Eil.</w:t>
            </w:r>
          </w:p>
          <w:p w14:paraId="38FD3253" w14:textId="77777777" w:rsidR="007F7C1E" w:rsidRPr="007935E9" w:rsidRDefault="007F7C1E" w:rsidP="00FC1455">
            <w:pPr>
              <w:jc w:val="center"/>
              <w:rPr>
                <w:rFonts w:ascii="Times New Roman" w:hAnsi="Times New Roman" w:cs="Times New Roman"/>
                <w:b/>
                <w:bCs/>
                <w:i/>
                <w:iCs/>
                <w:color w:val="FF0000"/>
                <w:sz w:val="22"/>
                <w:szCs w:val="22"/>
              </w:rPr>
            </w:pPr>
            <w:r w:rsidRPr="007935E9">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648071F7" w14:textId="77777777" w:rsidR="007F7C1E" w:rsidRPr="007935E9" w:rsidRDefault="007F7C1E" w:rsidP="00FC1455">
            <w:pPr>
              <w:jc w:val="center"/>
              <w:rPr>
                <w:rFonts w:ascii="Times New Roman" w:hAnsi="Times New Roman" w:cs="Times New Roman"/>
                <w:sz w:val="22"/>
                <w:szCs w:val="22"/>
              </w:rPr>
            </w:pPr>
            <w:r w:rsidRPr="007935E9">
              <w:rPr>
                <w:rFonts w:ascii="Times New Roman" w:eastAsia="Times New Roman" w:hAnsi="Times New Roman" w:cs="Times New Roman"/>
                <w:b/>
                <w:bCs/>
                <w:i/>
                <w:iCs/>
              </w:rPr>
              <w:t>Reikalaujamos techninės charakteristikos/parametrai ir kiti reikalavimai</w:t>
            </w:r>
          </w:p>
        </w:tc>
        <w:tc>
          <w:tcPr>
            <w:tcW w:w="4536" w:type="dxa"/>
            <w:tcBorders>
              <w:top w:val="single" w:sz="4" w:space="0" w:color="auto"/>
              <w:left w:val="single" w:sz="4" w:space="0" w:color="auto"/>
              <w:right w:val="single" w:sz="4" w:space="0" w:color="auto"/>
            </w:tcBorders>
            <w:shd w:val="clear" w:color="auto" w:fill="E6E6E6"/>
            <w:vAlign w:val="center"/>
          </w:tcPr>
          <w:p w14:paraId="2EA10C70" w14:textId="77777777" w:rsidR="007F7C1E" w:rsidRPr="007935E9" w:rsidRDefault="007F7C1E" w:rsidP="00FC1455">
            <w:pPr>
              <w:spacing w:after="0" w:line="240" w:lineRule="auto"/>
              <w:jc w:val="center"/>
              <w:rPr>
                <w:rFonts w:ascii="Times New Roman" w:hAnsi="Times New Roman" w:cs="Times New Roman"/>
                <w:b/>
                <w:bCs/>
                <w:i/>
                <w:iCs/>
              </w:rPr>
            </w:pPr>
            <w:r w:rsidRPr="007935E9">
              <w:rPr>
                <w:rFonts w:ascii="Times New Roman" w:hAnsi="Times New Roman" w:cs="Times New Roman"/>
                <w:b/>
                <w:bCs/>
                <w:i/>
                <w:iCs/>
              </w:rPr>
              <w:t>Tiekėjo siūlomos įrangos techninės charakteristikos</w:t>
            </w:r>
          </w:p>
          <w:p w14:paraId="7366FA41" w14:textId="77777777" w:rsidR="007F7C1E" w:rsidRPr="007935E9" w:rsidRDefault="007F7C1E" w:rsidP="00FC1455">
            <w:pPr>
              <w:spacing w:after="0" w:line="240" w:lineRule="auto"/>
              <w:jc w:val="center"/>
              <w:rPr>
                <w:rFonts w:ascii="Times New Roman" w:hAnsi="Times New Roman" w:cs="Times New Roman"/>
                <w:i/>
                <w:iCs/>
                <w:sz w:val="22"/>
                <w:szCs w:val="22"/>
              </w:rPr>
            </w:pPr>
            <w:r w:rsidRPr="007935E9">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7F7C1E" w:rsidRPr="002E11F5" w14:paraId="3E7A261A" w14:textId="77777777" w:rsidTr="00FC145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77A77C2D" w14:textId="77777777" w:rsidR="007F7C1E" w:rsidRPr="002E11F5" w:rsidRDefault="007F7C1E" w:rsidP="00FC1455">
            <w:pPr>
              <w:jc w:val="center"/>
              <w:rPr>
                <w:rFonts w:ascii="Times New Roman" w:hAnsi="Times New Roman" w:cs="Times New Roman"/>
              </w:rPr>
            </w:pPr>
            <w:r w:rsidRPr="002E11F5">
              <w:rPr>
                <w:rFonts w:ascii="Times New Roman" w:hAnsi="Times New Roman" w:cs="Times New Roman"/>
                <w:sz w:val="22"/>
                <w:szCs w:val="22"/>
              </w:rPr>
              <w:t>1.</w:t>
            </w:r>
          </w:p>
        </w:tc>
        <w:tc>
          <w:tcPr>
            <w:tcW w:w="4536" w:type="dxa"/>
            <w:tcBorders>
              <w:top w:val="double" w:sz="4" w:space="0" w:color="auto"/>
              <w:left w:val="single" w:sz="4" w:space="0" w:color="auto"/>
              <w:bottom w:val="single" w:sz="4" w:space="0" w:color="auto"/>
              <w:right w:val="single" w:sz="4" w:space="0" w:color="auto"/>
            </w:tcBorders>
          </w:tcPr>
          <w:p w14:paraId="78A8E1C4" w14:textId="77777777" w:rsidR="007F7C1E" w:rsidRPr="002E11F5" w:rsidRDefault="007F7C1E" w:rsidP="002E11F5">
            <w:pPr>
              <w:spacing w:line="240" w:lineRule="auto"/>
              <w:jc w:val="both"/>
              <w:rPr>
                <w:rFonts w:ascii="Times New Roman" w:hAnsi="Times New Roman" w:cs="Times New Roman"/>
                <w:iCs/>
                <w:sz w:val="22"/>
                <w:szCs w:val="22"/>
              </w:rPr>
            </w:pPr>
            <w:r w:rsidRPr="002E11F5">
              <w:rPr>
                <w:rFonts w:ascii="Times New Roman" w:hAnsi="Times New Roman" w:cs="Times New Roman"/>
                <w:bCs/>
                <w:iCs/>
                <w:sz w:val="22"/>
                <w:szCs w:val="22"/>
              </w:rPr>
              <w:t>Vairuotojo akių žvilgsnio stebėjimo akinių sistema su programine įranga</w:t>
            </w:r>
          </w:p>
        </w:tc>
        <w:tc>
          <w:tcPr>
            <w:tcW w:w="4536" w:type="dxa"/>
            <w:tcBorders>
              <w:top w:val="double" w:sz="4" w:space="0" w:color="auto"/>
              <w:left w:val="single" w:sz="4" w:space="0" w:color="auto"/>
              <w:bottom w:val="single" w:sz="4" w:space="0" w:color="auto"/>
              <w:right w:val="single" w:sz="4" w:space="0" w:color="auto"/>
            </w:tcBorders>
            <w:vAlign w:val="center"/>
          </w:tcPr>
          <w:p w14:paraId="01EA269A" w14:textId="77777777" w:rsidR="007F7C1E" w:rsidRPr="002E11F5" w:rsidRDefault="007F7C1E" w:rsidP="00FC1455">
            <w:pPr>
              <w:tabs>
                <w:tab w:val="left" w:pos="30"/>
              </w:tabs>
              <w:spacing w:after="0"/>
              <w:jc w:val="both"/>
              <w:rPr>
                <w:rFonts w:ascii="Times New Roman" w:hAnsi="Times New Roman" w:cs="Times New Roman"/>
                <w:sz w:val="22"/>
                <w:szCs w:val="22"/>
              </w:rPr>
            </w:pPr>
            <w:r w:rsidRPr="002E11F5">
              <w:rPr>
                <w:rFonts w:ascii="Times New Roman" w:hAnsi="Times New Roman" w:cs="Times New Roman"/>
                <w:sz w:val="22"/>
                <w:szCs w:val="22"/>
              </w:rPr>
              <w:t xml:space="preserve">Gamintojas </w:t>
            </w:r>
            <w:r w:rsidRPr="002E11F5">
              <w:rPr>
                <w:rFonts w:ascii="Times New Roman" w:hAnsi="Times New Roman" w:cs="Times New Roman"/>
                <w:i/>
                <w:color w:val="0070C0"/>
                <w:sz w:val="22"/>
                <w:szCs w:val="22"/>
              </w:rPr>
              <w:t>(nurodyti)</w:t>
            </w:r>
            <w:r w:rsidRPr="002E11F5">
              <w:rPr>
                <w:rFonts w:ascii="Times New Roman" w:hAnsi="Times New Roman" w:cs="Times New Roman"/>
                <w:sz w:val="22"/>
                <w:szCs w:val="22"/>
              </w:rPr>
              <w:t>: .................</w:t>
            </w:r>
          </w:p>
          <w:p w14:paraId="0ED781F1" w14:textId="77777777" w:rsidR="007F7C1E" w:rsidRPr="002E11F5" w:rsidRDefault="007F7C1E" w:rsidP="00FC1455">
            <w:pPr>
              <w:spacing w:after="0"/>
              <w:jc w:val="both"/>
              <w:rPr>
                <w:rFonts w:ascii="Times New Roman" w:hAnsi="Times New Roman" w:cs="Times New Roman"/>
                <w:sz w:val="22"/>
                <w:szCs w:val="22"/>
              </w:rPr>
            </w:pPr>
            <w:r w:rsidRPr="002E11F5">
              <w:rPr>
                <w:rFonts w:ascii="Times New Roman" w:hAnsi="Times New Roman" w:cs="Times New Roman"/>
                <w:sz w:val="22"/>
                <w:szCs w:val="22"/>
              </w:rPr>
              <w:t xml:space="preserve">Modelis </w:t>
            </w:r>
            <w:r w:rsidRPr="002E11F5">
              <w:rPr>
                <w:rFonts w:ascii="Times New Roman" w:hAnsi="Times New Roman" w:cs="Times New Roman"/>
                <w:i/>
                <w:color w:val="0070C0"/>
                <w:sz w:val="22"/>
                <w:szCs w:val="22"/>
              </w:rPr>
              <w:t>(nurodyti, jeigu yra)</w:t>
            </w:r>
            <w:r w:rsidRPr="002E11F5">
              <w:rPr>
                <w:rFonts w:ascii="Times New Roman" w:hAnsi="Times New Roman" w:cs="Times New Roman"/>
                <w:sz w:val="22"/>
                <w:szCs w:val="22"/>
              </w:rPr>
              <w:t>: .........................</w:t>
            </w:r>
          </w:p>
          <w:p w14:paraId="7CA0C388" w14:textId="77777777" w:rsidR="007F7C1E" w:rsidRPr="002E11F5" w:rsidRDefault="007F7C1E" w:rsidP="00FC1455">
            <w:pPr>
              <w:rPr>
                <w:rFonts w:ascii="Times New Roman" w:hAnsi="Times New Roman" w:cs="Times New Roman"/>
                <w:i/>
                <w:sz w:val="22"/>
                <w:szCs w:val="22"/>
              </w:rPr>
            </w:pPr>
            <w:r w:rsidRPr="002E11F5">
              <w:rPr>
                <w:rFonts w:ascii="Times New Roman" w:hAnsi="Times New Roman" w:cs="Times New Roman"/>
                <w:sz w:val="22"/>
                <w:szCs w:val="22"/>
              </w:rPr>
              <w:t xml:space="preserve">Kodas </w:t>
            </w:r>
            <w:r w:rsidRPr="002E11F5">
              <w:rPr>
                <w:rFonts w:ascii="Times New Roman" w:hAnsi="Times New Roman" w:cs="Times New Roman"/>
                <w:i/>
                <w:color w:val="0070C0"/>
                <w:sz w:val="22"/>
                <w:szCs w:val="22"/>
              </w:rPr>
              <w:t>(nurodyti, jeigu yra)</w:t>
            </w:r>
            <w:r w:rsidRPr="002E11F5">
              <w:rPr>
                <w:rFonts w:ascii="Times New Roman" w:hAnsi="Times New Roman" w:cs="Times New Roman"/>
                <w:sz w:val="22"/>
                <w:szCs w:val="22"/>
              </w:rPr>
              <w:t>: .........................</w:t>
            </w:r>
          </w:p>
        </w:tc>
      </w:tr>
      <w:tr w:rsidR="007F7C1E" w:rsidRPr="002E11F5" w14:paraId="0DFF4A53" w14:textId="77777777" w:rsidTr="00FC1455">
        <w:tc>
          <w:tcPr>
            <w:tcW w:w="738" w:type="dxa"/>
            <w:tcBorders>
              <w:top w:val="single" w:sz="4" w:space="0" w:color="auto"/>
              <w:left w:val="single" w:sz="4" w:space="0" w:color="auto"/>
              <w:bottom w:val="single" w:sz="4" w:space="0" w:color="auto"/>
              <w:right w:val="single" w:sz="4" w:space="0" w:color="auto"/>
            </w:tcBorders>
          </w:tcPr>
          <w:p w14:paraId="6F148A49"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1.1.</w:t>
            </w:r>
          </w:p>
        </w:tc>
        <w:tc>
          <w:tcPr>
            <w:tcW w:w="4536" w:type="dxa"/>
            <w:tcBorders>
              <w:top w:val="single" w:sz="4" w:space="0" w:color="auto"/>
              <w:left w:val="single" w:sz="4" w:space="0" w:color="auto"/>
              <w:bottom w:val="single" w:sz="4" w:space="0" w:color="auto"/>
              <w:right w:val="single" w:sz="4" w:space="0" w:color="auto"/>
            </w:tcBorders>
          </w:tcPr>
          <w:p w14:paraId="54BCD4B6"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Turi turėti integruotą akių stebėjimo kamerą, kurios raiška ne mažesnė kaip 640x400, vaizdo fiksavimo dažnis ne mažesnis kaip 120 kadrų per sekundę, pikselio dydis ne didesnis nei 3,0 x 3,0 </w:t>
            </w:r>
            <w:proofErr w:type="spellStart"/>
            <w:r w:rsidRPr="002E11F5">
              <w:rPr>
                <w:rFonts w:ascii="Times New Roman" w:hAnsi="Times New Roman" w:cs="Times New Roman"/>
                <w:iCs/>
                <w:sz w:val="22"/>
                <w:szCs w:val="22"/>
              </w:rPr>
              <w:t>μm</w:t>
            </w:r>
            <w:proofErr w:type="spellEnd"/>
            <w:r w:rsidRPr="002E11F5">
              <w:rPr>
                <w:rFonts w:ascii="Times New Roman" w:hAnsi="Times New Roman" w:cs="Times New Roman"/>
                <w:iCs/>
                <w:sz w:val="22"/>
                <w:szCs w:val="22"/>
              </w:rPr>
              <w:t>, o matymo kampas ne siauresnis nei 70 °;</w:t>
            </w:r>
          </w:p>
        </w:tc>
        <w:tc>
          <w:tcPr>
            <w:tcW w:w="4536" w:type="dxa"/>
            <w:tcBorders>
              <w:top w:val="single" w:sz="4" w:space="0" w:color="auto"/>
              <w:left w:val="single" w:sz="4" w:space="0" w:color="auto"/>
              <w:bottom w:val="single" w:sz="4" w:space="0" w:color="auto"/>
              <w:right w:val="single" w:sz="4" w:space="0" w:color="auto"/>
            </w:tcBorders>
          </w:tcPr>
          <w:p w14:paraId="6B393DA8"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37574C6E" w14:textId="77777777" w:rsidTr="00FC1455">
        <w:tc>
          <w:tcPr>
            <w:tcW w:w="738" w:type="dxa"/>
            <w:tcBorders>
              <w:top w:val="single" w:sz="4" w:space="0" w:color="auto"/>
              <w:left w:val="single" w:sz="4" w:space="0" w:color="auto"/>
              <w:bottom w:val="single" w:sz="4" w:space="0" w:color="auto"/>
              <w:right w:val="single" w:sz="4" w:space="0" w:color="auto"/>
            </w:tcBorders>
          </w:tcPr>
          <w:p w14:paraId="15D30209"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1.2.</w:t>
            </w:r>
          </w:p>
        </w:tc>
        <w:tc>
          <w:tcPr>
            <w:tcW w:w="4536" w:type="dxa"/>
            <w:tcBorders>
              <w:top w:val="single" w:sz="4" w:space="0" w:color="auto"/>
              <w:left w:val="single" w:sz="4" w:space="0" w:color="auto"/>
              <w:bottom w:val="single" w:sz="4" w:space="0" w:color="auto"/>
              <w:right w:val="single" w:sz="4" w:space="0" w:color="auto"/>
            </w:tcBorders>
          </w:tcPr>
          <w:p w14:paraId="6E96FA88"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Turi turėti integruotą aplinkos vaizdo fiksavimo kamerą, kurios raiška ne mažesnė kaip 1920x1080, vaizdo fiksavimo dažnis ne mažesnis kaip 60 kadrų per sekundę, pikselio dydis ne didesnis nei 3,0 x 3,0 </w:t>
            </w:r>
            <w:proofErr w:type="spellStart"/>
            <w:r w:rsidRPr="002E11F5">
              <w:rPr>
                <w:rFonts w:ascii="Times New Roman" w:hAnsi="Times New Roman" w:cs="Times New Roman"/>
                <w:iCs/>
                <w:sz w:val="22"/>
                <w:szCs w:val="22"/>
              </w:rPr>
              <w:t>μm</w:t>
            </w:r>
            <w:proofErr w:type="spellEnd"/>
            <w:r w:rsidRPr="002E11F5">
              <w:rPr>
                <w:rFonts w:ascii="Times New Roman" w:hAnsi="Times New Roman" w:cs="Times New Roman"/>
                <w:iCs/>
                <w:sz w:val="22"/>
                <w:szCs w:val="22"/>
              </w:rPr>
              <w:t>, o matymo kampas ne siauresnis nei 90 °;</w:t>
            </w:r>
          </w:p>
        </w:tc>
        <w:tc>
          <w:tcPr>
            <w:tcW w:w="4536" w:type="dxa"/>
            <w:tcBorders>
              <w:top w:val="single" w:sz="4" w:space="0" w:color="auto"/>
              <w:left w:val="single" w:sz="4" w:space="0" w:color="auto"/>
              <w:bottom w:val="single" w:sz="4" w:space="0" w:color="auto"/>
              <w:right w:val="single" w:sz="4" w:space="0" w:color="auto"/>
            </w:tcBorders>
          </w:tcPr>
          <w:p w14:paraId="31161603"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37F45578" w14:textId="77777777" w:rsidTr="00FC1455">
        <w:tc>
          <w:tcPr>
            <w:tcW w:w="738" w:type="dxa"/>
            <w:tcBorders>
              <w:top w:val="single" w:sz="4" w:space="0" w:color="auto"/>
              <w:left w:val="single" w:sz="4" w:space="0" w:color="auto"/>
              <w:bottom w:val="single" w:sz="4" w:space="0" w:color="auto"/>
              <w:right w:val="single" w:sz="4" w:space="0" w:color="auto"/>
            </w:tcBorders>
          </w:tcPr>
          <w:p w14:paraId="2B1BDB8C"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1.3.</w:t>
            </w:r>
          </w:p>
        </w:tc>
        <w:tc>
          <w:tcPr>
            <w:tcW w:w="4536" w:type="dxa"/>
            <w:tcBorders>
              <w:top w:val="single" w:sz="4" w:space="0" w:color="auto"/>
              <w:left w:val="single" w:sz="4" w:space="0" w:color="auto"/>
              <w:bottom w:val="single" w:sz="4" w:space="0" w:color="auto"/>
              <w:right w:val="single" w:sz="4" w:space="0" w:color="auto"/>
            </w:tcBorders>
          </w:tcPr>
          <w:p w14:paraId="498BE64E"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Turi turėti integruotą mikrofoną;</w:t>
            </w:r>
          </w:p>
        </w:tc>
        <w:tc>
          <w:tcPr>
            <w:tcW w:w="4536" w:type="dxa"/>
            <w:tcBorders>
              <w:top w:val="single" w:sz="4" w:space="0" w:color="auto"/>
              <w:left w:val="single" w:sz="4" w:space="0" w:color="auto"/>
              <w:bottom w:val="single" w:sz="4" w:space="0" w:color="auto"/>
              <w:right w:val="single" w:sz="4" w:space="0" w:color="auto"/>
            </w:tcBorders>
          </w:tcPr>
          <w:p w14:paraId="170F1063"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1AE3E494" w14:textId="77777777" w:rsidTr="00FC1455">
        <w:tc>
          <w:tcPr>
            <w:tcW w:w="738" w:type="dxa"/>
            <w:tcBorders>
              <w:top w:val="single" w:sz="4" w:space="0" w:color="auto"/>
              <w:left w:val="single" w:sz="4" w:space="0" w:color="auto"/>
              <w:bottom w:val="single" w:sz="4" w:space="0" w:color="auto"/>
              <w:right w:val="single" w:sz="4" w:space="0" w:color="auto"/>
            </w:tcBorders>
          </w:tcPr>
          <w:p w14:paraId="337FBC94"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1.4.</w:t>
            </w:r>
          </w:p>
        </w:tc>
        <w:tc>
          <w:tcPr>
            <w:tcW w:w="4536" w:type="dxa"/>
            <w:tcBorders>
              <w:top w:val="single" w:sz="4" w:space="0" w:color="auto"/>
              <w:left w:val="single" w:sz="4" w:space="0" w:color="auto"/>
              <w:bottom w:val="single" w:sz="4" w:space="0" w:color="auto"/>
              <w:right w:val="single" w:sz="4" w:space="0" w:color="auto"/>
            </w:tcBorders>
          </w:tcPr>
          <w:p w14:paraId="2929A810"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sistemos rėmelio konstrukcija neturi trukdyti dėvėti įprastus akinius;</w:t>
            </w:r>
          </w:p>
        </w:tc>
        <w:tc>
          <w:tcPr>
            <w:tcW w:w="4536" w:type="dxa"/>
            <w:tcBorders>
              <w:top w:val="single" w:sz="4" w:space="0" w:color="auto"/>
              <w:left w:val="single" w:sz="4" w:space="0" w:color="auto"/>
              <w:bottom w:val="single" w:sz="4" w:space="0" w:color="auto"/>
              <w:right w:val="single" w:sz="4" w:space="0" w:color="auto"/>
            </w:tcBorders>
          </w:tcPr>
          <w:p w14:paraId="3E213465"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0538CFDD" w14:textId="77777777" w:rsidTr="00FC1455">
        <w:tc>
          <w:tcPr>
            <w:tcW w:w="738" w:type="dxa"/>
            <w:tcBorders>
              <w:top w:val="single" w:sz="4" w:space="0" w:color="auto"/>
              <w:left w:val="single" w:sz="4" w:space="0" w:color="auto"/>
              <w:bottom w:val="single" w:sz="4" w:space="0" w:color="auto"/>
              <w:right w:val="single" w:sz="4" w:space="0" w:color="auto"/>
            </w:tcBorders>
          </w:tcPr>
          <w:p w14:paraId="33C4CC18"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1.5.</w:t>
            </w:r>
          </w:p>
        </w:tc>
        <w:tc>
          <w:tcPr>
            <w:tcW w:w="4536" w:type="dxa"/>
            <w:tcBorders>
              <w:top w:val="single" w:sz="4" w:space="0" w:color="auto"/>
              <w:left w:val="single" w:sz="4" w:space="0" w:color="auto"/>
              <w:bottom w:val="single" w:sz="4" w:space="0" w:color="auto"/>
              <w:right w:val="single" w:sz="4" w:space="0" w:color="auto"/>
            </w:tcBorders>
          </w:tcPr>
          <w:p w14:paraId="063BC936"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sistemos masė turi būti ne didesnė kaip 100 g;</w:t>
            </w:r>
          </w:p>
        </w:tc>
        <w:tc>
          <w:tcPr>
            <w:tcW w:w="4536" w:type="dxa"/>
            <w:tcBorders>
              <w:top w:val="single" w:sz="4" w:space="0" w:color="auto"/>
              <w:left w:val="single" w:sz="4" w:space="0" w:color="auto"/>
              <w:bottom w:val="single" w:sz="4" w:space="0" w:color="auto"/>
              <w:right w:val="single" w:sz="4" w:space="0" w:color="auto"/>
            </w:tcBorders>
          </w:tcPr>
          <w:p w14:paraId="3EA2C3A8"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5C5D14BB" w14:textId="77777777" w:rsidTr="00FC1455">
        <w:tc>
          <w:tcPr>
            <w:tcW w:w="738" w:type="dxa"/>
            <w:tcBorders>
              <w:top w:val="single" w:sz="4" w:space="0" w:color="auto"/>
              <w:left w:val="single" w:sz="4" w:space="0" w:color="auto"/>
              <w:bottom w:val="single" w:sz="4" w:space="0" w:color="auto"/>
              <w:right w:val="single" w:sz="4" w:space="0" w:color="auto"/>
            </w:tcBorders>
          </w:tcPr>
          <w:p w14:paraId="6F8AFDDD"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1.6.</w:t>
            </w:r>
          </w:p>
        </w:tc>
        <w:tc>
          <w:tcPr>
            <w:tcW w:w="4536" w:type="dxa"/>
            <w:tcBorders>
              <w:top w:val="single" w:sz="4" w:space="0" w:color="auto"/>
              <w:left w:val="single" w:sz="4" w:space="0" w:color="auto"/>
              <w:bottom w:val="single" w:sz="4" w:space="0" w:color="auto"/>
              <w:right w:val="single" w:sz="4" w:space="0" w:color="auto"/>
            </w:tcBorders>
          </w:tcPr>
          <w:p w14:paraId="47AE3330"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sistema turi veikti ne siauresniame temperatūros intervale kaip nuo -10 iki +50 °C;</w:t>
            </w:r>
          </w:p>
        </w:tc>
        <w:tc>
          <w:tcPr>
            <w:tcW w:w="4536" w:type="dxa"/>
            <w:tcBorders>
              <w:top w:val="single" w:sz="4" w:space="0" w:color="auto"/>
              <w:left w:val="single" w:sz="4" w:space="0" w:color="auto"/>
              <w:bottom w:val="single" w:sz="4" w:space="0" w:color="auto"/>
              <w:right w:val="single" w:sz="4" w:space="0" w:color="auto"/>
            </w:tcBorders>
          </w:tcPr>
          <w:p w14:paraId="00EE9880"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0D323D07" w14:textId="77777777" w:rsidTr="00FC1455">
        <w:tc>
          <w:tcPr>
            <w:tcW w:w="738" w:type="dxa"/>
            <w:tcBorders>
              <w:top w:val="single" w:sz="4" w:space="0" w:color="auto"/>
              <w:left w:val="single" w:sz="4" w:space="0" w:color="auto"/>
              <w:bottom w:val="single" w:sz="4" w:space="0" w:color="auto"/>
              <w:right w:val="single" w:sz="4" w:space="0" w:color="auto"/>
            </w:tcBorders>
          </w:tcPr>
          <w:p w14:paraId="79F1268B"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1.7.</w:t>
            </w:r>
          </w:p>
        </w:tc>
        <w:tc>
          <w:tcPr>
            <w:tcW w:w="4536" w:type="dxa"/>
            <w:tcBorders>
              <w:top w:val="single" w:sz="4" w:space="0" w:color="auto"/>
              <w:left w:val="single" w:sz="4" w:space="0" w:color="auto"/>
              <w:bottom w:val="single" w:sz="4" w:space="0" w:color="auto"/>
              <w:right w:val="single" w:sz="4" w:space="0" w:color="auto"/>
            </w:tcBorders>
          </w:tcPr>
          <w:p w14:paraId="1C31EB81" w14:textId="33FAE799" w:rsidR="00B07254"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Akinių sistemos valdymui turi būti pridėtas mobilus įrenginys (išmanusis telefonas, planšetė arba nešiojamasis kompiuteris) su programine įranga akių žvilgsnio duomenų surinkimui, kurio atmintis ne mažesnė kaip 512 GB.</w:t>
            </w:r>
          </w:p>
        </w:tc>
        <w:tc>
          <w:tcPr>
            <w:tcW w:w="4536" w:type="dxa"/>
            <w:tcBorders>
              <w:top w:val="single" w:sz="4" w:space="0" w:color="auto"/>
              <w:left w:val="single" w:sz="4" w:space="0" w:color="auto"/>
              <w:bottom w:val="single" w:sz="4" w:space="0" w:color="auto"/>
              <w:right w:val="single" w:sz="4" w:space="0" w:color="auto"/>
            </w:tcBorders>
          </w:tcPr>
          <w:p w14:paraId="42247F3E" w14:textId="77777777" w:rsidR="007F7C1E" w:rsidRPr="002E11F5" w:rsidRDefault="007F7C1E" w:rsidP="00FC1455">
            <w:pPr>
              <w:pStyle w:val="BodyTextIndent"/>
              <w:ind w:left="0"/>
              <w:rPr>
                <w:rFonts w:ascii="Times New Roman" w:hAnsi="Times New Roman" w:cs="Times New Roman"/>
                <w:color w:val="FF0000"/>
                <w:sz w:val="22"/>
                <w:szCs w:val="22"/>
              </w:rPr>
            </w:pPr>
          </w:p>
        </w:tc>
      </w:tr>
      <w:tr w:rsidR="007F7C1E" w:rsidRPr="002E11F5" w14:paraId="186C00C2" w14:textId="77777777" w:rsidTr="00FC1455">
        <w:tc>
          <w:tcPr>
            <w:tcW w:w="738" w:type="dxa"/>
            <w:tcBorders>
              <w:top w:val="single" w:sz="4" w:space="0" w:color="auto"/>
              <w:left w:val="single" w:sz="4" w:space="0" w:color="auto"/>
              <w:bottom w:val="single" w:sz="4" w:space="0" w:color="auto"/>
              <w:right w:val="single" w:sz="4" w:space="0" w:color="auto"/>
            </w:tcBorders>
          </w:tcPr>
          <w:p w14:paraId="5B5BDE4D"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1.8.</w:t>
            </w:r>
          </w:p>
        </w:tc>
        <w:tc>
          <w:tcPr>
            <w:tcW w:w="4536" w:type="dxa"/>
            <w:tcBorders>
              <w:top w:val="single" w:sz="4" w:space="0" w:color="auto"/>
              <w:left w:val="single" w:sz="4" w:space="0" w:color="auto"/>
              <w:bottom w:val="single" w:sz="4" w:space="0" w:color="auto"/>
              <w:right w:val="single" w:sz="4" w:space="0" w:color="auto"/>
            </w:tcBorders>
          </w:tcPr>
          <w:p w14:paraId="466D0C6F" w14:textId="518403A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 xml:space="preserve">Turi būti pridėta akių žvilgsnio duomenų apdorojimo programinė įranga, leidžianti rankiniu arba automatiniu būdu nustatyti žvilgsnio šuolius ir fiksacijas, žvilgsnio šiluminio tipo žemėlapius ir judėjimo trajektorijas. </w:t>
            </w:r>
          </w:p>
        </w:tc>
        <w:tc>
          <w:tcPr>
            <w:tcW w:w="4536" w:type="dxa"/>
            <w:tcBorders>
              <w:top w:val="single" w:sz="4" w:space="0" w:color="auto"/>
              <w:left w:val="single" w:sz="4" w:space="0" w:color="auto"/>
              <w:bottom w:val="single" w:sz="4" w:space="0" w:color="auto"/>
              <w:right w:val="single" w:sz="4" w:space="0" w:color="auto"/>
            </w:tcBorders>
          </w:tcPr>
          <w:p w14:paraId="6082E3DA" w14:textId="77777777" w:rsidR="007F7C1E" w:rsidRPr="002E11F5" w:rsidRDefault="007F7C1E" w:rsidP="00FC1455">
            <w:pPr>
              <w:pStyle w:val="BodyTextIndent"/>
              <w:ind w:left="0"/>
              <w:rPr>
                <w:rFonts w:ascii="Times New Roman" w:hAnsi="Times New Roman" w:cs="Times New Roman"/>
                <w:sz w:val="22"/>
                <w:szCs w:val="22"/>
              </w:rPr>
            </w:pPr>
          </w:p>
        </w:tc>
      </w:tr>
      <w:tr w:rsidR="007F7C1E" w:rsidRPr="002E11F5" w14:paraId="3225D4BE" w14:textId="77777777" w:rsidTr="00FC1455">
        <w:tc>
          <w:tcPr>
            <w:tcW w:w="738" w:type="dxa"/>
            <w:tcBorders>
              <w:top w:val="single" w:sz="4" w:space="0" w:color="auto"/>
              <w:left w:val="single" w:sz="4" w:space="0" w:color="auto"/>
              <w:bottom w:val="single" w:sz="4" w:space="0" w:color="auto"/>
              <w:right w:val="single" w:sz="4" w:space="0" w:color="auto"/>
            </w:tcBorders>
          </w:tcPr>
          <w:p w14:paraId="0265CECC" w14:textId="77777777" w:rsidR="007F7C1E" w:rsidRPr="002E11F5" w:rsidRDefault="007F7C1E" w:rsidP="00FC1455">
            <w:pPr>
              <w:jc w:val="center"/>
              <w:rPr>
                <w:rFonts w:ascii="Times New Roman" w:hAnsi="Times New Roman" w:cs="Times New Roman"/>
                <w:sz w:val="22"/>
                <w:szCs w:val="22"/>
              </w:rPr>
            </w:pPr>
            <w:r w:rsidRPr="002E11F5">
              <w:rPr>
                <w:rFonts w:ascii="Times New Roman" w:hAnsi="Times New Roman" w:cs="Times New Roman"/>
                <w:sz w:val="22"/>
                <w:szCs w:val="22"/>
              </w:rPr>
              <w:t>1.9.</w:t>
            </w:r>
          </w:p>
        </w:tc>
        <w:tc>
          <w:tcPr>
            <w:tcW w:w="4536" w:type="dxa"/>
            <w:tcBorders>
              <w:top w:val="single" w:sz="4" w:space="0" w:color="auto"/>
              <w:left w:val="single" w:sz="4" w:space="0" w:color="auto"/>
              <w:bottom w:val="single" w:sz="4" w:space="0" w:color="auto"/>
              <w:right w:val="single" w:sz="4" w:space="0" w:color="auto"/>
            </w:tcBorders>
          </w:tcPr>
          <w:p w14:paraId="2462EC8E" w14:textId="77777777" w:rsidR="007F7C1E" w:rsidRPr="002E11F5" w:rsidRDefault="007F7C1E" w:rsidP="002E11F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 xml:space="preserve">Turi būti galimybė </w:t>
            </w:r>
            <w:proofErr w:type="spellStart"/>
            <w:r w:rsidRPr="002E11F5">
              <w:rPr>
                <w:rFonts w:ascii="Times New Roman" w:hAnsi="Times New Roman" w:cs="Times New Roman"/>
                <w:iCs/>
                <w:sz w:val="22"/>
                <w:szCs w:val="22"/>
              </w:rPr>
              <w:t>postanalizės</w:t>
            </w:r>
            <w:proofErr w:type="spellEnd"/>
            <w:r w:rsidRPr="002E11F5">
              <w:rPr>
                <w:rFonts w:ascii="Times New Roman" w:hAnsi="Times New Roman" w:cs="Times New Roman"/>
                <w:iCs/>
                <w:sz w:val="22"/>
                <w:szCs w:val="22"/>
              </w:rPr>
              <w:t xml:space="preserve"> režime vizualizuoti vyzdžio vaizdo įrašą ir vyzdžio aptikimą, sinchronizuoti papildomus duomenis, tokius kaip vaizdo kamerų srautai ar tinklo duomenų srautai, ir automatiškai analizuoti žvilgsnius į dominančias sritis.</w:t>
            </w:r>
          </w:p>
        </w:tc>
        <w:tc>
          <w:tcPr>
            <w:tcW w:w="4536" w:type="dxa"/>
            <w:tcBorders>
              <w:top w:val="single" w:sz="4" w:space="0" w:color="auto"/>
              <w:left w:val="single" w:sz="4" w:space="0" w:color="auto"/>
              <w:bottom w:val="single" w:sz="4" w:space="0" w:color="auto"/>
              <w:right w:val="single" w:sz="4" w:space="0" w:color="auto"/>
            </w:tcBorders>
          </w:tcPr>
          <w:p w14:paraId="0219C84D" w14:textId="77777777" w:rsidR="007F7C1E" w:rsidRPr="002E11F5" w:rsidRDefault="007F7C1E" w:rsidP="00FC1455">
            <w:pPr>
              <w:pStyle w:val="BodyTextIndent"/>
              <w:ind w:left="0"/>
              <w:rPr>
                <w:rFonts w:ascii="Times New Roman" w:hAnsi="Times New Roman" w:cs="Times New Roman"/>
                <w:sz w:val="22"/>
                <w:szCs w:val="22"/>
              </w:rPr>
            </w:pPr>
          </w:p>
        </w:tc>
      </w:tr>
      <w:tr w:rsidR="007F7C1E" w:rsidRPr="007935E9" w14:paraId="78CE279A" w14:textId="77777777" w:rsidTr="00FC1455">
        <w:tc>
          <w:tcPr>
            <w:tcW w:w="738" w:type="dxa"/>
            <w:tcBorders>
              <w:top w:val="single" w:sz="4" w:space="0" w:color="auto"/>
              <w:left w:val="single" w:sz="4" w:space="0" w:color="auto"/>
              <w:bottom w:val="single" w:sz="4" w:space="0" w:color="auto"/>
              <w:right w:val="single" w:sz="4" w:space="0" w:color="auto"/>
            </w:tcBorders>
          </w:tcPr>
          <w:p w14:paraId="705F3B4A" w14:textId="375C5F0A" w:rsidR="007F7C1E" w:rsidRDefault="00B07254" w:rsidP="00FC1455">
            <w:pPr>
              <w:jc w:val="center"/>
              <w:rPr>
                <w:rFonts w:ascii="Times New Roman" w:hAnsi="Times New Roman" w:cs="Times New Roman"/>
                <w:sz w:val="22"/>
                <w:szCs w:val="22"/>
              </w:rPr>
            </w:pPr>
            <w:r>
              <w:rPr>
                <w:rFonts w:ascii="Times New Roman" w:hAnsi="Times New Roman" w:cs="Times New Roman"/>
                <w:sz w:val="22"/>
                <w:szCs w:val="22"/>
              </w:rPr>
              <w:t>2.0.</w:t>
            </w:r>
          </w:p>
        </w:tc>
        <w:tc>
          <w:tcPr>
            <w:tcW w:w="4536" w:type="dxa"/>
            <w:tcBorders>
              <w:top w:val="single" w:sz="4" w:space="0" w:color="auto"/>
              <w:left w:val="single" w:sz="4" w:space="0" w:color="auto"/>
              <w:bottom w:val="single" w:sz="4" w:space="0" w:color="auto"/>
              <w:right w:val="single" w:sz="4" w:space="0" w:color="auto"/>
            </w:tcBorders>
          </w:tcPr>
          <w:p w14:paraId="2D177B66" w14:textId="72646CE5" w:rsidR="007F7C1E" w:rsidRDefault="00B07254" w:rsidP="00FC1455">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Akiniams suteikiama 24 mėnesių garantija.</w:t>
            </w:r>
          </w:p>
          <w:p w14:paraId="1072748E" w14:textId="233F4471" w:rsidR="00B07254" w:rsidRPr="00327FB4" w:rsidRDefault="00B07254" w:rsidP="00FC1455">
            <w:pPr>
              <w:spacing w:after="0" w:line="240" w:lineRule="auto"/>
              <w:jc w:val="both"/>
              <w:rPr>
                <w:rFonts w:ascii="Times New Roman" w:hAnsi="Times New Roman" w:cs="Times New Roman"/>
                <w:iCs/>
                <w:sz w:val="22"/>
                <w:szCs w:val="22"/>
              </w:rPr>
            </w:pPr>
            <w:r w:rsidRPr="002E11F5">
              <w:rPr>
                <w:rFonts w:ascii="Times New Roman" w:hAnsi="Times New Roman" w:cs="Times New Roman"/>
                <w:iCs/>
                <w:sz w:val="22"/>
                <w:szCs w:val="22"/>
              </w:rPr>
              <w:t>Programinė įranga turi būti su atnaujinimų palaikymu ne mažiau kaip 24 mėnesiams</w:t>
            </w:r>
          </w:p>
        </w:tc>
        <w:tc>
          <w:tcPr>
            <w:tcW w:w="4536" w:type="dxa"/>
            <w:tcBorders>
              <w:top w:val="single" w:sz="4" w:space="0" w:color="auto"/>
              <w:left w:val="single" w:sz="4" w:space="0" w:color="auto"/>
              <w:bottom w:val="single" w:sz="4" w:space="0" w:color="auto"/>
              <w:right w:val="single" w:sz="4" w:space="0" w:color="auto"/>
            </w:tcBorders>
          </w:tcPr>
          <w:p w14:paraId="11EE2A01" w14:textId="77777777" w:rsidR="007F7C1E" w:rsidRPr="007935E9" w:rsidRDefault="007F7C1E" w:rsidP="00FC1455">
            <w:pPr>
              <w:pStyle w:val="BodyTextIndent"/>
              <w:ind w:left="0"/>
              <w:rPr>
                <w:rFonts w:ascii="Times New Roman" w:hAnsi="Times New Roman" w:cs="Times New Roman"/>
                <w:sz w:val="22"/>
                <w:szCs w:val="22"/>
              </w:rPr>
            </w:pPr>
          </w:p>
        </w:tc>
      </w:tr>
    </w:tbl>
    <w:p w14:paraId="5080818F" w14:textId="77777777" w:rsidR="001B5FFF" w:rsidRDefault="001B5FFF"/>
    <w:sectPr w:rsidR="001B5FFF" w:rsidSect="00606136">
      <w:footerReference w:type="first" r:id="rId9"/>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DA29" w14:textId="77777777" w:rsidR="0040070C" w:rsidRDefault="0040070C">
      <w:pPr>
        <w:spacing w:after="0" w:line="240" w:lineRule="auto"/>
      </w:pPr>
      <w:r>
        <w:separator/>
      </w:r>
    </w:p>
  </w:endnote>
  <w:endnote w:type="continuationSeparator" w:id="0">
    <w:p w14:paraId="3A787C74" w14:textId="77777777" w:rsidR="0040070C" w:rsidRDefault="0040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73CE1497" w14:textId="77777777" w:rsidR="00FF5BD3" w:rsidRDefault="007F7C1E">
        <w:pPr>
          <w:pStyle w:val="Footer"/>
          <w:jc w:val="right"/>
        </w:pPr>
        <w:r>
          <w:fldChar w:fldCharType="begin"/>
        </w:r>
        <w:r>
          <w:instrText>PAGE   \* MERGEFORMAT</w:instrText>
        </w:r>
        <w:r>
          <w:fldChar w:fldCharType="separate"/>
        </w:r>
        <w:r>
          <w:rPr>
            <w:noProof/>
          </w:rPr>
          <w:t>5</w:t>
        </w:r>
        <w:r>
          <w:fldChar w:fldCharType="end"/>
        </w:r>
      </w:p>
    </w:sdtContent>
  </w:sdt>
  <w:p w14:paraId="43F8CE81" w14:textId="77777777" w:rsidR="00BE2A08" w:rsidRDefault="00712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00AA" w14:textId="77777777" w:rsidR="0040070C" w:rsidRDefault="0040070C">
      <w:pPr>
        <w:spacing w:after="0" w:line="240" w:lineRule="auto"/>
      </w:pPr>
      <w:r>
        <w:separator/>
      </w:r>
    </w:p>
  </w:footnote>
  <w:footnote w:type="continuationSeparator" w:id="0">
    <w:p w14:paraId="638C965C" w14:textId="77777777" w:rsidR="0040070C" w:rsidRDefault="00400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125F4"/>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1E"/>
    <w:rsid w:val="0005198E"/>
    <w:rsid w:val="001B5FFF"/>
    <w:rsid w:val="002E11F5"/>
    <w:rsid w:val="003775C8"/>
    <w:rsid w:val="003A0062"/>
    <w:rsid w:val="0040070C"/>
    <w:rsid w:val="00473314"/>
    <w:rsid w:val="00712FB3"/>
    <w:rsid w:val="007F7C1E"/>
    <w:rsid w:val="008C3296"/>
    <w:rsid w:val="00B07254"/>
    <w:rsid w:val="00E04021"/>
    <w:rsid w:val="00E26443"/>
    <w:rsid w:val="00E77846"/>
    <w:rsid w:val="00F01E64"/>
    <w:rsid w:val="00FF4B4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4823"/>
  <w15:chartTrackingRefBased/>
  <w15:docId w15:val="{05CC2C33-66E9-448C-B1B0-2E70F0D5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1E"/>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C1E"/>
    <w:pPr>
      <w:tabs>
        <w:tab w:val="center" w:pos="4513"/>
        <w:tab w:val="right" w:pos="9026"/>
      </w:tabs>
    </w:pPr>
  </w:style>
  <w:style w:type="character" w:customStyle="1" w:styleId="FooterChar">
    <w:name w:val="Footer Char"/>
    <w:basedOn w:val="DefaultParagraphFont"/>
    <w:link w:val="Footer"/>
    <w:uiPriority w:val="99"/>
    <w:rsid w:val="007F7C1E"/>
    <w:rPr>
      <w:rFonts w:eastAsiaTheme="minorEastAsia"/>
      <w:sz w:val="21"/>
      <w:szCs w:val="21"/>
      <w:lang w:eastAsia="lt-LT"/>
    </w:rPr>
  </w:style>
  <w:style w:type="paragraph" w:styleId="BodyTextIndent">
    <w:name w:val="Body Text Indent"/>
    <w:basedOn w:val="Normal"/>
    <w:link w:val="BodyTextIndentChar"/>
    <w:uiPriority w:val="99"/>
    <w:unhideWhenUsed/>
    <w:rsid w:val="007F7C1E"/>
    <w:pPr>
      <w:spacing w:after="120"/>
      <w:ind w:left="283"/>
    </w:pPr>
  </w:style>
  <w:style w:type="character" w:customStyle="1" w:styleId="BodyTextIndentChar">
    <w:name w:val="Body Text Indent Char"/>
    <w:basedOn w:val="DefaultParagraphFont"/>
    <w:link w:val="BodyTextIndent"/>
    <w:uiPriority w:val="99"/>
    <w:rsid w:val="007F7C1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3452</Words>
  <Characters>1968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Aleksonis</dc:creator>
  <cp:keywords/>
  <dc:description/>
  <cp:lastModifiedBy>Danguolė Zavarzinienė</cp:lastModifiedBy>
  <cp:revision>12</cp:revision>
  <dcterms:created xsi:type="dcterms:W3CDTF">2026-04-16T13:15:00Z</dcterms:created>
  <dcterms:modified xsi:type="dcterms:W3CDTF">2026-06-05T11:41:00Z</dcterms:modified>
</cp:coreProperties>
</file>