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8268" w14:textId="7BD7D4D7" w:rsidR="001374E0" w:rsidRDefault="001374E0" w:rsidP="001374E0">
      <w:pPr>
        <w:spacing w:after="0" w:line="240" w:lineRule="auto"/>
        <w:ind w:firstLine="851"/>
        <w:contextualSpacing/>
        <w:jc w:val="both"/>
        <w:rPr>
          <w:rFonts w:ascii="Times New Roman" w:eastAsia="Calibri" w:hAnsi="Times New Roman" w:cs="Times New Roman"/>
          <w:kern w:val="0"/>
          <w:lang w:val="lt-LT" w:eastAsia="lt-LT"/>
          <w14:ligatures w14:val="none"/>
        </w:rPr>
      </w:pPr>
      <w:r w:rsidRPr="001374E0">
        <w:rPr>
          <w:rFonts w:ascii="Times New Roman" w:eastAsia="Calibri" w:hAnsi="Times New Roman" w:cs="Times New Roman"/>
          <w:color w:val="000000"/>
          <w:kern w:val="0"/>
          <w:lang w:val="lt-LT" w:eastAsia="lt-LT"/>
          <w14:ligatures w14:val="none"/>
        </w:rPr>
        <w:t xml:space="preserve">Perkančioji organizacija numato įsigyti pastato – </w:t>
      </w:r>
      <w:r w:rsidRPr="001374E0">
        <w:rPr>
          <w:rFonts w:ascii="Times New Roman" w:eastAsia="Calibri" w:hAnsi="Times New Roman" w:cs="Times New Roman"/>
          <w:b/>
          <w:bCs/>
          <w:color w:val="000000"/>
          <w:kern w:val="0"/>
          <w:lang w:val="lt-LT" w:eastAsia="lt-LT"/>
          <w14:ligatures w14:val="none"/>
        </w:rPr>
        <w:t>mokomojo korpuso Malūnų g. 5, Vilniuje, pritaikymo neįgaliesiems, paprastojo remonto darbus, įrengiant liftą</w:t>
      </w:r>
      <w:r w:rsidRPr="001374E0">
        <w:rPr>
          <w:rFonts w:ascii="Times New Roman" w:eastAsia="Calibri" w:hAnsi="Times New Roman" w:cs="Times New Roman"/>
          <w:b/>
          <w:bCs/>
          <w:kern w:val="0"/>
          <w:lang w:val="lt-LT" w:eastAsia="lt-LT"/>
          <w14:ligatures w14:val="none"/>
        </w:rPr>
        <w:t>.</w:t>
      </w:r>
      <w:r w:rsidRPr="001374E0">
        <w:rPr>
          <w:rFonts w:ascii="Times New Roman" w:eastAsia="Calibri" w:hAnsi="Times New Roman" w:cs="Times New Roman"/>
          <w:kern w:val="0"/>
          <w:lang w:val="lt-LT" w:eastAsia="lt-LT"/>
          <w14:ligatures w14:val="none"/>
        </w:rPr>
        <w:t xml:space="preserve"> Darbai bus atliekami pagal UAB „PASLAIČIO PROJEKTAVIMO BIURAS“ parengtą pastato paprastojo remonto aprašą. Reikalavimai pirkimo objektui nustatyti 2 ir 3, bei 8 prieduose. </w:t>
      </w:r>
    </w:p>
    <w:p w14:paraId="6FFC3F12" w14:textId="77777777" w:rsidR="001374E0" w:rsidRPr="001374E0" w:rsidRDefault="001374E0" w:rsidP="001374E0">
      <w:pPr>
        <w:spacing w:after="0" w:line="240" w:lineRule="auto"/>
        <w:ind w:firstLine="851"/>
        <w:contextualSpacing/>
        <w:jc w:val="both"/>
        <w:rPr>
          <w:rFonts w:ascii="Times New Roman" w:eastAsia="Calibri" w:hAnsi="Times New Roman" w:cs="Times New Roman"/>
          <w:kern w:val="0"/>
          <w:lang w:val="lt-LT" w:eastAsia="lt-LT"/>
          <w14:ligatures w14:val="none"/>
        </w:rPr>
      </w:pPr>
    </w:p>
    <w:p w14:paraId="6FD5DA05" w14:textId="0061F856" w:rsidR="001374E0" w:rsidRPr="001374E0" w:rsidRDefault="001374E0" w:rsidP="001374E0">
      <w:pPr>
        <w:spacing w:after="0" w:line="240" w:lineRule="auto"/>
        <w:ind w:firstLine="851"/>
        <w:contextualSpacing/>
        <w:jc w:val="both"/>
        <w:rPr>
          <w:rFonts w:ascii="Times New Roman" w:eastAsia="Calibri" w:hAnsi="Times New Roman" w:cs="Times New Roman"/>
          <w:b/>
          <w:bCs/>
          <w:kern w:val="0"/>
          <w:szCs w:val="22"/>
          <w:lang w:val="lt-LT"/>
          <w14:ligatures w14:val="none"/>
        </w:rPr>
      </w:pPr>
      <w:r w:rsidRPr="001374E0">
        <w:rPr>
          <w:rFonts w:ascii="Times New Roman" w:eastAsia="Calibri" w:hAnsi="Times New Roman" w:cs="Times New Roman"/>
          <w:b/>
          <w:bCs/>
          <w:kern w:val="0"/>
          <w:szCs w:val="22"/>
          <w:lang w:val="lt-LT"/>
          <w14:ligatures w14:val="none"/>
        </w:rPr>
        <w:t>Darbai turės būti atlikti tokiu eiliškumu:</w:t>
      </w:r>
    </w:p>
    <w:p w14:paraId="7A19F6F6" w14:textId="009D35A8" w:rsidR="001374E0" w:rsidRPr="001374E0" w:rsidRDefault="001374E0" w:rsidP="001374E0">
      <w:pPr>
        <w:tabs>
          <w:tab w:val="left" w:pos="1701"/>
        </w:tabs>
        <w:spacing w:after="0" w:line="240" w:lineRule="auto"/>
        <w:ind w:firstLine="851"/>
        <w:contextualSpacing/>
        <w:jc w:val="both"/>
        <w:rPr>
          <w:rFonts w:ascii="Times New Roman" w:eastAsia="Calibri" w:hAnsi="Times New Roman" w:cs="Times New Roman"/>
          <w:kern w:val="0"/>
          <w:szCs w:val="22"/>
          <w:lang w:val="lt-LT"/>
          <w14:ligatures w14:val="none"/>
        </w:rPr>
      </w:pPr>
      <w:r w:rsidRPr="001374E0">
        <w:rPr>
          <w:rFonts w:ascii="Times New Roman" w:eastAsia="Calibri" w:hAnsi="Times New Roman" w:cs="Times New Roman"/>
          <w:kern w:val="0"/>
          <w:szCs w:val="22"/>
          <w:lang w:val="lt-LT"/>
          <w14:ligatures w14:val="none"/>
        </w:rPr>
        <w:t>1.</w:t>
      </w:r>
      <w:r w:rsidRPr="001374E0">
        <w:rPr>
          <w:rFonts w:ascii="Times New Roman" w:eastAsia="Calibri" w:hAnsi="Times New Roman" w:cs="Times New Roman"/>
          <w:kern w:val="0"/>
          <w:szCs w:val="22"/>
          <w:lang w:val="lt-LT"/>
          <w14:ligatures w14:val="none"/>
        </w:rPr>
        <w:tab/>
        <w:t xml:space="preserve">Esamų konstrukcijų demontavimas, esamų tarpaukštinių perdangų pjovimas, esamų pertvarų, esančių naujai projektuojamo lifto šachtos vietoje, demontavimas ir lifto šachtos </w:t>
      </w:r>
      <w:proofErr w:type="spellStart"/>
      <w:r w:rsidRPr="001374E0">
        <w:rPr>
          <w:rFonts w:ascii="Times New Roman" w:eastAsia="Calibri" w:hAnsi="Times New Roman" w:cs="Times New Roman"/>
          <w:kern w:val="0"/>
          <w:szCs w:val="22"/>
          <w:lang w:val="lt-LT"/>
          <w14:ligatures w14:val="none"/>
        </w:rPr>
        <w:t>prieduobės</w:t>
      </w:r>
      <w:proofErr w:type="spellEnd"/>
      <w:r w:rsidRPr="001374E0">
        <w:rPr>
          <w:rFonts w:ascii="Times New Roman" w:eastAsia="Calibri" w:hAnsi="Times New Roman" w:cs="Times New Roman"/>
          <w:kern w:val="0"/>
          <w:szCs w:val="22"/>
          <w:lang w:val="lt-LT"/>
          <w14:ligatures w14:val="none"/>
        </w:rPr>
        <w:t xml:space="preserve"> įrengimas, naujų silikato ir </w:t>
      </w:r>
      <w:proofErr w:type="spellStart"/>
      <w:r w:rsidRPr="001374E0">
        <w:rPr>
          <w:rFonts w:ascii="Times New Roman" w:eastAsia="Calibri" w:hAnsi="Times New Roman" w:cs="Times New Roman"/>
          <w:kern w:val="0"/>
          <w:szCs w:val="22"/>
          <w:lang w:val="lt-LT"/>
          <w14:ligatures w14:val="none"/>
        </w:rPr>
        <w:t>pertvarinių</w:t>
      </w:r>
      <w:proofErr w:type="spellEnd"/>
      <w:r w:rsidRPr="001374E0">
        <w:rPr>
          <w:rFonts w:ascii="Times New Roman" w:eastAsia="Calibri" w:hAnsi="Times New Roman" w:cs="Times New Roman"/>
          <w:kern w:val="0"/>
          <w:szCs w:val="22"/>
          <w:lang w:val="lt-LT"/>
          <w14:ligatures w14:val="none"/>
        </w:rPr>
        <w:t xml:space="preserve"> mūro blokelių mūrijimas, sąramų įrengimas, lifto šachtos </w:t>
      </w:r>
      <w:proofErr w:type="spellStart"/>
      <w:r w:rsidRPr="001374E0">
        <w:rPr>
          <w:rFonts w:ascii="Times New Roman" w:eastAsia="Calibri" w:hAnsi="Times New Roman" w:cs="Times New Roman"/>
          <w:kern w:val="0"/>
          <w:szCs w:val="22"/>
          <w:lang w:val="lt-LT"/>
          <w14:ligatures w14:val="none"/>
        </w:rPr>
        <w:t>perdenginio</w:t>
      </w:r>
      <w:proofErr w:type="spellEnd"/>
      <w:r w:rsidRPr="001374E0">
        <w:rPr>
          <w:rFonts w:ascii="Times New Roman" w:eastAsia="Calibri" w:hAnsi="Times New Roman" w:cs="Times New Roman"/>
          <w:kern w:val="0"/>
          <w:szCs w:val="22"/>
          <w:lang w:val="lt-LT"/>
          <w14:ligatures w14:val="none"/>
        </w:rPr>
        <w:t xml:space="preserve"> įrengimas, darbo projekto parengimas – </w:t>
      </w:r>
      <w:r w:rsidRPr="001374E0">
        <w:rPr>
          <w:rFonts w:ascii="Times New Roman" w:eastAsia="Calibri" w:hAnsi="Times New Roman" w:cs="Times New Roman"/>
          <w:b/>
          <w:bCs/>
          <w:kern w:val="0"/>
          <w:szCs w:val="22"/>
          <w:lang w:val="lt-LT"/>
          <w14:ligatures w14:val="none"/>
        </w:rPr>
        <w:t xml:space="preserve">ne vėliau kaip per 2 (du) mėnesius nuo Sutarties pasirašymo. </w:t>
      </w:r>
      <w:r w:rsidRPr="001374E0">
        <w:rPr>
          <w:rFonts w:ascii="Times New Roman" w:eastAsia="Calibri" w:hAnsi="Times New Roman" w:cs="Times New Roman"/>
          <w:kern w:val="0"/>
          <w:szCs w:val="22"/>
          <w:lang w:val="lt-LT"/>
          <w14:ligatures w14:val="none"/>
        </w:rPr>
        <w:t>Esant nenumatytoms aplinkybėms, rašytiniu Šalių susitarimu Darbų atlikimo terminas gali būti pratęstas 1 (vieno) mėnesio laikotarpiui.</w:t>
      </w:r>
    </w:p>
    <w:p w14:paraId="51243307" w14:textId="62F90D4C" w:rsidR="001374E0" w:rsidRDefault="001374E0" w:rsidP="001374E0">
      <w:pPr>
        <w:tabs>
          <w:tab w:val="left" w:pos="1701"/>
        </w:tabs>
        <w:spacing w:after="0" w:line="240" w:lineRule="auto"/>
        <w:ind w:firstLine="851"/>
        <w:contextualSpacing/>
        <w:jc w:val="both"/>
        <w:rPr>
          <w:rFonts w:ascii="Times New Roman" w:eastAsia="Calibri" w:hAnsi="Times New Roman" w:cs="Times New Roman"/>
          <w:kern w:val="0"/>
          <w:szCs w:val="22"/>
          <w:lang w:val="lt-LT"/>
          <w14:ligatures w14:val="none"/>
        </w:rPr>
      </w:pPr>
      <w:r w:rsidRPr="001374E0">
        <w:rPr>
          <w:rFonts w:ascii="Times New Roman" w:eastAsia="Calibri" w:hAnsi="Times New Roman" w:cs="Times New Roman"/>
          <w:kern w:val="0"/>
          <w:szCs w:val="22"/>
          <w:lang w:val="lt-LT"/>
          <w14:ligatures w14:val="none"/>
        </w:rPr>
        <w:t>2.</w:t>
      </w:r>
      <w:r w:rsidRPr="001374E0">
        <w:rPr>
          <w:rFonts w:ascii="Times New Roman" w:eastAsia="Calibri" w:hAnsi="Times New Roman" w:cs="Times New Roman"/>
          <w:kern w:val="0"/>
          <w:szCs w:val="22"/>
          <w:lang w:val="lt-LT"/>
          <w14:ligatures w14:val="none"/>
        </w:rPr>
        <w:tab/>
        <w:t xml:space="preserve"> Lifto montavimas ir perdavimas eksploatacijai – </w:t>
      </w:r>
      <w:r w:rsidRPr="001374E0">
        <w:rPr>
          <w:rFonts w:ascii="Times New Roman" w:eastAsia="Calibri" w:hAnsi="Times New Roman" w:cs="Times New Roman"/>
          <w:b/>
          <w:bCs/>
          <w:kern w:val="0"/>
          <w:szCs w:val="22"/>
          <w:lang w:val="lt-LT"/>
          <w14:ligatures w14:val="none"/>
        </w:rPr>
        <w:t>ne vėliau kaip per 8 (aštuonis) mėnesius nuo Sutarties pasirašymo.</w:t>
      </w:r>
      <w:r w:rsidRPr="001374E0">
        <w:rPr>
          <w:rFonts w:ascii="Times New Roman" w:eastAsia="Calibri" w:hAnsi="Times New Roman" w:cs="Times New Roman"/>
          <w:kern w:val="0"/>
          <w:szCs w:val="22"/>
          <w:lang w:val="lt-LT"/>
          <w14:ligatures w14:val="none"/>
        </w:rPr>
        <w:t xml:space="preserve"> Esant nenumatytoms aplinkybėms, rašytiniu Šalių susitarimu Darbų atlikimo terminas gali būti pratęstas 1 (vieno) mėnesio laikotarpiui. </w:t>
      </w:r>
    </w:p>
    <w:p w14:paraId="5374A792" w14:textId="77777777" w:rsidR="001374E0" w:rsidRPr="001374E0" w:rsidRDefault="001374E0" w:rsidP="001374E0">
      <w:pPr>
        <w:tabs>
          <w:tab w:val="left" w:pos="1701"/>
        </w:tabs>
        <w:spacing w:after="0" w:line="240" w:lineRule="auto"/>
        <w:ind w:firstLine="851"/>
        <w:contextualSpacing/>
        <w:jc w:val="both"/>
        <w:rPr>
          <w:rFonts w:ascii="Times New Roman" w:eastAsia="Calibri" w:hAnsi="Times New Roman" w:cs="Times New Roman"/>
          <w:kern w:val="0"/>
          <w:szCs w:val="22"/>
          <w:lang w:val="lt-LT"/>
          <w14:ligatures w14:val="none"/>
        </w:rPr>
      </w:pPr>
    </w:p>
    <w:p w14:paraId="74C67087" w14:textId="79BD0E1B" w:rsidR="001374E0" w:rsidRPr="001374E0" w:rsidRDefault="001374E0" w:rsidP="001374E0">
      <w:pPr>
        <w:spacing w:after="0" w:line="240" w:lineRule="auto"/>
        <w:ind w:firstLine="851"/>
        <w:contextualSpacing/>
        <w:jc w:val="both"/>
        <w:rPr>
          <w:rFonts w:ascii="Times New Roman" w:eastAsia="Calibri" w:hAnsi="Times New Roman" w:cs="Times New Roman"/>
          <w:b/>
          <w:bCs/>
          <w:kern w:val="0"/>
          <w:lang w:val="lt-LT" w:eastAsia="lt-LT"/>
          <w14:ligatures w14:val="none"/>
        </w:rPr>
      </w:pPr>
      <w:r w:rsidRPr="001374E0">
        <w:rPr>
          <w:rFonts w:ascii="Times New Roman" w:eastAsia="Calibri" w:hAnsi="Times New Roman" w:cs="Times New Roman"/>
          <w:b/>
          <w:bCs/>
          <w:kern w:val="0"/>
          <w:szCs w:val="22"/>
          <w:lang w:val="lt-LT"/>
          <w14:ligatures w14:val="none"/>
        </w:rPr>
        <w:t>Pirkimo vertė – 130 000,00 Eur be PVM.</w:t>
      </w:r>
    </w:p>
    <w:p w14:paraId="6375A6EF" w14:textId="77777777" w:rsidR="007D2413" w:rsidRDefault="007D2413" w:rsidP="007D2413">
      <w:pPr>
        <w:spacing w:before="60" w:after="60" w:line="256" w:lineRule="auto"/>
        <w:ind w:firstLine="851"/>
        <w:rPr>
          <w:rFonts w:ascii="Times New Roman" w:eastAsia="Calibri" w:hAnsi="Times New Roman" w:cs="Times New Roman"/>
          <w:b/>
          <w:bCs/>
          <w:kern w:val="0"/>
          <w:lang w:val="lt-LT" w:eastAsia="lt-LT"/>
          <w14:ligatures w14:val="none"/>
        </w:rPr>
      </w:pPr>
    </w:p>
    <w:p w14:paraId="5ADEB2D0" w14:textId="7CDDC904" w:rsidR="007D2413" w:rsidRDefault="007D2413" w:rsidP="007D2413">
      <w:pPr>
        <w:spacing w:before="60" w:after="60" w:line="256" w:lineRule="auto"/>
        <w:ind w:firstLine="851"/>
        <w:rPr>
          <w:rFonts w:ascii="Times New Roman" w:eastAsia="Calibri" w:hAnsi="Times New Roman" w:cs="Times New Roman"/>
          <w:b/>
          <w:bCs/>
          <w:kern w:val="0"/>
          <w:lang w:val="lt-LT" w:eastAsia="lt-LT"/>
          <w14:ligatures w14:val="none"/>
        </w:rPr>
      </w:pPr>
      <w:r w:rsidRPr="007D2413">
        <w:rPr>
          <w:rFonts w:ascii="Times New Roman" w:eastAsia="Calibri" w:hAnsi="Times New Roman" w:cs="Times New Roman"/>
          <w:b/>
          <w:bCs/>
          <w:kern w:val="0"/>
          <w:lang w:val="lt-LT" w:eastAsia="lt-LT"/>
          <w14:ligatures w14:val="none"/>
        </w:rPr>
        <w:t>Tiekėjų kvalifikacijos reikalavimai</w:t>
      </w:r>
    </w:p>
    <w:p w14:paraId="6F33C970" w14:textId="7B0C6BD5" w:rsidR="007D2413" w:rsidRDefault="007D2413" w:rsidP="007D2413">
      <w:pPr>
        <w:tabs>
          <w:tab w:val="left" w:pos="1176"/>
        </w:tabs>
        <w:rPr>
          <w:rFonts w:ascii="Calibri" w:eastAsia="Calibri" w:hAnsi="Calibri" w:cs="Calibri"/>
          <w:sz w:val="21"/>
          <w:szCs w:val="21"/>
          <w:lang w:val="lt-LT" w:eastAsia="lt-LT"/>
        </w:rPr>
      </w:pPr>
      <w:r>
        <w:rPr>
          <w:rFonts w:ascii="Calibri" w:eastAsia="Calibri" w:hAnsi="Calibri" w:cs="Calibri"/>
          <w:sz w:val="21"/>
          <w:szCs w:val="21"/>
          <w:lang w:val="lt-LT" w:eastAsia="lt-LT"/>
        </w:rPr>
        <w:tab/>
      </w:r>
    </w:p>
    <w:p w14:paraId="6100E98B" w14:textId="77777777" w:rsidR="007D2413" w:rsidRDefault="007D2413" w:rsidP="007D2413">
      <w:pPr>
        <w:rPr>
          <w:rFonts w:ascii="Calibri" w:eastAsia="Calibri" w:hAnsi="Calibri" w:cs="Calibri"/>
          <w:sz w:val="21"/>
          <w:szCs w:val="21"/>
          <w:lang w:val="lt-LT" w:eastAsia="lt-LT"/>
        </w:rPr>
      </w:pPr>
    </w:p>
    <w:p w14:paraId="4323BBB8" w14:textId="77777777" w:rsidR="007D2413" w:rsidRDefault="007D2413" w:rsidP="007D2413">
      <w:pPr>
        <w:rPr>
          <w:rFonts w:ascii="Calibri" w:eastAsia="Calibri" w:hAnsi="Calibri" w:cs="Calibri"/>
          <w:sz w:val="21"/>
          <w:szCs w:val="21"/>
          <w:lang w:val="lt-LT" w:eastAsia="lt-LT"/>
        </w:rPr>
      </w:pPr>
    </w:p>
    <w:p w14:paraId="16657577" w14:textId="77777777" w:rsidR="007D2413" w:rsidRPr="007D2413" w:rsidRDefault="007D2413" w:rsidP="007D2413">
      <w:pPr>
        <w:rPr>
          <w:rFonts w:ascii="Calibri" w:eastAsia="Calibri" w:hAnsi="Calibri" w:cs="Calibri"/>
          <w:sz w:val="21"/>
          <w:szCs w:val="21"/>
          <w:lang w:val="lt-LT" w:eastAsia="lt-LT"/>
        </w:rPr>
      </w:pPr>
    </w:p>
    <w:p w14:paraId="458D5585" w14:textId="77777777" w:rsidR="007D2413" w:rsidRPr="007D2413" w:rsidRDefault="007D2413" w:rsidP="007D2413">
      <w:pPr>
        <w:rPr>
          <w:rFonts w:ascii="Calibri" w:eastAsia="Calibri" w:hAnsi="Calibri" w:cs="Calibri"/>
          <w:sz w:val="21"/>
          <w:szCs w:val="21"/>
          <w:lang w:val="lt-LT" w:eastAsia="lt-LT"/>
        </w:rPr>
      </w:pPr>
    </w:p>
    <w:p w14:paraId="33C0058E" w14:textId="77777777" w:rsidR="007D2413" w:rsidRPr="007D2413" w:rsidRDefault="007D2413" w:rsidP="007D2413">
      <w:pPr>
        <w:rPr>
          <w:rFonts w:ascii="Calibri" w:eastAsia="Calibri" w:hAnsi="Calibri" w:cs="Calibri"/>
          <w:sz w:val="21"/>
          <w:szCs w:val="21"/>
          <w:lang w:val="lt-LT" w:eastAsia="lt-LT"/>
        </w:rPr>
      </w:pPr>
    </w:p>
    <w:p w14:paraId="7325287B" w14:textId="2C7EC67B" w:rsidR="007D2413" w:rsidRPr="007D2413" w:rsidRDefault="007D2413" w:rsidP="007D2413">
      <w:pPr>
        <w:rPr>
          <w:rFonts w:ascii="Calibri" w:eastAsia="Calibri" w:hAnsi="Calibri" w:cs="Calibri"/>
          <w:sz w:val="21"/>
          <w:szCs w:val="21"/>
          <w:lang w:val="lt-LT" w:eastAsia="lt-LT"/>
        </w:rPr>
        <w:sectPr w:rsidR="007D2413" w:rsidRPr="007D2413" w:rsidSect="007D2413">
          <w:pgSz w:w="12240" w:h="15840"/>
          <w:pgMar w:top="709" w:right="567" w:bottom="568" w:left="993"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554"/>
        <w:gridCol w:w="3556"/>
        <w:gridCol w:w="3156"/>
      </w:tblGrid>
      <w:tr w:rsidR="007D2413" w:rsidRPr="007D2413" w14:paraId="3C6098A7" w14:textId="77777777" w:rsidTr="007D2413">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38EE739" w14:textId="77777777" w:rsidR="007D2413" w:rsidRPr="007D2413" w:rsidRDefault="007D2413" w:rsidP="007D2413">
            <w:pPr>
              <w:spacing w:before="60" w:after="60" w:line="256" w:lineRule="auto"/>
              <w:jc w:val="center"/>
              <w:rPr>
                <w:b/>
                <w:bCs/>
              </w:rPr>
            </w:pPr>
            <w:r w:rsidRPr="007D2413">
              <w:rPr>
                <w:rFonts w:eastAsia="Calibri"/>
                <w:b/>
                <w:bCs/>
              </w:rPr>
              <w:lastRenderedPageBreak/>
              <w:t>Eil. Nr.</w:t>
            </w:r>
          </w:p>
        </w:tc>
        <w:tc>
          <w:tcPr>
            <w:tcW w:w="1282"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4C496F51" w14:textId="77777777" w:rsidR="007D2413" w:rsidRPr="007D2413" w:rsidRDefault="007D2413" w:rsidP="007D2413">
            <w:pPr>
              <w:spacing w:before="60" w:after="60" w:line="256" w:lineRule="auto"/>
              <w:jc w:val="center"/>
              <w:rPr>
                <w:rFonts w:eastAsia="Calibri"/>
                <w:b/>
                <w:bCs/>
              </w:rPr>
            </w:pPr>
            <w:r w:rsidRPr="007D2413">
              <w:rPr>
                <w:b/>
                <w:bCs/>
                <w:color w:val="000000"/>
              </w:rPr>
              <w:t>Kvalifikacijos reikalavimas</w:t>
            </w:r>
          </w:p>
        </w:tc>
        <w:tc>
          <w:tcPr>
            <w:tcW w:w="1785"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84048C6" w14:textId="77777777" w:rsidR="007D2413" w:rsidRPr="007D2413" w:rsidRDefault="007D2413" w:rsidP="007D2413">
            <w:pPr>
              <w:autoSpaceDE w:val="0"/>
              <w:autoSpaceDN w:val="0"/>
              <w:adjustRightInd w:val="0"/>
              <w:jc w:val="center"/>
              <w:rPr>
                <w:b/>
                <w:bCs/>
                <w:color w:val="000000"/>
              </w:rPr>
            </w:pPr>
            <w:r w:rsidRPr="007D2413">
              <w:rPr>
                <w:b/>
                <w:bCs/>
                <w:color w:val="000000"/>
              </w:rPr>
              <w:t>Atitiktį reikalavimui įrodantys  dokumentai</w:t>
            </w:r>
          </w:p>
        </w:tc>
        <w:tc>
          <w:tcPr>
            <w:tcW w:w="1584" w:type="pct"/>
            <w:tcBorders>
              <w:top w:val="single" w:sz="4" w:space="0" w:color="000000"/>
              <w:left w:val="single" w:sz="4" w:space="0" w:color="000000"/>
              <w:bottom w:val="single" w:sz="4" w:space="0" w:color="000000"/>
              <w:right w:val="single" w:sz="4" w:space="0" w:color="000000"/>
            </w:tcBorders>
            <w:shd w:val="clear" w:color="auto" w:fill="DEEAF6"/>
          </w:tcPr>
          <w:p w14:paraId="15349F4F" w14:textId="77777777" w:rsidR="007D2413" w:rsidRPr="007D2413" w:rsidRDefault="007D2413" w:rsidP="007D2413">
            <w:pPr>
              <w:autoSpaceDE w:val="0"/>
              <w:autoSpaceDN w:val="0"/>
              <w:adjustRightInd w:val="0"/>
              <w:jc w:val="center"/>
              <w:rPr>
                <w:b/>
                <w:bCs/>
                <w:color w:val="000000"/>
              </w:rPr>
            </w:pPr>
            <w:r w:rsidRPr="007D2413">
              <w:rPr>
                <w:b/>
                <w:bCs/>
                <w:color w:val="000000"/>
              </w:rPr>
              <w:t>Subjektas, kuris turi atitikti reikalavimą</w:t>
            </w:r>
          </w:p>
          <w:p w14:paraId="1ED06933" w14:textId="77777777" w:rsidR="007D2413" w:rsidRPr="007D2413" w:rsidRDefault="007D2413" w:rsidP="007D2413">
            <w:pPr>
              <w:autoSpaceDE w:val="0"/>
              <w:autoSpaceDN w:val="0"/>
              <w:adjustRightInd w:val="0"/>
              <w:jc w:val="center"/>
              <w:rPr>
                <w:b/>
                <w:bCs/>
                <w:color w:val="000000"/>
              </w:rPr>
            </w:pPr>
          </w:p>
        </w:tc>
      </w:tr>
      <w:tr w:rsidR="007D2413" w:rsidRPr="007D2413" w14:paraId="3A8B0F71" w14:textId="77777777" w:rsidTr="007D2413">
        <w:tc>
          <w:tcPr>
            <w:tcW w:w="349" w:type="pct"/>
            <w:tcBorders>
              <w:top w:val="single" w:sz="4" w:space="0" w:color="000000"/>
              <w:left w:val="single" w:sz="4" w:space="0" w:color="000000"/>
              <w:bottom w:val="single" w:sz="4" w:space="0" w:color="000000"/>
              <w:right w:val="single" w:sz="4" w:space="0" w:color="000000"/>
            </w:tcBorders>
          </w:tcPr>
          <w:p w14:paraId="60CD1150" w14:textId="77777777" w:rsidR="007D2413" w:rsidRPr="007D2413" w:rsidRDefault="007D2413" w:rsidP="007D2413">
            <w:pPr>
              <w:numPr>
                <w:ilvl w:val="0"/>
                <w:numId w:val="1"/>
              </w:numPr>
              <w:spacing w:before="60" w:after="60" w:line="257" w:lineRule="auto"/>
              <w:ind w:left="357" w:hanging="357"/>
              <w:contextualSpacing/>
              <w:rPr>
                <w:rFonts w:eastAsia="Calibri"/>
              </w:rPr>
            </w:pPr>
          </w:p>
        </w:tc>
        <w:tc>
          <w:tcPr>
            <w:tcW w:w="4651" w:type="pct"/>
            <w:gridSpan w:val="3"/>
            <w:tcBorders>
              <w:top w:val="single" w:sz="4" w:space="0" w:color="000000"/>
              <w:left w:val="single" w:sz="4" w:space="0" w:color="000000"/>
              <w:bottom w:val="single" w:sz="4" w:space="0" w:color="000000"/>
              <w:right w:val="single" w:sz="4" w:space="0" w:color="000000"/>
            </w:tcBorders>
          </w:tcPr>
          <w:p w14:paraId="361E1151" w14:textId="77777777" w:rsidR="007D2413" w:rsidRPr="007D2413" w:rsidRDefault="007D2413" w:rsidP="007D2413">
            <w:pPr>
              <w:autoSpaceDE w:val="0"/>
              <w:autoSpaceDN w:val="0"/>
              <w:adjustRightInd w:val="0"/>
              <w:rPr>
                <w:b/>
                <w:bCs/>
                <w:color w:val="000000"/>
              </w:rPr>
            </w:pPr>
            <w:r w:rsidRPr="007D2413">
              <w:rPr>
                <w:b/>
                <w:bCs/>
                <w:color w:val="000000"/>
              </w:rPr>
              <w:t>Techninis ir profesinis pajėgumas</w:t>
            </w:r>
          </w:p>
        </w:tc>
      </w:tr>
      <w:tr w:rsidR="007D2413" w:rsidRPr="007D2413" w14:paraId="0A5BA755" w14:textId="77777777" w:rsidTr="007D2413">
        <w:trPr>
          <w:trHeight w:val="4255"/>
        </w:trPr>
        <w:tc>
          <w:tcPr>
            <w:tcW w:w="349" w:type="pct"/>
            <w:tcBorders>
              <w:top w:val="single" w:sz="4" w:space="0" w:color="000000"/>
              <w:left w:val="single" w:sz="4" w:space="0" w:color="000000"/>
              <w:bottom w:val="single" w:sz="4" w:space="0" w:color="000000"/>
              <w:right w:val="single" w:sz="4" w:space="0" w:color="000000"/>
            </w:tcBorders>
          </w:tcPr>
          <w:p w14:paraId="03DC32AD" w14:textId="77777777" w:rsidR="007D2413" w:rsidRPr="007D2413" w:rsidRDefault="007D2413" w:rsidP="007D2413">
            <w:pPr>
              <w:numPr>
                <w:ilvl w:val="1"/>
                <w:numId w:val="1"/>
              </w:numPr>
              <w:spacing w:before="60" w:after="60" w:line="257" w:lineRule="auto"/>
              <w:ind w:left="357" w:hanging="357"/>
              <w:contextualSpacing/>
              <w:jc w:val="right"/>
              <w:rPr>
                <w:rFonts w:eastAsia="Calibri"/>
              </w:rPr>
            </w:pPr>
          </w:p>
        </w:tc>
        <w:tc>
          <w:tcPr>
            <w:tcW w:w="1282" w:type="pct"/>
            <w:tcBorders>
              <w:top w:val="single" w:sz="4" w:space="0" w:color="000000"/>
              <w:left w:val="single" w:sz="4" w:space="0" w:color="000000"/>
              <w:bottom w:val="single" w:sz="4" w:space="0" w:color="000000"/>
              <w:right w:val="single" w:sz="4" w:space="0" w:color="auto"/>
            </w:tcBorders>
          </w:tcPr>
          <w:p w14:paraId="3190DB69" w14:textId="77777777" w:rsidR="007D2413" w:rsidRPr="007D2413" w:rsidRDefault="007D2413" w:rsidP="007D2413">
            <w:pPr>
              <w:jc w:val="both"/>
              <w:rPr>
                <w:rFonts w:eastAsia="Arial Unicode MS"/>
              </w:rPr>
            </w:pPr>
            <w:r w:rsidRPr="007D2413">
              <w:rPr>
                <w:rFonts w:eastAsia="Arial Unicode MS"/>
              </w:rPr>
              <w:t xml:space="preserve">    Tiekėjo siūlomas specialistas turi turėti teisę eiti </w:t>
            </w:r>
            <w:r w:rsidRPr="007D2413">
              <w:rPr>
                <w:rFonts w:eastAsia="Arial Unicode MS"/>
                <w:b/>
                <w:bCs/>
              </w:rPr>
              <w:t>ypatingojo statinio</w:t>
            </w:r>
            <w:r w:rsidRPr="007D2413">
              <w:rPr>
                <w:rFonts w:eastAsia="Arial Unicode MS"/>
              </w:rPr>
              <w:t xml:space="preserve"> statybos vadovo pareigas, kai statiniai: pastatai (negyvenamieji: visuomeniniai: mokslo), taip pat minėti statiniai, esantys kultūros paveldo objekto teritorijoje.</w:t>
            </w:r>
          </w:p>
          <w:p w14:paraId="1D3E0657" w14:textId="77777777" w:rsidR="007D2413" w:rsidRPr="007D2413" w:rsidRDefault="007D2413" w:rsidP="007D2413">
            <w:pPr>
              <w:jc w:val="both"/>
              <w:rPr>
                <w:rFonts w:eastAsia="Arial Unicode MS"/>
              </w:rPr>
            </w:pPr>
          </w:p>
          <w:p w14:paraId="6F85FE1C" w14:textId="77777777" w:rsidR="007D2413" w:rsidRPr="007D2413" w:rsidRDefault="007D2413" w:rsidP="007D2413">
            <w:pPr>
              <w:jc w:val="both"/>
              <w:rPr>
                <w:rFonts w:eastAsia="Arial Unicode MS"/>
              </w:rPr>
            </w:pPr>
          </w:p>
          <w:p w14:paraId="02727575" w14:textId="77777777" w:rsidR="007D2413" w:rsidRPr="007D2413" w:rsidRDefault="007D2413" w:rsidP="007D2413">
            <w:pPr>
              <w:jc w:val="both"/>
              <w:rPr>
                <w:rFonts w:eastAsia="Arial Unicode MS"/>
              </w:rPr>
            </w:pPr>
          </w:p>
        </w:tc>
        <w:tc>
          <w:tcPr>
            <w:tcW w:w="1785" w:type="pct"/>
            <w:tcBorders>
              <w:top w:val="single" w:sz="4" w:space="0" w:color="000000"/>
              <w:left w:val="single" w:sz="4" w:space="0" w:color="auto"/>
              <w:bottom w:val="single" w:sz="4" w:space="0" w:color="000000"/>
              <w:right w:val="single" w:sz="4" w:space="0" w:color="000000"/>
            </w:tcBorders>
          </w:tcPr>
          <w:p w14:paraId="7C10B196" w14:textId="77777777" w:rsidR="007D2413" w:rsidRPr="007D2413" w:rsidRDefault="007D2413" w:rsidP="007D2413">
            <w:pPr>
              <w:jc w:val="both"/>
              <w:rPr>
                <w:rFonts w:eastAsia="Calibri"/>
              </w:rPr>
            </w:pPr>
            <w:r w:rsidRPr="007D2413">
              <w:rPr>
                <w:rFonts w:eastAsia="Calibri"/>
              </w:rPr>
              <w:t xml:space="preserve">1) </w:t>
            </w:r>
            <w:r w:rsidRPr="007D2413">
              <w:rPr>
                <w:rFonts w:eastAsia="Calibri"/>
                <w:bdr w:val="none" w:sz="0" w:space="0" w:color="auto" w:frame="1"/>
                <w:shd w:val="clear" w:color="auto" w:fill="FFFFFF"/>
              </w:rPr>
              <w:t>Laisvos formos tiekėjo raštas, kuriame nurodomas siūlomo specialisto vardas, pavardė, pareigos, turima kvalifikacija.  </w:t>
            </w:r>
          </w:p>
          <w:p w14:paraId="2779CE84" w14:textId="77777777" w:rsidR="007D2413" w:rsidRPr="007D2413" w:rsidRDefault="007D2413" w:rsidP="007D2413">
            <w:pPr>
              <w:jc w:val="both"/>
              <w:rPr>
                <w:rFonts w:eastAsia="Calibri"/>
                <w:bdr w:val="none" w:sz="0" w:space="0" w:color="auto" w:frame="1"/>
                <w:shd w:val="clear" w:color="auto" w:fill="FFFFFF"/>
              </w:rPr>
            </w:pPr>
          </w:p>
          <w:p w14:paraId="06F474A6" w14:textId="77777777" w:rsidR="007D2413" w:rsidRPr="007D2413" w:rsidRDefault="007D2413" w:rsidP="007D2413">
            <w:pPr>
              <w:jc w:val="both"/>
              <w:rPr>
                <w:rFonts w:eastAsia="Calibri"/>
              </w:rPr>
            </w:pPr>
            <w:r w:rsidRPr="007D2413">
              <w:rPr>
                <w:rFonts w:eastAsia="Calibri"/>
                <w:bdr w:val="none" w:sz="0" w:space="0" w:color="auto" w:frame="1"/>
                <w:shd w:val="clear" w:color="auto" w:fill="FFFFFF"/>
              </w:rPr>
              <w:t xml:space="preserve">Tiekėjas, siūlydamas specialistus, </w:t>
            </w:r>
            <w:r w:rsidRPr="007D2413">
              <w:rPr>
                <w:rFonts w:eastAsia="Calibri"/>
                <w:b/>
                <w:bCs/>
                <w:bdr w:val="none" w:sz="0" w:space="0" w:color="auto" w:frame="1"/>
                <w:shd w:val="clear" w:color="auto" w:fill="FFFFFF"/>
              </w:rPr>
              <w:t>privalo įrodyti</w:t>
            </w:r>
            <w:r w:rsidRPr="007D2413">
              <w:rPr>
                <w:rFonts w:eastAsia="Calibri"/>
                <w:bdr w:val="none" w:sz="0" w:space="0" w:color="auto" w:frame="1"/>
                <w:shd w:val="clear" w:color="auto" w:fill="FFFFFF"/>
              </w:rPr>
              <w:t xml:space="preserve"> perkančiajai organizacijai, kad vykdant pirkimo sutartį tie ištekliai jiems bus prieinami. </w:t>
            </w:r>
          </w:p>
          <w:p w14:paraId="6B2BBDD9" w14:textId="77777777" w:rsidR="007D2413" w:rsidRPr="007D2413" w:rsidRDefault="007D2413" w:rsidP="007D2413">
            <w:pPr>
              <w:jc w:val="both"/>
            </w:pPr>
          </w:p>
          <w:p w14:paraId="081F1ADB" w14:textId="77777777" w:rsidR="007D2413" w:rsidRPr="007D2413" w:rsidRDefault="007D2413" w:rsidP="007D2413">
            <w:pPr>
              <w:jc w:val="both"/>
              <w:rPr>
                <w:rFonts w:eastAsia="Arial Unicode MS"/>
              </w:rPr>
            </w:pPr>
            <w:r w:rsidRPr="007D2413">
              <w:rPr>
                <w:rFonts w:eastAsia="Calibri"/>
                <w:bCs/>
                <w:bdr w:val="none" w:sz="0" w:space="0" w:color="auto" w:frame="1"/>
                <w:shd w:val="clear" w:color="auto" w:fill="FFFFFF"/>
              </w:rPr>
              <w:t xml:space="preserve">2) </w:t>
            </w:r>
            <w:r w:rsidRPr="007D2413">
              <w:rPr>
                <w:rFonts w:eastAsia="Arial Unicode MS"/>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C560220" w14:textId="77777777" w:rsidR="007D2413" w:rsidRPr="007D2413" w:rsidRDefault="007D2413" w:rsidP="007D2413">
            <w:pPr>
              <w:jc w:val="both"/>
              <w:rPr>
                <w:rFonts w:eastAsia="Arial Unicode MS"/>
              </w:rPr>
            </w:pPr>
            <w:r w:rsidRPr="007D2413">
              <w:rPr>
                <w:rFonts w:eastAsia="Arial Unicode MS"/>
              </w:rPr>
              <w:t> </w:t>
            </w:r>
          </w:p>
          <w:p w14:paraId="7A9C52CC" w14:textId="77777777" w:rsidR="007D2413" w:rsidRPr="007D2413" w:rsidRDefault="007D2413" w:rsidP="007D2413">
            <w:pPr>
              <w:jc w:val="both"/>
              <w:rPr>
                <w:rFonts w:eastAsia="Arial Unicode MS"/>
              </w:rPr>
            </w:pPr>
            <w:r w:rsidRPr="007D2413">
              <w:rPr>
                <w:rFonts w:eastAsia="Arial Unicode M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7D2413">
              <w:rPr>
                <w:rFonts w:eastAsia="Arial Unicode MS"/>
                <w:b/>
                <w:bCs/>
              </w:rPr>
              <w:t>ypatingojo</w:t>
            </w:r>
            <w:r w:rsidRPr="007D2413">
              <w:rPr>
                <w:rFonts w:eastAsia="Arial Unicode MS"/>
              </w:rPr>
              <w:t xml:space="preserve"> statinio projekto vadovo pareigas, pripažinus jų kilmės valstybėje turimą teisę eiti analogiškų statinių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A215FC2" w14:textId="77777777" w:rsidR="007D2413" w:rsidRPr="007D2413" w:rsidRDefault="007D2413" w:rsidP="007D2413">
            <w:pPr>
              <w:jc w:val="both"/>
              <w:rPr>
                <w:rFonts w:eastAsia="Arial Unicode MS"/>
              </w:rPr>
            </w:pPr>
            <w:r w:rsidRPr="007D2413">
              <w:rPr>
                <w:rFonts w:eastAsia="Arial Unicode MS"/>
              </w:rPr>
              <w:t> </w:t>
            </w:r>
          </w:p>
          <w:p w14:paraId="4D6374DC" w14:textId="77777777" w:rsidR="007D2413" w:rsidRPr="007D2413" w:rsidRDefault="007D2413" w:rsidP="007D2413">
            <w:pPr>
              <w:jc w:val="both"/>
              <w:rPr>
                <w:rFonts w:eastAsia="Arial Unicode MS"/>
              </w:rPr>
            </w:pPr>
            <w:r w:rsidRPr="007D2413">
              <w:rPr>
                <w:rFonts w:eastAsia="Arial Unicode MS"/>
              </w:rPr>
              <w:t>Teisės pripažinimo dokumentai (TPD) turės būti gauti iki pirkimo sutarties pasirašymo.  </w:t>
            </w:r>
          </w:p>
          <w:p w14:paraId="7B86FE86" w14:textId="77777777" w:rsidR="007D2413" w:rsidRPr="007D2413" w:rsidRDefault="007D2413" w:rsidP="007D2413">
            <w:pPr>
              <w:jc w:val="both"/>
              <w:rPr>
                <w:rFonts w:eastAsia="Arial Unicode MS"/>
              </w:rPr>
            </w:pPr>
            <w:r w:rsidRPr="007D2413">
              <w:rPr>
                <w:rFonts w:eastAsia="Arial Unicode MS"/>
              </w:rPr>
              <w:t> </w:t>
            </w:r>
          </w:p>
          <w:p w14:paraId="04DF5C62" w14:textId="77777777" w:rsidR="007D2413" w:rsidRPr="007D2413" w:rsidRDefault="007D2413" w:rsidP="007D2413">
            <w:pPr>
              <w:jc w:val="both"/>
              <w:rPr>
                <w:rFonts w:eastAsia="Arial Unicode MS"/>
              </w:rPr>
            </w:pPr>
            <w:r w:rsidRPr="007D2413">
              <w:rPr>
                <w:rFonts w:eastAsia="Arial Unicode MS"/>
              </w:rPr>
              <w:t xml:space="preserve">Perkančioji organizacija informaciją apie Lietuvoje išduotus kvalifikacijos </w:t>
            </w:r>
            <w:r w:rsidRPr="007D2413">
              <w:rPr>
                <w:rFonts w:eastAsia="Arial Unicode MS"/>
              </w:rPr>
              <w:lastRenderedPageBreak/>
              <w:t xml:space="preserve">dokumentus pasitikrina SSVA registruose </w:t>
            </w:r>
            <w:hyperlink r:id="rId7" w:history="1">
              <w:r w:rsidRPr="007D2413">
                <w:rPr>
                  <w:rFonts w:eastAsia="Arial Unicode MS"/>
                </w:rPr>
                <w:t>https://www.ssva.lt/cms/registrai</w:t>
              </w:r>
            </w:hyperlink>
            <w:r w:rsidRPr="007D2413">
              <w:rPr>
                <w:rFonts w:eastAsia="Arial Unicode MS"/>
              </w:rPr>
              <w:t>.  </w:t>
            </w:r>
          </w:p>
          <w:p w14:paraId="07E7DF44" w14:textId="77777777" w:rsidR="007D2413" w:rsidRPr="007D2413" w:rsidRDefault="007D2413" w:rsidP="007D2413">
            <w:pPr>
              <w:jc w:val="both"/>
              <w:rPr>
                <w:rFonts w:eastAsia="Arial Unicode MS"/>
              </w:rPr>
            </w:pPr>
            <w:r w:rsidRPr="007D2413">
              <w:rPr>
                <w:rFonts w:eastAsia="Arial Unicode MS"/>
              </w:rPr>
              <w:t> </w:t>
            </w:r>
          </w:p>
          <w:p w14:paraId="656CE800" w14:textId="77777777" w:rsidR="007D2413" w:rsidRPr="007D2413" w:rsidRDefault="007D2413" w:rsidP="007D2413">
            <w:pPr>
              <w:jc w:val="both"/>
              <w:rPr>
                <w:rFonts w:eastAsia="Arial Unicode MS"/>
              </w:rPr>
            </w:pPr>
            <w:r w:rsidRPr="007D2413">
              <w:rPr>
                <w:rFonts w:eastAsia="Arial Unicode MS"/>
              </w:rPr>
              <w:t>Užsienio šalies specialistai turi pareigą kreiptis į SSVA ir gauti teisės pripažinimo dokumentą (TPD).  </w:t>
            </w:r>
          </w:p>
          <w:p w14:paraId="1E0D3FF6" w14:textId="77777777" w:rsidR="007D2413" w:rsidRPr="007D2413" w:rsidRDefault="007D2413" w:rsidP="007D2413">
            <w:pPr>
              <w:jc w:val="both"/>
              <w:rPr>
                <w:rFonts w:eastAsia="Calibri"/>
              </w:rPr>
            </w:pPr>
            <w:r w:rsidRPr="007D2413">
              <w:rPr>
                <w:rFonts w:eastAsia="Arial Unicode MS"/>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left w:val="single" w:sz="4" w:space="0" w:color="000000"/>
              <w:bottom w:val="single" w:sz="4" w:space="0" w:color="000000"/>
              <w:right w:val="single" w:sz="4" w:space="0" w:color="000000"/>
            </w:tcBorders>
          </w:tcPr>
          <w:p w14:paraId="7D5B92C9" w14:textId="77777777" w:rsidR="007D2413" w:rsidRPr="007D2413" w:rsidRDefault="007D2413" w:rsidP="007D2413">
            <w:pPr>
              <w:widowControl w:val="0"/>
              <w:numPr>
                <w:ilvl w:val="0"/>
                <w:numId w:val="2"/>
              </w:numPr>
              <w:tabs>
                <w:tab w:val="left" w:pos="665"/>
              </w:tabs>
              <w:autoSpaceDE w:val="0"/>
              <w:autoSpaceDN w:val="0"/>
              <w:adjustRightInd w:val="0"/>
              <w:ind w:left="67" w:firstLine="293"/>
              <w:contextualSpacing/>
              <w:jc w:val="both"/>
            </w:pPr>
            <w:r w:rsidRPr="007D2413">
              <w:lastRenderedPageBreak/>
              <w:t xml:space="preserve">jeigu pasiūlymą teikia </w:t>
            </w:r>
            <w:r w:rsidRPr="007D2413">
              <w:rPr>
                <w:b/>
                <w:bCs/>
              </w:rPr>
              <w:t>ūkio subjektų grupė</w:t>
            </w:r>
            <w:r w:rsidRPr="007D2413">
              <w:t xml:space="preserve"> – reikalavimą turi atitikti ūkio subjektų grupės nario (-</w:t>
            </w:r>
            <w:proofErr w:type="spellStart"/>
            <w:r w:rsidRPr="007D2413">
              <w:t>ių</w:t>
            </w:r>
            <w:proofErr w:type="spellEnd"/>
            <w:r w:rsidRPr="007D2413">
              <w:t>) specialistas, atsižvelgiant į jų prisiimamus įsipareigojimus pirkimo sutarčiai vykdyti;</w:t>
            </w:r>
          </w:p>
          <w:p w14:paraId="3D1B21BB" w14:textId="77777777" w:rsidR="007D2413" w:rsidRPr="007D2413" w:rsidRDefault="007D2413" w:rsidP="007D2413">
            <w:pPr>
              <w:widowControl w:val="0"/>
              <w:numPr>
                <w:ilvl w:val="0"/>
                <w:numId w:val="2"/>
              </w:numPr>
              <w:tabs>
                <w:tab w:val="left" w:pos="677"/>
              </w:tabs>
              <w:autoSpaceDE w:val="0"/>
              <w:autoSpaceDN w:val="0"/>
              <w:adjustRightInd w:val="0"/>
              <w:ind w:left="67" w:firstLine="293"/>
              <w:contextualSpacing/>
              <w:jc w:val="both"/>
            </w:pPr>
            <w:r w:rsidRPr="007D2413">
              <w:t xml:space="preserve">tiekėjas gali remtis kitų </w:t>
            </w:r>
            <w:r w:rsidRPr="007D2413">
              <w:rPr>
                <w:b/>
                <w:bCs/>
              </w:rPr>
              <w:t>ūkio subjektų pajėgumais</w:t>
            </w:r>
            <w:r w:rsidRPr="007D2413">
              <w:t xml:space="preserve"> tik tuo atveju, jeigu tie subjektai (jų darbuotojai) patys vykdys tą pirkimo sutarties dalį, kuriai reikia jų turimų pajėgumų;</w:t>
            </w:r>
          </w:p>
          <w:p w14:paraId="54E9CE63" w14:textId="77777777" w:rsidR="007D2413" w:rsidRPr="007D2413" w:rsidRDefault="007D2413" w:rsidP="007D2413">
            <w:pPr>
              <w:widowControl w:val="0"/>
              <w:numPr>
                <w:ilvl w:val="0"/>
                <w:numId w:val="2"/>
              </w:numPr>
              <w:tabs>
                <w:tab w:val="left" w:pos="727"/>
              </w:tabs>
              <w:autoSpaceDE w:val="0"/>
              <w:autoSpaceDN w:val="0"/>
              <w:adjustRightInd w:val="0"/>
              <w:ind w:left="67" w:firstLine="293"/>
              <w:contextualSpacing/>
              <w:jc w:val="both"/>
            </w:pPr>
            <w:r w:rsidRPr="007D2413">
              <w:rPr>
                <w:b/>
                <w:bCs/>
              </w:rPr>
              <w:t>subtiekėjai</w:t>
            </w:r>
            <w:r w:rsidRPr="007D2413">
              <w:t xml:space="preserve"> – jei tiekėjas (jo pasitelkiami specialistai) pats atitinka nustatytą reikalavimą, tačiau ketina pasitelkti subtiekėjus (jo specialistus), subtiekėjų specialistai privalo atitikti nustatytus</w:t>
            </w:r>
            <w:r w:rsidRPr="007D2413">
              <w:rPr>
                <w:b/>
                <w:bCs/>
              </w:rPr>
              <w:t> </w:t>
            </w:r>
            <w:r w:rsidRPr="007D2413">
              <w:t>reikalavimus, jeigu subtiekėjai (jų darbuotojai) patys vykdys tą pirkimo sutarties dalį, kuriai reikia nustatytos kvalifikacijos.</w:t>
            </w:r>
          </w:p>
          <w:p w14:paraId="289F826F" w14:textId="77777777" w:rsidR="007D2413" w:rsidRPr="007D2413" w:rsidRDefault="007D2413" w:rsidP="007D2413">
            <w:pPr>
              <w:widowControl w:val="0"/>
              <w:tabs>
                <w:tab w:val="left" w:pos="665"/>
              </w:tabs>
              <w:autoSpaceDE w:val="0"/>
              <w:autoSpaceDN w:val="0"/>
              <w:adjustRightInd w:val="0"/>
              <w:ind w:left="67"/>
              <w:jc w:val="both"/>
            </w:pPr>
          </w:p>
        </w:tc>
      </w:tr>
    </w:tbl>
    <w:p w14:paraId="792F1488" w14:textId="77777777" w:rsidR="007D2413" w:rsidRPr="007D2413" w:rsidRDefault="007D2413" w:rsidP="007D2413">
      <w:pPr>
        <w:spacing w:before="60" w:after="60" w:line="256" w:lineRule="auto"/>
        <w:jc w:val="center"/>
        <w:rPr>
          <w:rFonts w:ascii="Calibri" w:eastAsia="Calibri" w:hAnsi="Calibri" w:cs="Calibri"/>
          <w:b/>
          <w:bCs/>
          <w:kern w:val="0"/>
          <w:sz w:val="21"/>
          <w:szCs w:val="21"/>
          <w:lang w:val="lt-LT" w:eastAsia="lt-LT"/>
          <w14:ligatures w14:val="none"/>
        </w:rPr>
      </w:pPr>
    </w:p>
    <w:p w14:paraId="1E33AF80" w14:textId="77777777" w:rsidR="007D2413" w:rsidRPr="007D2413" w:rsidRDefault="007D2413" w:rsidP="007D2413">
      <w:pPr>
        <w:spacing w:before="60" w:after="60" w:line="256" w:lineRule="auto"/>
        <w:jc w:val="center"/>
        <w:rPr>
          <w:rFonts w:ascii="Calibri" w:eastAsia="Calibri" w:hAnsi="Calibri" w:cs="Calibri"/>
          <w:b/>
          <w:bCs/>
          <w:kern w:val="0"/>
          <w:sz w:val="21"/>
          <w:szCs w:val="21"/>
          <w:lang w:val="lt-LT" w:eastAsia="lt-LT"/>
          <w14:ligatures w14:val="none"/>
        </w:rPr>
        <w:sectPr w:rsidR="007D2413" w:rsidRPr="007D2413" w:rsidSect="007D2413">
          <w:pgSz w:w="12240" w:h="15840"/>
          <w:pgMar w:top="1134" w:right="567" w:bottom="1134" w:left="1701" w:header="720" w:footer="720" w:gutter="0"/>
          <w:pgNumType w:start="21"/>
          <w:cols w:space="720"/>
          <w:titlePg/>
          <w:docGrid w:linePitch="360"/>
        </w:sectPr>
      </w:pPr>
    </w:p>
    <w:p w14:paraId="3FE09259" w14:textId="77777777" w:rsidR="007D2413" w:rsidRPr="007D2413" w:rsidRDefault="007D2413" w:rsidP="007D2413">
      <w:pPr>
        <w:tabs>
          <w:tab w:val="left" w:pos="720"/>
        </w:tabs>
        <w:spacing w:after="0" w:line="240" w:lineRule="auto"/>
        <w:ind w:firstLine="567"/>
        <w:jc w:val="center"/>
        <w:rPr>
          <w:rFonts w:ascii="Times New Roman" w:eastAsia="Calibri" w:hAnsi="Times New Roman" w:cs="Times New Roman"/>
          <w:b/>
          <w:bCs/>
          <w:kern w:val="0"/>
          <w:lang w:val="lt-LT"/>
          <w14:ligatures w14:val="none"/>
        </w:rPr>
      </w:pPr>
      <w:r w:rsidRPr="007D2413">
        <w:rPr>
          <w:rFonts w:ascii="Times New Roman" w:eastAsia="Calibri" w:hAnsi="Times New Roman" w:cs="Times New Roman"/>
          <w:b/>
          <w:bCs/>
          <w:kern w:val="0"/>
          <w:lang w:val="lt-LT"/>
          <w14:ligatures w14:val="none"/>
        </w:rPr>
        <w:lastRenderedPageBreak/>
        <w:t>Tiekėjams keliami reikalavimai dėl  aplinkos apsaugos vadybos sistemos standartų reikalavimai</w:t>
      </w:r>
    </w:p>
    <w:p w14:paraId="255B39CC" w14:textId="77777777" w:rsidR="007D2413" w:rsidRPr="007D2413" w:rsidRDefault="007D2413" w:rsidP="007D2413">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1FDBA3F8" w14:textId="77777777" w:rsidR="007D2413" w:rsidRPr="007D2413" w:rsidRDefault="007D2413" w:rsidP="007D2413">
      <w:pPr>
        <w:spacing w:after="0" w:line="240" w:lineRule="auto"/>
        <w:ind w:firstLine="567"/>
        <w:contextualSpacing/>
        <w:jc w:val="both"/>
        <w:rPr>
          <w:rFonts w:ascii="Times New Roman" w:eastAsia="Calibri" w:hAnsi="Times New Roman" w:cs="Times New Roman"/>
          <w:kern w:val="0"/>
          <w:lang w:val="lt-LT"/>
          <w14:ligatures w14:val="none"/>
        </w:rPr>
      </w:pPr>
      <w:r w:rsidRPr="007D2413">
        <w:rPr>
          <w:rFonts w:ascii="Times New Roman" w:eastAsia="Calibri" w:hAnsi="Times New Roman" w:cs="Times New Roman"/>
          <w:kern w:val="0"/>
          <w:lang w:val="lt-LT"/>
          <w14:ligatures w14:val="none"/>
        </w:rPr>
        <w:t xml:space="preserve">Tiekėjai turi atitikti šiame priede nustatytus reikalavimus dėl </w:t>
      </w:r>
      <w:r w:rsidRPr="007D2413">
        <w:rPr>
          <w:rFonts w:ascii="Times New Roman" w:eastAsia="Calibri" w:hAnsi="Times New Roman" w:cs="Times New Roman"/>
          <w:iCs/>
          <w:kern w:val="0"/>
          <w:lang w:val="lt-LT"/>
          <w14:ligatures w14:val="none"/>
        </w:rPr>
        <w:t>aplinkos apsaugos vadybos sistemos standartų</w:t>
      </w:r>
      <w:r w:rsidRPr="007D2413">
        <w:rPr>
          <w:rFonts w:ascii="Times New Roman" w:eastAsia="Calibri" w:hAnsi="Times New Roman" w:cs="Times New Roman"/>
          <w:kern w:val="0"/>
          <w:lang w:val="lt-LT"/>
          <w14:ligatures w14:val="none"/>
        </w:rPr>
        <w:t xml:space="preserve"> laikymosi.</w:t>
      </w:r>
    </w:p>
    <w:p w14:paraId="482E2D72" w14:textId="77777777" w:rsidR="007D2413" w:rsidRPr="007D2413" w:rsidRDefault="007D2413" w:rsidP="007D2413">
      <w:pPr>
        <w:tabs>
          <w:tab w:val="left" w:pos="709"/>
        </w:tabs>
        <w:spacing w:after="0" w:line="240" w:lineRule="auto"/>
        <w:ind w:firstLine="567"/>
        <w:jc w:val="right"/>
        <w:rPr>
          <w:rFonts w:ascii="Calibri" w:eastAsia="Calibri" w:hAnsi="Calibri" w:cs="Calibri"/>
          <w:kern w:val="0"/>
          <w:sz w:val="21"/>
          <w:szCs w:val="21"/>
          <w:lang w:val="lt-LT"/>
          <w14:ligatures w14:val="none"/>
        </w:rPr>
      </w:pPr>
    </w:p>
    <w:tbl>
      <w:tblPr>
        <w:tblStyle w:val="TableGrid3"/>
        <w:tblW w:w="9962" w:type="dxa"/>
        <w:tblLook w:val="04A0" w:firstRow="1" w:lastRow="0" w:firstColumn="1" w:lastColumn="0" w:noHBand="0" w:noVBand="1"/>
      </w:tblPr>
      <w:tblGrid>
        <w:gridCol w:w="695"/>
        <w:gridCol w:w="3958"/>
        <w:gridCol w:w="2844"/>
        <w:gridCol w:w="2465"/>
      </w:tblGrid>
      <w:tr w:rsidR="007D2413" w:rsidRPr="007D2413" w14:paraId="4FCCDDC8" w14:textId="77777777" w:rsidTr="007D241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E924BC7" w14:textId="77777777" w:rsidR="007D2413" w:rsidRPr="007D2413" w:rsidRDefault="007D2413" w:rsidP="007D2413">
            <w:pPr>
              <w:spacing w:before="60" w:after="60" w:line="256" w:lineRule="auto"/>
              <w:rPr>
                <w:b/>
                <w:bCs/>
              </w:rPr>
            </w:pPr>
            <w:r w:rsidRPr="007D2413">
              <w:rPr>
                <w:rFonts w:eastAsia="Calibri"/>
                <w:b/>
                <w:bCs/>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D71D135" w14:textId="77777777" w:rsidR="007D2413" w:rsidRPr="007D2413" w:rsidRDefault="007D2413" w:rsidP="007D2413">
            <w:pPr>
              <w:spacing w:before="60" w:after="60" w:line="256" w:lineRule="auto"/>
              <w:jc w:val="center"/>
              <w:rPr>
                <w:rFonts w:eastAsia="Calibri"/>
                <w:b/>
                <w:bCs/>
              </w:rPr>
            </w:pPr>
            <w:r w:rsidRPr="007D2413">
              <w:rPr>
                <w:b/>
                <w:bCs/>
                <w:color w:val="000000"/>
              </w:rPr>
              <w:t xml:space="preserve">Reikalavimas </w:t>
            </w:r>
            <w:r w:rsidRPr="007D2413">
              <w:rPr>
                <w:rFonts w:eastAsia="Calibri"/>
                <w:b/>
                <w:bCs/>
              </w:rPr>
              <w:t xml:space="preserve">dėl </w:t>
            </w:r>
            <w:r w:rsidRPr="007D2413">
              <w:rPr>
                <w:rFonts w:eastAsia="Calibri"/>
                <w:b/>
                <w:bCs/>
                <w:iCs/>
              </w:rPr>
              <w:t>aplinkos apsaugos vadybos sistemos standartų</w:t>
            </w:r>
            <w:r w:rsidRPr="007D2413">
              <w:rPr>
                <w:rFonts w:eastAsia="Calibri"/>
                <w:b/>
                <w:bC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273B5C5" w14:textId="77777777" w:rsidR="007D2413" w:rsidRPr="007D2413" w:rsidRDefault="007D2413" w:rsidP="007D2413">
            <w:pPr>
              <w:autoSpaceDE w:val="0"/>
              <w:autoSpaceDN w:val="0"/>
              <w:adjustRightInd w:val="0"/>
              <w:jc w:val="center"/>
              <w:rPr>
                <w:b/>
                <w:bCs/>
                <w:color w:val="000000"/>
              </w:rPr>
            </w:pPr>
            <w:r w:rsidRPr="007D2413">
              <w:rPr>
                <w:b/>
                <w:bCs/>
                <w:color w:val="00000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cPr>
          <w:p w14:paraId="3C112666" w14:textId="77777777" w:rsidR="007D2413" w:rsidRPr="007D2413" w:rsidRDefault="007D2413" w:rsidP="007D2413">
            <w:pPr>
              <w:autoSpaceDE w:val="0"/>
              <w:autoSpaceDN w:val="0"/>
              <w:adjustRightInd w:val="0"/>
              <w:jc w:val="center"/>
              <w:rPr>
                <w:b/>
                <w:bCs/>
                <w:color w:val="000000"/>
              </w:rPr>
            </w:pPr>
            <w:r w:rsidRPr="007D2413">
              <w:rPr>
                <w:b/>
                <w:bCs/>
                <w:color w:val="000000"/>
              </w:rPr>
              <w:t>Subjektas, kuris turi atitikti reikalavimą</w:t>
            </w:r>
          </w:p>
          <w:p w14:paraId="78FAFD1B" w14:textId="77777777" w:rsidR="007D2413" w:rsidRPr="007D2413" w:rsidRDefault="007D2413" w:rsidP="007D2413">
            <w:pPr>
              <w:autoSpaceDE w:val="0"/>
              <w:autoSpaceDN w:val="0"/>
              <w:adjustRightInd w:val="0"/>
              <w:jc w:val="center"/>
              <w:rPr>
                <w:b/>
                <w:bCs/>
                <w:color w:val="000000"/>
              </w:rPr>
            </w:pPr>
          </w:p>
        </w:tc>
      </w:tr>
      <w:tr w:rsidR="007D2413" w:rsidRPr="007D2413" w14:paraId="09EEA7B2" w14:textId="77777777" w:rsidTr="003332F9">
        <w:tc>
          <w:tcPr>
            <w:tcW w:w="695" w:type="dxa"/>
            <w:tcBorders>
              <w:top w:val="single" w:sz="4" w:space="0" w:color="000000"/>
              <w:left w:val="single" w:sz="4" w:space="0" w:color="000000"/>
              <w:bottom w:val="single" w:sz="4" w:space="0" w:color="000000"/>
              <w:right w:val="single" w:sz="4" w:space="0" w:color="000000"/>
            </w:tcBorders>
          </w:tcPr>
          <w:p w14:paraId="01652DEF" w14:textId="77777777" w:rsidR="007D2413" w:rsidRPr="007D2413" w:rsidRDefault="007D2413" w:rsidP="007D2413">
            <w:pPr>
              <w:spacing w:before="60" w:after="60" w:line="256" w:lineRule="auto"/>
              <w:jc w:val="center"/>
              <w:rPr>
                <w:rFonts w:eastAsia="Calibri"/>
                <w:b/>
                <w:bCs/>
              </w:rPr>
            </w:pPr>
            <w:r w:rsidRPr="007D2413">
              <w:rPr>
                <w:rFonts w:eastAsia="Calibri"/>
                <w:b/>
                <w:bCs/>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19FC8FF" w14:textId="77777777" w:rsidR="007D2413" w:rsidRPr="007D2413" w:rsidRDefault="007D2413" w:rsidP="007D2413">
            <w:pPr>
              <w:autoSpaceDE w:val="0"/>
              <w:autoSpaceDN w:val="0"/>
              <w:adjustRightInd w:val="0"/>
              <w:rPr>
                <w:b/>
                <w:bCs/>
                <w:color w:val="000000"/>
              </w:rPr>
            </w:pPr>
            <w:r w:rsidRPr="007D2413">
              <w:rPr>
                <w:b/>
                <w:bCs/>
                <w:color w:val="000000"/>
              </w:rPr>
              <w:t>Aplinkos apsaugos vadybos sistemos taikymas</w:t>
            </w:r>
          </w:p>
        </w:tc>
      </w:tr>
      <w:tr w:rsidR="007D2413" w:rsidRPr="007D2413" w14:paraId="0A8B0E66" w14:textId="77777777" w:rsidTr="003332F9">
        <w:tc>
          <w:tcPr>
            <w:tcW w:w="695" w:type="dxa"/>
            <w:tcBorders>
              <w:top w:val="single" w:sz="4" w:space="0" w:color="000000"/>
              <w:left w:val="single" w:sz="4" w:space="0" w:color="000000"/>
              <w:bottom w:val="single" w:sz="4" w:space="0" w:color="000000"/>
              <w:right w:val="single" w:sz="4" w:space="0" w:color="000000"/>
            </w:tcBorders>
          </w:tcPr>
          <w:p w14:paraId="23A41A77" w14:textId="77777777" w:rsidR="007D2413" w:rsidRPr="007D2413" w:rsidRDefault="007D2413" w:rsidP="007D2413">
            <w:pPr>
              <w:spacing w:before="60" w:after="60" w:line="256" w:lineRule="auto"/>
              <w:jc w:val="center"/>
              <w:rPr>
                <w:rFonts w:eastAsia="Calibri"/>
              </w:rPr>
            </w:pPr>
            <w:r w:rsidRPr="007D2413">
              <w:rPr>
                <w:rFonts w:eastAsia="Calibri"/>
              </w:rPr>
              <w:t>1.1.</w:t>
            </w:r>
          </w:p>
        </w:tc>
        <w:tc>
          <w:tcPr>
            <w:tcW w:w="3958" w:type="dxa"/>
            <w:tcBorders>
              <w:top w:val="single" w:sz="4" w:space="0" w:color="000000"/>
              <w:left w:val="single" w:sz="4" w:space="0" w:color="000000"/>
              <w:bottom w:val="single" w:sz="4" w:space="0" w:color="000000"/>
              <w:right w:val="single" w:sz="4" w:space="0" w:color="000000"/>
            </w:tcBorders>
          </w:tcPr>
          <w:p w14:paraId="69980B4D" w14:textId="77777777" w:rsidR="007D2413" w:rsidRPr="007D2413" w:rsidRDefault="007D2413" w:rsidP="007D2413">
            <w:pPr>
              <w:autoSpaceDE w:val="0"/>
              <w:autoSpaceDN w:val="0"/>
              <w:adjustRightInd w:val="0"/>
              <w:jc w:val="both"/>
              <w:rPr>
                <w:color w:val="000000"/>
              </w:rPr>
            </w:pPr>
            <w:r w:rsidRPr="007D2413">
              <w:rPr>
                <w:color w:val="000000"/>
              </w:rPr>
              <w:t xml:space="preserve">        Tiekėjas</w:t>
            </w:r>
            <w:r w:rsidRPr="007D2413">
              <w:rPr>
                <w:bdr w:val="none" w:sz="0" w:space="0" w:color="auto" w:frame="1"/>
                <w:lang w:eastAsia="en-GB"/>
              </w:rPr>
              <w:t xml:space="preserve"> atliekamiems statybos darbams</w:t>
            </w:r>
            <w:r w:rsidRPr="007D2413">
              <w:rPr>
                <w:color w:val="000000"/>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08F676C9" w14:textId="77777777" w:rsidR="007D2413" w:rsidRPr="007D2413" w:rsidRDefault="007D2413" w:rsidP="007D2413">
            <w:pPr>
              <w:jc w:val="both"/>
            </w:pPr>
            <w:r w:rsidRPr="007D2413">
              <w:t>Nepriklausomos sertifikavimo įstaigos išduotas sertifikatas, patvirtinantis, kad tiekėjas (ūkio subjektų grupės nariai kartu pagal prisiimamus įsipareigojimus) laikosi:</w:t>
            </w:r>
          </w:p>
          <w:p w14:paraId="7237A4BB" w14:textId="77777777" w:rsidR="007D2413" w:rsidRPr="007D2413" w:rsidRDefault="007D2413" w:rsidP="007D2413">
            <w:pPr>
              <w:jc w:val="both"/>
            </w:pPr>
            <w:r w:rsidRPr="007D2413">
              <w:t xml:space="preserve">- </w:t>
            </w:r>
            <w:r w:rsidRPr="007D2413">
              <w:rPr>
                <w:color w:val="000000"/>
              </w:rPr>
              <w:t>aplinkos apsaugos vadybos sistemos reikalavimų pagal standartą LST EN ISO 14001 arba EMAS ar kitų aplinkos apsaugos vadybos standartų, pagrįstų atitinkamais Europos arba tarptautinių standartizacijos organizacijų priimtais standartais, ar kitų tiekėjo pateiktų lygiaverčių įrodymų</w:t>
            </w:r>
            <w:r w:rsidRPr="007D2413">
              <w:t>.</w:t>
            </w:r>
          </w:p>
          <w:p w14:paraId="5BB77E1D" w14:textId="77777777" w:rsidR="007D2413" w:rsidRPr="007D2413" w:rsidRDefault="007D2413" w:rsidP="007D2413">
            <w:pPr>
              <w:jc w:val="both"/>
            </w:pPr>
          </w:p>
          <w:p w14:paraId="296DF2D5" w14:textId="77777777" w:rsidR="007D2413" w:rsidRPr="007D2413" w:rsidRDefault="007D2413" w:rsidP="007D2413">
            <w:pPr>
              <w:jc w:val="both"/>
            </w:pPr>
            <w:r w:rsidRPr="007D2413">
              <w:t>Perkančioji organizacija pripažįsta lygiaverčius sertifikatus, išduotus kitose valstybėse narėse įsteigtų nepriklausomų įstaigų.</w:t>
            </w:r>
          </w:p>
          <w:p w14:paraId="7A09961D" w14:textId="77777777" w:rsidR="007D2413" w:rsidRPr="007D2413" w:rsidRDefault="007D2413" w:rsidP="007D2413">
            <w:pPr>
              <w:jc w:val="both"/>
            </w:pPr>
          </w:p>
          <w:p w14:paraId="5CD0D457" w14:textId="77777777" w:rsidR="007D2413" w:rsidRPr="007D2413" w:rsidRDefault="007D2413" w:rsidP="007D2413">
            <w:pPr>
              <w:jc w:val="both"/>
              <w:rPr>
                <w:color w:val="000000"/>
              </w:rPr>
            </w:pPr>
            <w:r w:rsidRPr="007D2413">
              <w:t>Perkančioji organizacija priima ir kitus tiekėjo lygiaverčių aplinkos apsaugos vadybos   užtikrinimo priemonių įrodymus,  kurie patvirtintų, kad jo taikomos aplinkos apsaugos vadybos užtikrinimo priemonės atitinka  reikalaujamus aplinkos apsaugos vadybos sistemos standartus ir pateikia įrodymus, kurie patvirtintų, kad taikomos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526EE68B" w14:textId="77777777" w:rsidR="007D2413" w:rsidRPr="007D2413" w:rsidRDefault="007D2413" w:rsidP="007D2413">
            <w:pPr>
              <w:suppressAutoHyphens/>
              <w:autoSpaceDN w:val="0"/>
              <w:ind w:left="51"/>
              <w:jc w:val="both"/>
              <w:textAlignment w:val="baseline"/>
              <w:rPr>
                <w:iCs/>
                <w:color w:val="000000"/>
              </w:rPr>
            </w:pPr>
            <w:r w:rsidRPr="007D2413">
              <w:rPr>
                <w:iCs/>
                <w:color w:val="000000"/>
                <w:shd w:val="clear" w:color="auto" w:fill="FFFFFF"/>
              </w:rPr>
              <w:t xml:space="preserve">    ūkio subjektų grupė – reikalavimą turi atitikti ūkio</w:t>
            </w:r>
            <w:r w:rsidRPr="007D2413">
              <w:rPr>
                <w:iCs/>
                <w:color w:val="000000"/>
              </w:rPr>
              <w:t xml:space="preserve"> subjektų grupės narys (-</w:t>
            </w:r>
            <w:proofErr w:type="spellStart"/>
            <w:r w:rsidRPr="007D2413">
              <w:rPr>
                <w:iCs/>
                <w:color w:val="000000"/>
              </w:rPr>
              <w:t>iai</w:t>
            </w:r>
            <w:proofErr w:type="spellEnd"/>
            <w:r w:rsidRPr="007D2413">
              <w:rPr>
                <w:iCs/>
                <w:color w:val="000000"/>
              </w:rPr>
              <w:t>), atsižvelgiant į jų prisiimamus įsipareigojimus pirkimo sutarčiai vykdyti;</w:t>
            </w:r>
          </w:p>
          <w:p w14:paraId="038F53A4" w14:textId="77777777" w:rsidR="007D2413" w:rsidRPr="007D2413" w:rsidRDefault="007D2413" w:rsidP="007D2413">
            <w:pPr>
              <w:shd w:val="clear" w:color="auto" w:fill="FFFFFF"/>
              <w:suppressAutoHyphens/>
              <w:autoSpaceDN w:val="0"/>
              <w:ind w:left="51"/>
              <w:jc w:val="both"/>
              <w:textAlignment w:val="baseline"/>
              <w:rPr>
                <w:iCs/>
                <w:color w:val="000000"/>
              </w:rPr>
            </w:pPr>
            <w:r w:rsidRPr="007D2413">
              <w:rPr>
                <w:iCs/>
                <w:color w:val="000000"/>
              </w:rPr>
              <w:t xml:space="preserve">     Tiekėjas gali remtis kitų ūkio subjektų pajėgumais atsižvelgiant į jų prisiimamus įsipareigojimus pirkimo sutarčiai vykdyti;</w:t>
            </w:r>
          </w:p>
          <w:p w14:paraId="2C8878B2" w14:textId="77777777" w:rsidR="007D2413" w:rsidRPr="007D2413" w:rsidRDefault="007D2413" w:rsidP="007D2413">
            <w:pPr>
              <w:autoSpaceDE w:val="0"/>
              <w:autoSpaceDN w:val="0"/>
              <w:adjustRightInd w:val="0"/>
              <w:rPr>
                <w:color w:val="000000"/>
              </w:rPr>
            </w:pPr>
            <w:r w:rsidRPr="007D2413">
              <w:rPr>
                <w:iCs/>
                <w:color w:val="000000"/>
              </w:rPr>
              <w:t xml:space="preserve">     Subtiekėjai, ūkio subjektai, kurių pajėgumais tiekėjas nesiremia turi laikytis reikalaujamų </w:t>
            </w:r>
            <w:r w:rsidRPr="007D2413">
              <w:rPr>
                <w:bCs/>
                <w:iCs/>
                <w:color w:val="000000"/>
              </w:rPr>
              <w:t xml:space="preserve">aplinkos apsaugos vadybos priemonių, </w:t>
            </w:r>
            <w:r w:rsidRPr="007D2413">
              <w:rPr>
                <w:iCs/>
                <w:color w:val="000000"/>
              </w:rPr>
              <w:t>atsižvelgiant į jų prisiimamus įsipareigojimus pirkimo sutarčiai vykdyti.</w:t>
            </w:r>
          </w:p>
        </w:tc>
      </w:tr>
    </w:tbl>
    <w:p w14:paraId="13B40858" w14:textId="77777777" w:rsidR="007D2413" w:rsidRPr="007D2413" w:rsidRDefault="007D2413" w:rsidP="007D2413">
      <w:pPr>
        <w:spacing w:after="0" w:line="240" w:lineRule="auto"/>
        <w:jc w:val="center"/>
        <w:rPr>
          <w:rFonts w:ascii="Calibri" w:eastAsia="Calibri" w:hAnsi="Calibri" w:cs="Calibri"/>
          <w:kern w:val="0"/>
          <w:sz w:val="21"/>
          <w:szCs w:val="21"/>
          <w:lang w:val="lt-LT"/>
          <w14:ligatures w14:val="none"/>
        </w:rPr>
      </w:pPr>
    </w:p>
    <w:p w14:paraId="7CB0CEAA" w14:textId="77777777" w:rsidR="007D2413" w:rsidRPr="007D2413" w:rsidRDefault="007D2413" w:rsidP="007D2413">
      <w:pPr>
        <w:spacing w:after="0" w:line="240" w:lineRule="auto"/>
        <w:jc w:val="center"/>
        <w:rPr>
          <w:rFonts w:ascii="Calibri" w:eastAsia="Calibri" w:hAnsi="Calibri" w:cs="Calibri"/>
          <w:b/>
          <w:bCs/>
          <w:smallCaps/>
          <w:kern w:val="0"/>
          <w:sz w:val="21"/>
          <w:szCs w:val="21"/>
          <w:lang w:val="lt-LT" w:eastAsia="lt-LT"/>
          <w14:ligatures w14:val="none"/>
        </w:rPr>
      </w:pPr>
      <w:r w:rsidRPr="007D2413">
        <w:rPr>
          <w:rFonts w:ascii="Calibri" w:eastAsia="Calibri" w:hAnsi="Calibri" w:cs="Calibri"/>
          <w:kern w:val="0"/>
          <w:sz w:val="21"/>
          <w:szCs w:val="21"/>
          <w:lang w:val="lt-LT"/>
          <w14:ligatures w14:val="none"/>
        </w:rPr>
        <w:t>__________</w:t>
      </w:r>
    </w:p>
    <w:p w14:paraId="25F54087" w14:textId="3D6E491E" w:rsidR="007D2413" w:rsidRPr="007D2413" w:rsidRDefault="007D2413" w:rsidP="007D2413">
      <w:pPr>
        <w:spacing w:line="276" w:lineRule="auto"/>
        <w:rPr>
          <w:rFonts w:ascii="Calibri" w:eastAsia="Calibri" w:hAnsi="Calibri" w:cs="Calibri"/>
          <w:b/>
          <w:bCs/>
          <w:smallCaps/>
          <w:kern w:val="0"/>
          <w:sz w:val="22"/>
          <w:szCs w:val="22"/>
          <w:lang w:val="lt-LT" w:eastAsia="lt-LT"/>
          <w14:ligatures w14:val="none"/>
        </w:rPr>
      </w:pPr>
    </w:p>
    <w:sectPr w:rsidR="007D2413" w:rsidRPr="007D24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D3AA" w14:textId="77777777" w:rsidR="000573C1" w:rsidRDefault="000573C1" w:rsidP="007D2413">
      <w:pPr>
        <w:spacing w:after="0" w:line="240" w:lineRule="auto"/>
      </w:pPr>
      <w:r>
        <w:separator/>
      </w:r>
    </w:p>
  </w:endnote>
  <w:endnote w:type="continuationSeparator" w:id="0">
    <w:p w14:paraId="3D43742C" w14:textId="77777777" w:rsidR="000573C1" w:rsidRDefault="000573C1" w:rsidP="007D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8D4D" w14:textId="77777777" w:rsidR="000573C1" w:rsidRDefault="000573C1" w:rsidP="007D2413">
      <w:pPr>
        <w:spacing w:after="0" w:line="240" w:lineRule="auto"/>
      </w:pPr>
      <w:r>
        <w:separator/>
      </w:r>
    </w:p>
  </w:footnote>
  <w:footnote w:type="continuationSeparator" w:id="0">
    <w:p w14:paraId="54E8215C" w14:textId="77777777" w:rsidR="000573C1" w:rsidRDefault="000573C1" w:rsidP="007D2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787881"/>
    <w:multiLevelType w:val="hybridMultilevel"/>
    <w:tmpl w:val="FB5C8D4C"/>
    <w:lvl w:ilvl="0" w:tplc="E93C3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96449446">
    <w:abstractNumId w:val="2"/>
  </w:num>
  <w:num w:numId="2" w16cid:durableId="1891988227">
    <w:abstractNumId w:val="0"/>
  </w:num>
  <w:num w:numId="3" w16cid:durableId="989790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D6"/>
    <w:rsid w:val="000573C1"/>
    <w:rsid w:val="001374E0"/>
    <w:rsid w:val="002F354F"/>
    <w:rsid w:val="003A6FD3"/>
    <w:rsid w:val="007D2413"/>
    <w:rsid w:val="00AC36D6"/>
    <w:rsid w:val="00F0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283B"/>
  <w15:chartTrackingRefBased/>
  <w15:docId w15:val="{5C29636B-8259-4596-BC5F-E0E6A8BC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6D6"/>
    <w:rPr>
      <w:rFonts w:eastAsiaTheme="majorEastAsia" w:cstheme="majorBidi"/>
      <w:color w:val="272727" w:themeColor="text1" w:themeTint="D8"/>
    </w:rPr>
  </w:style>
  <w:style w:type="paragraph" w:styleId="Title">
    <w:name w:val="Title"/>
    <w:basedOn w:val="Normal"/>
    <w:next w:val="Normal"/>
    <w:link w:val="TitleChar"/>
    <w:uiPriority w:val="10"/>
    <w:qFormat/>
    <w:rsid w:val="00AC3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6D6"/>
    <w:pPr>
      <w:spacing w:before="160"/>
      <w:jc w:val="center"/>
    </w:pPr>
    <w:rPr>
      <w:i/>
      <w:iCs/>
      <w:color w:val="404040" w:themeColor="text1" w:themeTint="BF"/>
    </w:rPr>
  </w:style>
  <w:style w:type="character" w:customStyle="1" w:styleId="QuoteChar">
    <w:name w:val="Quote Char"/>
    <w:basedOn w:val="DefaultParagraphFont"/>
    <w:link w:val="Quote"/>
    <w:uiPriority w:val="29"/>
    <w:rsid w:val="00AC36D6"/>
    <w:rPr>
      <w:i/>
      <w:iCs/>
      <w:color w:val="404040" w:themeColor="text1" w:themeTint="BF"/>
    </w:rPr>
  </w:style>
  <w:style w:type="paragraph" w:styleId="ListParagraph">
    <w:name w:val="List Paragraph"/>
    <w:basedOn w:val="Normal"/>
    <w:uiPriority w:val="34"/>
    <w:qFormat/>
    <w:rsid w:val="00AC36D6"/>
    <w:pPr>
      <w:ind w:left="720"/>
      <w:contextualSpacing/>
    </w:pPr>
  </w:style>
  <w:style w:type="character" w:styleId="IntenseEmphasis">
    <w:name w:val="Intense Emphasis"/>
    <w:basedOn w:val="DefaultParagraphFont"/>
    <w:uiPriority w:val="21"/>
    <w:qFormat/>
    <w:rsid w:val="00AC36D6"/>
    <w:rPr>
      <w:i/>
      <w:iCs/>
      <w:color w:val="0F4761" w:themeColor="accent1" w:themeShade="BF"/>
    </w:rPr>
  </w:style>
  <w:style w:type="paragraph" w:styleId="IntenseQuote">
    <w:name w:val="Intense Quote"/>
    <w:basedOn w:val="Normal"/>
    <w:next w:val="Normal"/>
    <w:link w:val="IntenseQuoteChar"/>
    <w:uiPriority w:val="30"/>
    <w:qFormat/>
    <w:rsid w:val="00AC3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6D6"/>
    <w:rPr>
      <w:i/>
      <w:iCs/>
      <w:color w:val="0F4761" w:themeColor="accent1" w:themeShade="BF"/>
    </w:rPr>
  </w:style>
  <w:style w:type="character" w:styleId="IntenseReference">
    <w:name w:val="Intense Reference"/>
    <w:basedOn w:val="DefaultParagraphFont"/>
    <w:uiPriority w:val="32"/>
    <w:qFormat/>
    <w:rsid w:val="00AC36D6"/>
    <w:rPr>
      <w:b/>
      <w:bCs/>
      <w:smallCaps/>
      <w:color w:val="0F4761" w:themeColor="accent1" w:themeShade="BF"/>
      <w:spacing w:val="5"/>
    </w:rPr>
  </w:style>
  <w:style w:type="paragraph" w:styleId="Footer">
    <w:name w:val="footer"/>
    <w:basedOn w:val="Normal"/>
    <w:link w:val="FooterChar"/>
    <w:uiPriority w:val="99"/>
    <w:unhideWhenUsed/>
    <w:rsid w:val="007D2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413"/>
  </w:style>
  <w:style w:type="table" w:customStyle="1" w:styleId="TableGrid3">
    <w:name w:val="Table Grid3"/>
    <w:basedOn w:val="TableNormal"/>
    <w:next w:val="TableGrid"/>
    <w:uiPriority w:val="39"/>
    <w:rsid w:val="007D241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D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413"/>
    <w:rPr>
      <w:color w:val="467886" w:themeColor="hyperlink"/>
      <w:u w:val="single"/>
    </w:rPr>
  </w:style>
  <w:style w:type="character" w:styleId="UnresolvedMention">
    <w:name w:val="Unresolved Mention"/>
    <w:basedOn w:val="DefaultParagraphFont"/>
    <w:uiPriority w:val="99"/>
    <w:semiHidden/>
    <w:unhideWhenUsed/>
    <w:rsid w:val="007D2413"/>
    <w:rPr>
      <w:color w:val="605E5C"/>
      <w:shd w:val="clear" w:color="auto" w:fill="E1DFDD"/>
    </w:rPr>
  </w:style>
  <w:style w:type="paragraph" w:styleId="Header">
    <w:name w:val="header"/>
    <w:basedOn w:val="Normal"/>
    <w:link w:val="HeaderChar"/>
    <w:uiPriority w:val="99"/>
    <w:unhideWhenUsed/>
    <w:rsid w:val="007D2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1031</Words>
  <Characters>5880</Characters>
  <Application>Microsoft Office Word</Application>
  <DocSecurity>0</DocSecurity>
  <Lines>49</Lines>
  <Paragraphs>13</Paragraphs>
  <ScaleCrop>false</ScaleCrop>
  <Company>VDA</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2026-06-08T08:00:00Z</dcterms:created>
  <dcterms:modified xsi:type="dcterms:W3CDTF">2026-06-08T08:10:00Z</dcterms:modified>
</cp:coreProperties>
</file>