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5E885482"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9714E3">
            <w:rPr>
              <w:rFonts w:ascii="Times New Roman" w:eastAsia="Calibri" w:hAnsi="Times New Roman" w:cs="Times New Roman"/>
              <w:bCs/>
              <w:sz w:val="24"/>
              <w:szCs w:val="24"/>
              <w:lang w:eastAsia="en-US"/>
            </w:rPr>
            <w:t>birželio</w:t>
          </w:r>
          <w:r w:rsidRPr="00CD3F2C">
            <w:rPr>
              <w:rFonts w:ascii="Times New Roman" w:eastAsia="Calibri" w:hAnsi="Times New Roman" w:cs="Times New Roman"/>
              <w:bCs/>
              <w:sz w:val="24"/>
              <w:szCs w:val="24"/>
              <w:lang w:eastAsia="en-US"/>
            </w:rPr>
            <w:t xml:space="preserve"> </w:t>
          </w:r>
          <w:r w:rsidR="00CD4B30">
            <w:rPr>
              <w:rFonts w:ascii="Times New Roman" w:eastAsia="Calibri" w:hAnsi="Times New Roman" w:cs="Times New Roman"/>
              <w:bCs/>
              <w:sz w:val="24"/>
              <w:szCs w:val="24"/>
              <w:lang w:eastAsia="en-US"/>
            </w:rPr>
            <w:t>5</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00CD4B30">
            <w:rPr>
              <w:rFonts w:ascii="Times New Roman" w:eastAsia="Calibri" w:hAnsi="Times New Roman" w:cs="Times New Roman"/>
              <w:bCs/>
              <w:sz w:val="24"/>
              <w:szCs w:val="24"/>
              <w:lang w:eastAsia="en-US"/>
            </w:rPr>
            <w:t xml:space="preserve"> </w:t>
          </w:r>
          <w:r w:rsidRPr="00CD3F2C">
            <w:rPr>
              <w:rFonts w:ascii="Times New Roman" w:eastAsia="Calibri" w:hAnsi="Times New Roman" w:cs="Times New Roman"/>
              <w:bCs/>
              <w:sz w:val="24"/>
              <w:szCs w:val="24"/>
              <w:lang w:eastAsia="en-US"/>
            </w:rPr>
            <w:t>V-</w:t>
          </w:r>
          <w:r w:rsidR="00CD4B30">
            <w:rPr>
              <w:rFonts w:ascii="Times New Roman" w:eastAsia="Calibri" w:hAnsi="Times New Roman" w:cs="Times New Roman"/>
              <w:bCs/>
              <w:sz w:val="24"/>
              <w:szCs w:val="24"/>
              <w:lang w:eastAsia="en-US"/>
            </w:rPr>
            <w:t>111</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76800F0B" w:rsidR="006C7778" w:rsidRPr="003D2A64" w:rsidRDefault="002D4561"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AUKLŲJŲ IR SILPNAREGIŲ UGDYMO CENTRO </w:t>
          </w:r>
          <w:r w:rsidR="00B3687B">
            <w:rPr>
              <w:rFonts w:ascii="Times New Roman" w:hAnsi="Times New Roman" w:cs="Times New Roman"/>
              <w:b/>
              <w:bCs/>
              <w:sz w:val="28"/>
              <w:szCs w:val="28"/>
            </w:rPr>
            <w:t>AIKŠTELĖS ASFALTO DANGOS</w:t>
          </w:r>
          <w:r w:rsidR="00164318" w:rsidRPr="002D4561">
            <w:rPr>
              <w:rFonts w:ascii="Times New Roman" w:hAnsi="Times New Roman" w:cs="Times New Roman"/>
              <w:b/>
              <w:bCs/>
              <w:color w:val="EE0000"/>
              <w:sz w:val="28"/>
              <w:szCs w:val="28"/>
            </w:rPr>
            <w:t xml:space="preserve"> </w:t>
          </w:r>
          <w:r w:rsidR="00164318" w:rsidRPr="00B3687B">
            <w:rPr>
              <w:rFonts w:ascii="Times New Roman" w:hAnsi="Times New Roman" w:cs="Times New Roman"/>
              <w:b/>
              <w:bCs/>
              <w:sz w:val="28"/>
              <w:szCs w:val="28"/>
            </w:rPr>
            <w:t xml:space="preserve">REMONTO </w:t>
          </w:r>
          <w:r w:rsidR="00164318" w:rsidRPr="003D2A64">
            <w:rPr>
              <w:rFonts w:ascii="Times New Roman" w:hAnsi="Times New Roman" w:cs="Times New Roman"/>
              <w:b/>
              <w:bCs/>
              <w:sz w:val="28"/>
              <w:szCs w:val="28"/>
            </w:rPr>
            <w:t>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EF6002"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5C20F694"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2D4561">
        <w:rPr>
          <w:rFonts w:ascii="Times New Roman" w:eastAsia="Calibri" w:hAnsi="Times New Roman" w:cs="Times New Roman"/>
          <w:color w:val="000000" w:themeColor="text1"/>
          <w:sz w:val="24"/>
          <w:szCs w:val="24"/>
        </w:rPr>
        <w:t xml:space="preserve"> </w:t>
      </w:r>
      <w:r w:rsidR="002D4561" w:rsidRPr="002D4561">
        <w:rPr>
          <w:rFonts w:ascii="Times New Roman" w:eastAsia="Calibri" w:hAnsi="Times New Roman" w:cs="Times New Roman"/>
          <w:color w:val="000000" w:themeColor="text1"/>
          <w:sz w:val="24"/>
          <w:szCs w:val="24"/>
        </w:rPr>
        <w:t xml:space="preserve">Lietuvos aklųjų ir silpnaregių ugdymo centro </w:t>
      </w:r>
      <w:r w:rsidR="00B3687B">
        <w:rPr>
          <w:rFonts w:ascii="Times New Roman" w:eastAsia="Calibri" w:hAnsi="Times New Roman" w:cs="Times New Roman"/>
          <w:color w:val="000000" w:themeColor="text1"/>
          <w:sz w:val="24"/>
          <w:szCs w:val="24"/>
        </w:rPr>
        <w:t>aikštelės asfalto dangos</w:t>
      </w:r>
      <w:r w:rsidR="00511CB8" w:rsidRPr="002D4561">
        <w:rPr>
          <w:rFonts w:ascii="Times New Roman" w:eastAsia="Calibri" w:hAnsi="Times New Roman" w:cs="Times New Roman"/>
          <w:color w:val="EE0000"/>
          <w:sz w:val="24"/>
          <w:szCs w:val="24"/>
        </w:rPr>
        <w:t xml:space="preserve"> </w:t>
      </w:r>
      <w:r w:rsidR="00511CB8" w:rsidRPr="003D2A64">
        <w:rPr>
          <w:rFonts w:ascii="Times New Roman" w:eastAsia="Calibri" w:hAnsi="Times New Roman" w:cs="Times New Roman"/>
          <w:color w:val="000000" w:themeColor="text1"/>
          <w:sz w:val="24"/>
          <w:szCs w:val="24"/>
        </w:rPr>
        <w:t xml:space="preserve">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9A55" w14:textId="77777777" w:rsidR="00EF6002" w:rsidRDefault="00EF6002" w:rsidP="00D05666">
      <w:r>
        <w:separator/>
      </w:r>
    </w:p>
  </w:endnote>
  <w:endnote w:type="continuationSeparator" w:id="0">
    <w:p w14:paraId="296DEC97" w14:textId="77777777" w:rsidR="00EF6002" w:rsidRDefault="00EF6002" w:rsidP="00D05666">
      <w:r>
        <w:continuationSeparator/>
      </w:r>
    </w:p>
  </w:endnote>
  <w:endnote w:type="continuationNotice" w:id="1">
    <w:p w14:paraId="7B8EF4E8" w14:textId="77777777" w:rsidR="00EF6002" w:rsidRDefault="00EF60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78CB" w14:textId="77777777" w:rsidR="00EF6002" w:rsidRDefault="00EF6002" w:rsidP="00D05666">
      <w:r>
        <w:separator/>
      </w:r>
    </w:p>
  </w:footnote>
  <w:footnote w:type="continuationSeparator" w:id="0">
    <w:p w14:paraId="6A2251DB" w14:textId="77777777" w:rsidR="00EF6002" w:rsidRDefault="00EF6002" w:rsidP="00D05666">
      <w:r>
        <w:continuationSeparator/>
      </w:r>
    </w:p>
  </w:footnote>
  <w:footnote w:type="continuationNotice" w:id="1">
    <w:p w14:paraId="5FA246E2" w14:textId="77777777" w:rsidR="00EF6002" w:rsidRDefault="00EF60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38D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F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1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61"/>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0F55"/>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37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5B3"/>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35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4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55"/>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471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B98"/>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C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C98"/>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4E3"/>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4F"/>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7B"/>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4CBF"/>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BB0"/>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4B3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72F"/>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7C5"/>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00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9B3"/>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8D9"/>
    <w:rsid w:val="000855FF"/>
    <w:rsid w:val="000E3D5E"/>
    <w:rsid w:val="000E62D1"/>
    <w:rsid w:val="001251FC"/>
    <w:rsid w:val="00127A9E"/>
    <w:rsid w:val="00133E9D"/>
    <w:rsid w:val="00170E77"/>
    <w:rsid w:val="00171EDB"/>
    <w:rsid w:val="001817FD"/>
    <w:rsid w:val="001A6EE0"/>
    <w:rsid w:val="001C15A3"/>
    <w:rsid w:val="001E3B26"/>
    <w:rsid w:val="00241A34"/>
    <w:rsid w:val="00256A57"/>
    <w:rsid w:val="00295EF8"/>
    <w:rsid w:val="002B58CF"/>
    <w:rsid w:val="002C1509"/>
    <w:rsid w:val="0035742B"/>
    <w:rsid w:val="003661A6"/>
    <w:rsid w:val="00380F55"/>
    <w:rsid w:val="00391DDD"/>
    <w:rsid w:val="003C4D74"/>
    <w:rsid w:val="003F54EB"/>
    <w:rsid w:val="004161F4"/>
    <w:rsid w:val="00430113"/>
    <w:rsid w:val="00460C76"/>
    <w:rsid w:val="0046126A"/>
    <w:rsid w:val="004826FA"/>
    <w:rsid w:val="004B0105"/>
    <w:rsid w:val="004C214A"/>
    <w:rsid w:val="004D38E9"/>
    <w:rsid w:val="004E7A15"/>
    <w:rsid w:val="00515E63"/>
    <w:rsid w:val="00544854"/>
    <w:rsid w:val="00565992"/>
    <w:rsid w:val="00594949"/>
    <w:rsid w:val="005B66ED"/>
    <w:rsid w:val="00600834"/>
    <w:rsid w:val="00652F79"/>
    <w:rsid w:val="00685665"/>
    <w:rsid w:val="006D77F5"/>
    <w:rsid w:val="00702B98"/>
    <w:rsid w:val="00722040"/>
    <w:rsid w:val="007260B3"/>
    <w:rsid w:val="00731487"/>
    <w:rsid w:val="00737C4C"/>
    <w:rsid w:val="0078514A"/>
    <w:rsid w:val="007C7D73"/>
    <w:rsid w:val="007F25D7"/>
    <w:rsid w:val="00810A25"/>
    <w:rsid w:val="00813852"/>
    <w:rsid w:val="00881536"/>
    <w:rsid w:val="008828FD"/>
    <w:rsid w:val="008922CD"/>
    <w:rsid w:val="008D6E2A"/>
    <w:rsid w:val="00906FC8"/>
    <w:rsid w:val="00915DD0"/>
    <w:rsid w:val="00926BF1"/>
    <w:rsid w:val="00932941"/>
    <w:rsid w:val="0094213B"/>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36ECA"/>
    <w:rsid w:val="00B604DE"/>
    <w:rsid w:val="00B70DD9"/>
    <w:rsid w:val="00B971E7"/>
    <w:rsid w:val="00BB4CBF"/>
    <w:rsid w:val="00BE1C45"/>
    <w:rsid w:val="00C13521"/>
    <w:rsid w:val="00C34CC3"/>
    <w:rsid w:val="00C504E1"/>
    <w:rsid w:val="00C64F5A"/>
    <w:rsid w:val="00C738CB"/>
    <w:rsid w:val="00C95B92"/>
    <w:rsid w:val="00CB455B"/>
    <w:rsid w:val="00CD27B6"/>
    <w:rsid w:val="00CE75FC"/>
    <w:rsid w:val="00CF4CEB"/>
    <w:rsid w:val="00D1288B"/>
    <w:rsid w:val="00D27CFD"/>
    <w:rsid w:val="00DE23D8"/>
    <w:rsid w:val="00DF00E8"/>
    <w:rsid w:val="00E1064D"/>
    <w:rsid w:val="00E464CE"/>
    <w:rsid w:val="00E706A7"/>
    <w:rsid w:val="00ED44F6"/>
    <w:rsid w:val="00EF3372"/>
    <w:rsid w:val="00EF6792"/>
    <w:rsid w:val="00F06D79"/>
    <w:rsid w:val="00F214F7"/>
    <w:rsid w:val="00F81DB5"/>
    <w:rsid w:val="00F83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5148</Words>
  <Characters>2935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15</cp:revision>
  <cp:lastPrinted>2021-11-03T05:49:00Z</cp:lastPrinted>
  <dcterms:created xsi:type="dcterms:W3CDTF">2026-03-06T11:59:00Z</dcterms:created>
  <dcterms:modified xsi:type="dcterms:W3CDTF">2026-06-08T07:38:00Z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