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097D1" w14:textId="77777777" w:rsidR="00EA32E9" w:rsidRDefault="00EA32E9"/>
    <w:p w14:paraId="4FB6E4C1" w14:textId="77777777" w:rsidR="009E4000" w:rsidRDefault="009E4000"/>
    <w:tbl>
      <w:tblPr>
        <w:tblW w:w="0" w:type="auto"/>
        <w:tblLook w:val="04A0" w:firstRow="1" w:lastRow="0" w:firstColumn="1" w:lastColumn="0" w:noHBand="0" w:noVBand="1"/>
      </w:tblPr>
      <w:tblGrid>
        <w:gridCol w:w="6336"/>
        <w:gridCol w:w="2735"/>
      </w:tblGrid>
      <w:tr w:rsidR="009E4000" w:rsidRPr="009E4000" w14:paraId="589694F7" w14:textId="77777777" w:rsidTr="009E4000">
        <w:tc>
          <w:tcPr>
            <w:tcW w:w="6487" w:type="dxa"/>
          </w:tcPr>
          <w:p w14:paraId="3672936F" w14:textId="77777777" w:rsidR="009E4000" w:rsidRPr="009E4000" w:rsidRDefault="009E4000">
            <w:r w:rsidRPr="009E4000">
              <w:t>Tiekėjams dalyvaujantiems pirkime</w:t>
            </w:r>
          </w:p>
        </w:tc>
        <w:tc>
          <w:tcPr>
            <w:tcW w:w="2800" w:type="dxa"/>
          </w:tcPr>
          <w:p w14:paraId="648EE290" w14:textId="273B522F" w:rsidR="009E4000" w:rsidRPr="009E4000" w:rsidRDefault="009E4000">
            <w:r w:rsidRPr="009E4000">
              <w:t>20</w:t>
            </w:r>
            <w:r w:rsidR="0040395D">
              <w:t>2</w:t>
            </w:r>
            <w:r w:rsidR="008E02DE">
              <w:t>6</w:t>
            </w:r>
            <w:r w:rsidRPr="0040395D">
              <w:t>-</w:t>
            </w:r>
            <w:r w:rsidR="0040395D" w:rsidRPr="0040395D">
              <w:t>0</w:t>
            </w:r>
            <w:r w:rsidR="008E02DE">
              <w:t>6</w:t>
            </w:r>
            <w:r w:rsidRPr="00CF4E85">
              <w:t>-</w:t>
            </w:r>
            <w:r w:rsidR="00CF4E85" w:rsidRPr="00CF4E85">
              <w:t>08</w:t>
            </w:r>
          </w:p>
        </w:tc>
      </w:tr>
    </w:tbl>
    <w:p w14:paraId="23DD9BBA" w14:textId="77777777" w:rsidR="009E4000" w:rsidRDefault="009E4000"/>
    <w:p w14:paraId="07ABF9CD" w14:textId="640D70B8" w:rsidR="009E4000" w:rsidRPr="0040395D" w:rsidRDefault="009E4000">
      <w:pPr>
        <w:rPr>
          <w:b/>
        </w:rPr>
      </w:pPr>
      <w:r w:rsidRPr="0040395D">
        <w:rPr>
          <w:b/>
        </w:rPr>
        <w:t>DĖL ATSAKYM</w:t>
      </w:r>
      <w:r w:rsidR="0040395D" w:rsidRPr="0040395D">
        <w:rPr>
          <w:b/>
        </w:rPr>
        <w:t>Ų</w:t>
      </w:r>
      <w:r w:rsidRPr="0040395D">
        <w:rPr>
          <w:b/>
        </w:rPr>
        <w:t xml:space="preserve"> Į TIEKĖJŲ PATEIKTUS KLAUSIMUS</w:t>
      </w:r>
    </w:p>
    <w:p w14:paraId="6B9AEF08" w14:textId="77777777" w:rsidR="009E4000" w:rsidRDefault="009E4000"/>
    <w:p w14:paraId="3A855643" w14:textId="3277364E" w:rsidR="009E4000" w:rsidRDefault="004229F3" w:rsidP="007B2B02">
      <w:pPr>
        <w:ind w:firstLine="709"/>
      </w:pPr>
      <w:r w:rsidRPr="00BC51A5">
        <w:t>Jurbarko rajono savivaldybės administracija</w:t>
      </w:r>
      <w:r w:rsidR="009E4000" w:rsidRPr="00BC51A5">
        <w:t xml:space="preserve">, įmonės kodas </w:t>
      </w:r>
      <w:r w:rsidRPr="00BC51A5">
        <w:t>188713933</w:t>
      </w:r>
      <w:r w:rsidR="009E4000" w:rsidRPr="00BC51A5">
        <w:t xml:space="preserve">, (toliau – </w:t>
      </w:r>
      <w:r w:rsidR="009E4000" w:rsidRPr="00BC51A5">
        <w:rPr>
          <w:b/>
          <w:bCs/>
        </w:rPr>
        <w:t>Perkančioji organizacija</w:t>
      </w:r>
      <w:r w:rsidR="009E4000" w:rsidRPr="00BC51A5">
        <w:t>), vykd</w:t>
      </w:r>
      <w:r w:rsidR="007B2B02">
        <w:t>o</w:t>
      </w:r>
      <w:r w:rsidR="009E4000" w:rsidRPr="00BC51A5">
        <w:t xml:space="preserve"> viešąjį pirkimą „</w:t>
      </w:r>
      <w:r w:rsidR="008E02DE">
        <w:t xml:space="preserve">Vaikų žaidimų aiktelės įrengimas daugiabučių namų kieme Jurbarko m. </w:t>
      </w:r>
      <w:r w:rsidR="009E4000" w:rsidRPr="009E4000">
        <w:t>“</w:t>
      </w:r>
      <w:r w:rsidR="004651A6">
        <w:t xml:space="preserve"> </w:t>
      </w:r>
      <w:r w:rsidR="004651A6" w:rsidRPr="00BC51A5">
        <w:t xml:space="preserve">(pirkimo numeris </w:t>
      </w:r>
      <w:r w:rsidR="008E02DE">
        <w:t>676619</w:t>
      </w:r>
      <w:r w:rsidR="004651A6" w:rsidRPr="00BC51A5">
        <w:t>)</w:t>
      </w:r>
      <w:r w:rsidR="009E4000" w:rsidRPr="00BC51A5">
        <w:t xml:space="preserve"> (toliau – </w:t>
      </w:r>
      <w:r w:rsidR="009E4000" w:rsidRPr="00BC51A5">
        <w:rPr>
          <w:b/>
          <w:bCs/>
        </w:rPr>
        <w:t>Pirkimas</w:t>
      </w:r>
      <w:r w:rsidR="009E4000" w:rsidRPr="00BC51A5">
        <w:t xml:space="preserve">), Centrinės viešųjų pirkimų </w:t>
      </w:r>
      <w:r w:rsidR="009E4000">
        <w:t xml:space="preserve">informacinė sistemos </w:t>
      </w:r>
      <w:r w:rsidR="009E4000" w:rsidRPr="009E4000">
        <w:t>priemonėmis</w:t>
      </w:r>
      <w:r w:rsidR="00E449D3">
        <w:t xml:space="preserve"> (toliau – </w:t>
      </w:r>
      <w:r w:rsidR="00E449D3" w:rsidRPr="00E449D3">
        <w:rPr>
          <w:b/>
          <w:bCs/>
        </w:rPr>
        <w:t>CVP IS</w:t>
      </w:r>
      <w:r w:rsidR="00E449D3">
        <w:t>)</w:t>
      </w:r>
      <w:r w:rsidR="007B2B02">
        <w:t xml:space="preserve"> ir gavo iš tiekėjų klausimų. V</w:t>
      </w:r>
      <w:r w:rsidR="00A93123">
        <w:t xml:space="preserve">adovaujantis Lietuvos Respublikos viešųjų pirkimų </w:t>
      </w:r>
      <w:r w:rsidR="00A93123" w:rsidRPr="0040395D">
        <w:t xml:space="preserve">įstatymu (toliau – </w:t>
      </w:r>
      <w:r w:rsidR="00A93123" w:rsidRPr="0040395D">
        <w:rPr>
          <w:b/>
          <w:bCs/>
        </w:rPr>
        <w:t>VPĮ</w:t>
      </w:r>
      <w:r w:rsidR="00A93123" w:rsidRPr="0040395D">
        <w:t>)</w:t>
      </w:r>
      <w:r w:rsidR="009E4000" w:rsidRPr="0040395D">
        <w:t xml:space="preserve"> </w:t>
      </w:r>
      <w:r w:rsidR="007B2B02">
        <w:t xml:space="preserve">Perkančioji organizacija </w:t>
      </w:r>
      <w:r w:rsidR="009E4000" w:rsidRPr="0040395D">
        <w:t>priėmė sprendimą, kuriuo buvo pateikti atsakymai į tiekėjų užduotus klausimus</w:t>
      </w:r>
      <w:r w:rsidR="00DE41C2">
        <w:t>:</w:t>
      </w:r>
    </w:p>
    <w:p w14:paraId="09A3D9C3" w14:textId="77777777" w:rsidR="008E02DE" w:rsidRPr="008E02DE" w:rsidRDefault="008E02DE" w:rsidP="008E02DE">
      <w:pPr>
        <w:ind w:firstLine="709"/>
        <w:rPr>
          <w:b/>
          <w:bCs/>
        </w:rPr>
      </w:pPr>
    </w:p>
    <w:p w14:paraId="34CFF1D0" w14:textId="4EEC04E6" w:rsidR="008E02DE" w:rsidRDefault="008E02DE" w:rsidP="008E02DE">
      <w:pPr>
        <w:ind w:firstLine="709"/>
        <w:rPr>
          <w:b/>
          <w:bCs/>
        </w:rPr>
      </w:pPr>
      <w:r w:rsidRPr="008E02DE">
        <w:rPr>
          <w:b/>
          <w:bCs/>
        </w:rPr>
        <w:t xml:space="preserve">1 </w:t>
      </w:r>
      <w:r>
        <w:rPr>
          <w:b/>
          <w:bCs/>
        </w:rPr>
        <w:t xml:space="preserve">klausimas </w:t>
      </w:r>
      <w:r w:rsidRPr="008E02DE">
        <w:rPr>
          <w:bCs/>
        </w:rPr>
        <w:t>(kalba netaisyta)</w:t>
      </w:r>
      <w:r>
        <w:rPr>
          <w:b/>
          <w:bCs/>
        </w:rPr>
        <w:t xml:space="preserve"> </w:t>
      </w:r>
    </w:p>
    <w:p w14:paraId="6DE5D64B" w14:textId="4F84C6DB" w:rsidR="008E02DE" w:rsidRDefault="008E02DE" w:rsidP="008E02DE">
      <w:pPr>
        <w:ind w:firstLine="709"/>
        <w:rPr>
          <w:bCs/>
          <w:i/>
        </w:rPr>
      </w:pPr>
      <w:r w:rsidRPr="008E02DE">
        <w:rPr>
          <w:bCs/>
          <w:i/>
        </w:rPr>
        <w:t>Techninėje specifikacijoje prie įrenginių pateiktos iliustracijos / nuotraukos. Prašome patikslinti, ar jos laikytinos informacinio pobūdžio pavyzdžiais, o tiekėjas gali siūlyti lygiaverčius įrenginius, atitinkančius techninėje specifikacijoje nurodytas funkcijas, amžiaus grupes, medžiagiškumą, kritimo aukščius ir saugos reikalavimus.</w:t>
      </w:r>
    </w:p>
    <w:p w14:paraId="33CD92E1" w14:textId="56A9AA07" w:rsidR="008E02DE" w:rsidRDefault="008E02DE" w:rsidP="008E02DE">
      <w:pPr>
        <w:ind w:firstLine="709"/>
        <w:rPr>
          <w:b/>
          <w:bCs/>
        </w:rPr>
      </w:pPr>
      <w:r w:rsidRPr="008E02DE">
        <w:rPr>
          <w:b/>
          <w:bCs/>
        </w:rPr>
        <w:t xml:space="preserve">Atsakymas </w:t>
      </w:r>
    </w:p>
    <w:p w14:paraId="45ECC574" w14:textId="4858E3B4" w:rsidR="008E02DE" w:rsidRPr="008E02DE" w:rsidRDefault="00B14070" w:rsidP="008E02DE">
      <w:pPr>
        <w:ind w:firstLine="709"/>
        <w:rPr>
          <w:b/>
          <w:bCs/>
        </w:rPr>
      </w:pPr>
      <w:r w:rsidRPr="00B14070">
        <w:rPr>
          <w:b/>
          <w:bCs/>
        </w:rPr>
        <w:t>Techninėje specifikacijoje prie įrenginių pateiktos iliustracijos / nuotraukos</w:t>
      </w:r>
      <w:r w:rsidR="00D21DC3">
        <w:rPr>
          <w:b/>
          <w:bCs/>
        </w:rPr>
        <w:t xml:space="preserve"> yra </w:t>
      </w:r>
      <w:r w:rsidRPr="00B14070">
        <w:rPr>
          <w:b/>
          <w:bCs/>
        </w:rPr>
        <w:t>informacinio pobūdžio pavyzdžiai</w:t>
      </w:r>
      <w:r w:rsidR="00D21DC3">
        <w:rPr>
          <w:b/>
          <w:bCs/>
        </w:rPr>
        <w:t>. T</w:t>
      </w:r>
      <w:r w:rsidRPr="00B14070">
        <w:rPr>
          <w:b/>
          <w:bCs/>
        </w:rPr>
        <w:t>iekėjas gali siūlyti lygiaverčius įrenginius, atitinkančius techninėje specifikacijoje nurodytas funkcijas, amžiaus grupes, medžiagiškumą, kritimo aukščius ir saugos reikalavimus.</w:t>
      </w:r>
    </w:p>
    <w:p w14:paraId="255AEDE3" w14:textId="77777777" w:rsidR="008E02DE" w:rsidRPr="008E02DE" w:rsidRDefault="008E02DE" w:rsidP="008E02DE">
      <w:pPr>
        <w:ind w:firstLine="709"/>
        <w:rPr>
          <w:b/>
          <w:bCs/>
        </w:rPr>
      </w:pPr>
    </w:p>
    <w:p w14:paraId="33793A22" w14:textId="77777777" w:rsidR="007B2B02" w:rsidRDefault="008E02DE" w:rsidP="008E02DE">
      <w:pPr>
        <w:ind w:firstLine="709"/>
        <w:rPr>
          <w:b/>
          <w:bCs/>
        </w:rPr>
      </w:pPr>
      <w:r w:rsidRPr="008E02DE">
        <w:rPr>
          <w:b/>
          <w:bCs/>
        </w:rPr>
        <w:t>2</w:t>
      </w:r>
      <w:r>
        <w:rPr>
          <w:b/>
          <w:bCs/>
        </w:rPr>
        <w:t xml:space="preserve"> klausimas</w:t>
      </w:r>
      <w:r w:rsidRPr="008E02DE">
        <w:rPr>
          <w:b/>
          <w:bCs/>
        </w:rPr>
        <w:t xml:space="preserve"> </w:t>
      </w:r>
      <w:r w:rsidR="007B2B02" w:rsidRPr="007B2B02">
        <w:rPr>
          <w:bCs/>
        </w:rPr>
        <w:t>(kalba netaisyta)</w:t>
      </w:r>
      <w:r w:rsidR="007B2B02">
        <w:rPr>
          <w:b/>
          <w:bCs/>
        </w:rPr>
        <w:t xml:space="preserve"> </w:t>
      </w:r>
    </w:p>
    <w:p w14:paraId="2C64F402" w14:textId="4CB7FC66" w:rsidR="008E02DE" w:rsidRDefault="008E02DE" w:rsidP="008E02DE">
      <w:pPr>
        <w:ind w:firstLine="709"/>
        <w:rPr>
          <w:bCs/>
          <w:i/>
        </w:rPr>
      </w:pPr>
      <w:r w:rsidRPr="007B2B02">
        <w:rPr>
          <w:bCs/>
          <w:i/>
        </w:rPr>
        <w:t>Techninėje specifikacijoje prie įrenginių nurodyti „minimalūs įrenginio matmenys“. Prašome patikslinti, ar šie matmenys yra privalomi minimalūs kiekvieno įrenginio gabaritai, ar gali būti siūlomi lygiaverčiai įrenginiai, kurių matmenys nežymiai skiriasi, tačiau jie atitinka nurodytą funkcionalumą, amžiaus grupę, saugos reikalavimus, kritimo aukščius ir LST EN 1176 / LST EN 1177 reikalavimus.</w:t>
      </w:r>
    </w:p>
    <w:p w14:paraId="495AAAEC" w14:textId="46D134B7" w:rsidR="007B2B02" w:rsidRDefault="007B2B02" w:rsidP="008E02DE">
      <w:pPr>
        <w:ind w:firstLine="709"/>
        <w:rPr>
          <w:b/>
          <w:bCs/>
        </w:rPr>
      </w:pPr>
      <w:r>
        <w:rPr>
          <w:b/>
          <w:bCs/>
        </w:rPr>
        <w:t>Atsakymas</w:t>
      </w:r>
    </w:p>
    <w:p w14:paraId="62E0230D" w14:textId="57260DB4" w:rsidR="007B2B02" w:rsidRPr="007B2B02" w:rsidRDefault="00D21DC3" w:rsidP="008E02DE">
      <w:pPr>
        <w:ind w:firstLine="709"/>
        <w:rPr>
          <w:b/>
          <w:bCs/>
        </w:rPr>
      </w:pPr>
      <w:r>
        <w:rPr>
          <w:b/>
          <w:bCs/>
        </w:rPr>
        <w:t>Įrenginiai privalo atitikti minimalius įrenginio matmenis</w:t>
      </w:r>
      <w:r w:rsidR="0070775D">
        <w:rPr>
          <w:b/>
          <w:bCs/>
        </w:rPr>
        <w:t xml:space="preserve">. </w:t>
      </w:r>
      <w:r>
        <w:rPr>
          <w:b/>
          <w:bCs/>
        </w:rPr>
        <w:t>G</w:t>
      </w:r>
      <w:r w:rsidRPr="00D21DC3">
        <w:rPr>
          <w:b/>
          <w:bCs/>
        </w:rPr>
        <w:t xml:space="preserve">ali būti siūlomi lygiaverčiai įrenginiai, kurių matmenys nežymiai skiriasi, </w:t>
      </w:r>
      <w:r w:rsidRPr="0070775D">
        <w:rPr>
          <w:b/>
          <w:bCs/>
          <w:u w:val="single"/>
        </w:rPr>
        <w:t>tačiau jie</w:t>
      </w:r>
      <w:r w:rsidR="0070775D" w:rsidRPr="0070775D">
        <w:rPr>
          <w:b/>
          <w:bCs/>
          <w:u w:val="single"/>
        </w:rPr>
        <w:t xml:space="preserve"> negali būti mažesni už minimalius matmenis</w:t>
      </w:r>
      <w:r w:rsidR="00FF77DE">
        <w:rPr>
          <w:b/>
          <w:bCs/>
        </w:rPr>
        <w:t>.</w:t>
      </w:r>
      <w:r>
        <w:rPr>
          <w:b/>
          <w:bCs/>
        </w:rPr>
        <w:t xml:space="preserve"> </w:t>
      </w:r>
    </w:p>
    <w:p w14:paraId="37F1C2B3" w14:textId="77777777" w:rsidR="008E02DE" w:rsidRPr="008E02DE" w:rsidRDefault="008E02DE" w:rsidP="008E02DE">
      <w:pPr>
        <w:ind w:firstLine="709"/>
        <w:rPr>
          <w:b/>
          <w:bCs/>
        </w:rPr>
      </w:pPr>
    </w:p>
    <w:p w14:paraId="60D64603" w14:textId="2926BE52" w:rsidR="007B2B02" w:rsidRPr="007B2B02" w:rsidRDefault="008E02DE" w:rsidP="008E02DE">
      <w:pPr>
        <w:ind w:firstLine="709"/>
        <w:rPr>
          <w:bCs/>
        </w:rPr>
      </w:pPr>
      <w:r w:rsidRPr="008E02DE">
        <w:rPr>
          <w:b/>
          <w:bCs/>
        </w:rPr>
        <w:t>3</w:t>
      </w:r>
      <w:r w:rsidR="007B2B02">
        <w:rPr>
          <w:b/>
          <w:bCs/>
        </w:rPr>
        <w:t xml:space="preserve"> klausimas </w:t>
      </w:r>
      <w:r w:rsidR="007B2B02">
        <w:rPr>
          <w:bCs/>
        </w:rPr>
        <w:t>(kalba netaisyta)</w:t>
      </w:r>
    </w:p>
    <w:p w14:paraId="50C71BED" w14:textId="4E6026B5" w:rsidR="008E02DE" w:rsidRDefault="008E02DE" w:rsidP="008E02DE">
      <w:pPr>
        <w:ind w:firstLine="709"/>
        <w:rPr>
          <w:bCs/>
          <w:i/>
        </w:rPr>
      </w:pPr>
      <w:r w:rsidRPr="007B2B02">
        <w:rPr>
          <w:bCs/>
          <w:i/>
        </w:rPr>
        <w:t>Techninėje specifikacijoje nurodyta, kad kiekvienoje aikštelėje turi būti įrengiama 100 m² liejamos guminės dangos, taip pat numatyti žaidimų įrenginiai ir integruotas žaidimas „Klasės“. Prašome patikslinti, kokiu pagrindu nustatytas 100 m² dangos plotas – ar perkančioji organizacija turi preliminarią įrenginių išdėstymo schemą su apskaičiuotomis saugos zonomis, ar šis plotas yra orientacinis kiekis, kurį tiekėjas turės tikslinti pagal pasirinktų įrenginių kritimo aukščius ir LST EN 1176 / LST EN 1177 reikalavimus. Jeigu preliminari schema yra parengta, prašome ją pateikti kartu su dangos ribomis, įrenginių vietomis ir saugos zonų kontūrais. Taip pat prašome patikslinti, ar galutinė aikštelės įrenginių išdėstymo schema, saugos zonos, dangos ribos, dangos spalvinis sprendinys ir žaidimo „Klasės“ vieta bei spalvos bus derinami su perkančiąja organizacija po sutarties sudarymo, prieš pradedant darbus.</w:t>
      </w:r>
    </w:p>
    <w:p w14:paraId="59B9BC34" w14:textId="69C0F9AE" w:rsidR="007B2B02" w:rsidRDefault="007B2B02" w:rsidP="008E02DE">
      <w:pPr>
        <w:ind w:firstLine="709"/>
        <w:rPr>
          <w:b/>
          <w:bCs/>
        </w:rPr>
      </w:pPr>
      <w:r>
        <w:rPr>
          <w:b/>
          <w:bCs/>
        </w:rPr>
        <w:t>Atsakymas</w:t>
      </w:r>
    </w:p>
    <w:p w14:paraId="4A49A381" w14:textId="38EB81C7" w:rsidR="00AB22A2" w:rsidRDefault="005D05FC" w:rsidP="008E02DE">
      <w:pPr>
        <w:ind w:firstLine="709"/>
        <w:rPr>
          <w:b/>
          <w:bCs/>
        </w:rPr>
      </w:pPr>
      <w:r w:rsidRPr="005D05FC">
        <w:rPr>
          <w:b/>
          <w:bCs/>
        </w:rPr>
        <w:t>100 m² liejamos guminės dangos plotas yra orientacinis kiekis, kurį tiekėjas turės tikslinti pagal pasirinktų įrenginių kritimo aukščius ir LST EN 1176 / LST EN 1177 reikalavimus</w:t>
      </w:r>
      <w:r>
        <w:rPr>
          <w:b/>
          <w:bCs/>
        </w:rPr>
        <w:t xml:space="preserve">. </w:t>
      </w:r>
      <w:r w:rsidRPr="005D05FC">
        <w:rPr>
          <w:b/>
          <w:bCs/>
        </w:rPr>
        <w:t xml:space="preserve"> </w:t>
      </w:r>
      <w:r w:rsidR="00B66E61" w:rsidRPr="00B66E61">
        <w:rPr>
          <w:b/>
          <w:bCs/>
        </w:rPr>
        <w:t>Specialiųjų pirkimo sąlygų 4 priedo „Techninė specifikacija“</w:t>
      </w:r>
      <w:r w:rsidR="00B66E61">
        <w:rPr>
          <w:b/>
          <w:bCs/>
        </w:rPr>
        <w:t xml:space="preserve"> 2.4.1. punkte nurodyta, kad d</w:t>
      </w:r>
      <w:r w:rsidR="00B66E61" w:rsidRPr="00B66E61">
        <w:rPr>
          <w:b/>
          <w:bCs/>
        </w:rPr>
        <w:t xml:space="preserve">arbų teikėjas privalo parengti ir prieš pradedant darbus suderinti su </w:t>
      </w:r>
      <w:r w:rsidR="00B66E61" w:rsidRPr="00B66E61">
        <w:rPr>
          <w:b/>
          <w:bCs/>
        </w:rPr>
        <w:lastRenderedPageBreak/>
        <w:t>Perkančiąja organizacija aikštelės įrengimo schemą, kurioje pateikti aikštelės matmenis, įrenginių išdėstymą, įrenginių matmenis, saugumo zonas aplink įrenginius, aiškiai nurodyti dangos plotą (-</w:t>
      </w:r>
      <w:proofErr w:type="spellStart"/>
      <w:r w:rsidR="00B66E61" w:rsidRPr="00B66E61">
        <w:rPr>
          <w:b/>
          <w:bCs/>
        </w:rPr>
        <w:t>us</w:t>
      </w:r>
      <w:proofErr w:type="spellEnd"/>
      <w:r w:rsidR="00B66E61" w:rsidRPr="00B66E61">
        <w:rPr>
          <w:b/>
          <w:bCs/>
        </w:rPr>
        <w:t>), tako matmenis ir plotą.</w:t>
      </w:r>
    </w:p>
    <w:p w14:paraId="01873735" w14:textId="77777777" w:rsidR="008E02DE" w:rsidRPr="008E02DE" w:rsidRDefault="008E02DE" w:rsidP="008E02DE">
      <w:pPr>
        <w:ind w:firstLine="709"/>
        <w:rPr>
          <w:b/>
          <w:bCs/>
        </w:rPr>
      </w:pPr>
    </w:p>
    <w:p w14:paraId="6F814706" w14:textId="367B0B20" w:rsidR="007B2B02" w:rsidRDefault="008E02DE" w:rsidP="008E02DE">
      <w:pPr>
        <w:ind w:firstLine="709"/>
        <w:rPr>
          <w:b/>
          <w:bCs/>
        </w:rPr>
      </w:pPr>
      <w:r w:rsidRPr="008E02DE">
        <w:rPr>
          <w:b/>
          <w:bCs/>
        </w:rPr>
        <w:t>4</w:t>
      </w:r>
      <w:r w:rsidR="007B2B02">
        <w:rPr>
          <w:b/>
          <w:bCs/>
        </w:rPr>
        <w:t xml:space="preserve"> klausimas </w:t>
      </w:r>
      <w:r w:rsidR="007B2B02">
        <w:rPr>
          <w:bCs/>
        </w:rPr>
        <w:t>(kalba netaisyta)</w:t>
      </w:r>
      <w:r w:rsidRPr="008E02DE">
        <w:rPr>
          <w:b/>
          <w:bCs/>
        </w:rPr>
        <w:t xml:space="preserve"> </w:t>
      </w:r>
    </w:p>
    <w:p w14:paraId="3B5D9324" w14:textId="2EAE4B08" w:rsidR="008E02DE" w:rsidRPr="007B2B02" w:rsidRDefault="008E02DE" w:rsidP="008E02DE">
      <w:pPr>
        <w:ind w:firstLine="709"/>
        <w:rPr>
          <w:bCs/>
          <w:i/>
        </w:rPr>
      </w:pPr>
      <w:r w:rsidRPr="007B2B02">
        <w:rPr>
          <w:bCs/>
          <w:i/>
        </w:rPr>
        <w:t>Techninėje specifikacijoje numatytas integruoto į liejamą dangą žaidimo „Klasės“ įrengimas, tačiau nenurodyti jo bendri matmenys. Prašome patikslinti, kokių bendrų matmenų turi būti žaidimas „Klasės“ ir ar jo galutinė vieta bei spalvinis sprendinys bus derinami su perkančiąja organizacija po sutarties sudarymo.</w:t>
      </w:r>
    </w:p>
    <w:p w14:paraId="0FE2B056" w14:textId="48A0B036" w:rsidR="008E02DE" w:rsidRDefault="007B2B02" w:rsidP="008E02DE">
      <w:pPr>
        <w:ind w:firstLine="709"/>
        <w:rPr>
          <w:b/>
          <w:bCs/>
        </w:rPr>
      </w:pPr>
      <w:r>
        <w:rPr>
          <w:b/>
          <w:bCs/>
        </w:rPr>
        <w:t xml:space="preserve">Atsakymas </w:t>
      </w:r>
    </w:p>
    <w:p w14:paraId="5794E62D" w14:textId="23C20C45" w:rsidR="007B2B02" w:rsidRPr="008E02DE" w:rsidRDefault="00AB22A2" w:rsidP="008E02DE">
      <w:pPr>
        <w:ind w:firstLine="709"/>
        <w:rPr>
          <w:b/>
          <w:bCs/>
        </w:rPr>
      </w:pPr>
      <w:r>
        <w:rPr>
          <w:b/>
          <w:bCs/>
        </w:rPr>
        <w:t>Ž</w:t>
      </w:r>
      <w:r w:rsidRPr="00AB22A2">
        <w:rPr>
          <w:b/>
          <w:bCs/>
        </w:rPr>
        <w:t>aidim</w:t>
      </w:r>
      <w:r>
        <w:rPr>
          <w:b/>
          <w:bCs/>
        </w:rPr>
        <w:t>o</w:t>
      </w:r>
      <w:r w:rsidRPr="00AB22A2">
        <w:rPr>
          <w:b/>
          <w:bCs/>
        </w:rPr>
        <w:t xml:space="preserve"> „Klasė“ galutinė vieta bei spalvinis sprendinys bus derinami su </w:t>
      </w:r>
      <w:r>
        <w:rPr>
          <w:b/>
          <w:bCs/>
        </w:rPr>
        <w:t>P</w:t>
      </w:r>
      <w:r w:rsidRPr="00AB22A2">
        <w:rPr>
          <w:b/>
          <w:bCs/>
        </w:rPr>
        <w:t>erkančiąja organizacija po sutarties sudarymo.</w:t>
      </w:r>
    </w:p>
    <w:p w14:paraId="408604AF" w14:textId="77777777" w:rsidR="007B2B02" w:rsidRDefault="007B2B02" w:rsidP="008E02DE">
      <w:pPr>
        <w:ind w:firstLine="709"/>
        <w:rPr>
          <w:b/>
          <w:bCs/>
        </w:rPr>
      </w:pPr>
    </w:p>
    <w:p w14:paraId="39CC9ECC" w14:textId="0B688CB7" w:rsidR="007B2B02" w:rsidRPr="007B2B02" w:rsidRDefault="008E02DE" w:rsidP="008E02DE">
      <w:pPr>
        <w:ind w:firstLine="709"/>
        <w:rPr>
          <w:bCs/>
        </w:rPr>
      </w:pPr>
      <w:r w:rsidRPr="008E02DE">
        <w:rPr>
          <w:b/>
          <w:bCs/>
        </w:rPr>
        <w:t>5</w:t>
      </w:r>
      <w:r w:rsidR="007B2B02">
        <w:rPr>
          <w:b/>
          <w:bCs/>
        </w:rPr>
        <w:t xml:space="preserve"> klausimas </w:t>
      </w:r>
      <w:r w:rsidR="007B2B02">
        <w:rPr>
          <w:bCs/>
        </w:rPr>
        <w:t>(kalba netaisyta)</w:t>
      </w:r>
    </w:p>
    <w:p w14:paraId="06939389" w14:textId="44EB07A5" w:rsidR="008E02DE" w:rsidRDefault="008E02DE" w:rsidP="008E02DE">
      <w:pPr>
        <w:ind w:firstLine="709"/>
        <w:rPr>
          <w:bCs/>
          <w:i/>
        </w:rPr>
      </w:pPr>
      <w:r w:rsidRPr="007B2B02">
        <w:rPr>
          <w:bCs/>
          <w:i/>
        </w:rPr>
        <w:t>Pirkimo dokumentuose nurodyta HN 131:2015 ir ankstesnės LST EN 1176 / LST EN 1177 standartų redakcijos. Prašome patikslinti, ar bus priimami įrenginių ir dangos atitikties dokumentai, parengti pagal pirkimo vykdymo metu galiojančias / aktualias HN 131 ir LST EN 1176 / LST EN 1177 standartų redakcijas.</w:t>
      </w:r>
    </w:p>
    <w:p w14:paraId="07912381" w14:textId="1A24BA9D" w:rsidR="007B2B02" w:rsidRPr="007B2B02" w:rsidRDefault="007B2B02" w:rsidP="008E02DE">
      <w:pPr>
        <w:ind w:firstLine="709"/>
        <w:rPr>
          <w:b/>
          <w:bCs/>
        </w:rPr>
      </w:pPr>
      <w:r w:rsidRPr="007B2B02">
        <w:rPr>
          <w:b/>
          <w:bCs/>
        </w:rPr>
        <w:t>Atsakymas</w:t>
      </w:r>
    </w:p>
    <w:p w14:paraId="0E17E58A" w14:textId="62BAC99E" w:rsidR="007B2B02" w:rsidRPr="00AB22A2" w:rsidRDefault="00AB22A2" w:rsidP="008E02DE">
      <w:pPr>
        <w:ind w:firstLine="709"/>
        <w:rPr>
          <w:b/>
          <w:bCs/>
        </w:rPr>
      </w:pPr>
      <w:r w:rsidRPr="00AB22A2">
        <w:rPr>
          <w:b/>
          <w:bCs/>
        </w:rPr>
        <w:t>Bus priimami įrenginių ir dangos atitikties dokumentai, parengti pagal pirkimo vykdymo metu galiojančias / aktualias HN 131 ir LST EN 1176 / LST EN 1177 standartų redakcijas.</w:t>
      </w:r>
    </w:p>
    <w:p w14:paraId="668F9C66" w14:textId="77777777" w:rsidR="008E02DE" w:rsidRPr="007B2B02" w:rsidRDefault="008E02DE" w:rsidP="008E02DE">
      <w:pPr>
        <w:ind w:firstLine="709"/>
        <w:rPr>
          <w:bCs/>
          <w:i/>
        </w:rPr>
      </w:pPr>
    </w:p>
    <w:p w14:paraId="7D1BFE35" w14:textId="488ED583" w:rsidR="007B2B02" w:rsidRPr="007B2B02" w:rsidRDefault="008E02DE" w:rsidP="008E02DE">
      <w:pPr>
        <w:ind w:firstLine="709"/>
        <w:rPr>
          <w:bCs/>
        </w:rPr>
      </w:pPr>
      <w:r w:rsidRPr="008E02DE">
        <w:rPr>
          <w:b/>
          <w:bCs/>
        </w:rPr>
        <w:t>6</w:t>
      </w:r>
      <w:r w:rsidR="007B2B02">
        <w:rPr>
          <w:b/>
          <w:bCs/>
        </w:rPr>
        <w:t xml:space="preserve"> klausimas </w:t>
      </w:r>
      <w:r w:rsidR="007B2B02">
        <w:rPr>
          <w:bCs/>
        </w:rPr>
        <w:t>(kalba netaisyta)</w:t>
      </w:r>
    </w:p>
    <w:p w14:paraId="2E6FE6A6" w14:textId="2AA1EA84" w:rsidR="008E02DE" w:rsidRDefault="008E02DE" w:rsidP="008E02DE">
      <w:pPr>
        <w:ind w:firstLine="709"/>
        <w:rPr>
          <w:bCs/>
          <w:i/>
        </w:rPr>
      </w:pPr>
      <w:r w:rsidRPr="007B2B02">
        <w:rPr>
          <w:bCs/>
          <w:i/>
        </w:rPr>
        <w:t>Specialiųjų pirkimo sąlygų 2.5 punkte nurodyta, kad bendra sutarties trukmė, apimanti darbų atlikimo terminą ir atsiskaitymo terminą, yra 3 mėnesiai nuo sutarties įsigaliojimo. Techninėje specifikacijoje taip pat nurodyta, kad prieš pasirašant perdavimo–priėmimo aktą turi būti pateikta A tipo kontrolės įstaigos kontrolės ataskaita arba sertifikatas. Prašome patikslinti, koks konkretus darbų atlikimo terminas bus taikomas rangovui, nuo kurio momento šis terminas bus skaičiuojamas – nuo sutarties įsigaliojimo, nuo darbų vietos perdavimo rangovui ar nuo aikštelės įrengimo schemos suderinimo su perkančiąja organizacija – ir kokie veiksmai turi būti atlikti iki šio termino pabaigos: ar tik faktinis montavimo / įrengimo darbų užbaigimas, ar taip pat A tipo kontrolės įstaigos patikra, dokumentų pateikimas ir perdavimo–priėmimo akto pasirašymas.</w:t>
      </w:r>
    </w:p>
    <w:p w14:paraId="20AEA152" w14:textId="1172ABF0" w:rsidR="007B2B02" w:rsidRDefault="007B2B02" w:rsidP="008E02DE">
      <w:pPr>
        <w:ind w:firstLine="709"/>
        <w:rPr>
          <w:b/>
          <w:bCs/>
        </w:rPr>
      </w:pPr>
      <w:r>
        <w:rPr>
          <w:b/>
          <w:bCs/>
        </w:rPr>
        <w:t>Atsakymas</w:t>
      </w:r>
    </w:p>
    <w:p w14:paraId="57A8912A" w14:textId="77777777" w:rsidR="004E34CB" w:rsidRDefault="004E34CB" w:rsidP="008E02DE">
      <w:pPr>
        <w:ind w:firstLine="709"/>
        <w:rPr>
          <w:b/>
          <w:bCs/>
        </w:rPr>
      </w:pPr>
      <w:r>
        <w:rPr>
          <w:b/>
          <w:bCs/>
        </w:rPr>
        <w:t>B</w:t>
      </w:r>
      <w:r w:rsidRPr="004E34CB">
        <w:rPr>
          <w:b/>
          <w:bCs/>
        </w:rPr>
        <w:t xml:space="preserve">endra sutarties trukmė, apimanti darbų atlikimo terminą ir atsiskaitymo terminą, yra 3 mėnesiai </w:t>
      </w:r>
      <w:r w:rsidRPr="004E34CB">
        <w:rPr>
          <w:b/>
          <w:bCs/>
          <w:u w:val="single"/>
        </w:rPr>
        <w:t>nuo sutarties įsigaliojimo</w:t>
      </w:r>
      <w:r>
        <w:rPr>
          <w:b/>
          <w:bCs/>
          <w:u w:val="single"/>
        </w:rPr>
        <w:t xml:space="preserve">. </w:t>
      </w:r>
      <w:r>
        <w:rPr>
          <w:b/>
          <w:bCs/>
        </w:rPr>
        <w:t xml:space="preserve"> Specialiųjų pirkimo sąlygų 4 priedo „Techninė specifikacija“ </w:t>
      </w:r>
      <w:r w:rsidRPr="004E34CB">
        <w:rPr>
          <w:b/>
          <w:bCs/>
        </w:rPr>
        <w:t>4.2.</w:t>
      </w:r>
      <w:r>
        <w:rPr>
          <w:b/>
          <w:bCs/>
        </w:rPr>
        <w:t xml:space="preserve"> punkte nurodyta, kad </w:t>
      </w:r>
      <w:r w:rsidRPr="004E34CB">
        <w:rPr>
          <w:b/>
          <w:bCs/>
        </w:rPr>
        <w:t xml:space="preserve"> Perkančioji organizacija už faktiškai suteiktus Darbus apmoka ne vėliau kaip per 30 (trisdešimt) kalendorinių dienų, Darbų teikėjui pateikus parengtus dokumentus, perdavimo ir priėmimo aktus bei sąskaitas faktūras.</w:t>
      </w:r>
      <w:r>
        <w:rPr>
          <w:b/>
          <w:bCs/>
        </w:rPr>
        <w:t xml:space="preserve"> </w:t>
      </w:r>
    </w:p>
    <w:p w14:paraId="773AD7AC" w14:textId="711F60BA" w:rsidR="007B2B02" w:rsidRPr="004E34CB" w:rsidRDefault="004E34CB" w:rsidP="008E02DE">
      <w:pPr>
        <w:ind w:firstLine="709"/>
        <w:rPr>
          <w:b/>
          <w:bCs/>
        </w:rPr>
      </w:pPr>
      <w:r>
        <w:rPr>
          <w:b/>
          <w:bCs/>
        </w:rPr>
        <w:t xml:space="preserve">Darbų atlikimo terminas yra 2 mėn., kuris skaičiuojamas </w:t>
      </w:r>
      <w:r w:rsidRPr="007C36EA">
        <w:rPr>
          <w:b/>
          <w:bCs/>
          <w:u w:val="single"/>
        </w:rPr>
        <w:t>nuo sutarties įsigaliojimo dienos</w:t>
      </w:r>
      <w:r>
        <w:rPr>
          <w:b/>
          <w:bCs/>
        </w:rPr>
        <w:t xml:space="preserve">, per šį terminą </w:t>
      </w:r>
      <w:r w:rsidRPr="004E34CB">
        <w:rPr>
          <w:b/>
          <w:bCs/>
        </w:rPr>
        <w:t xml:space="preserve">turi būti atlikti visi darbai ir pateikti reikalaujami dokumentai, įskaitant </w:t>
      </w:r>
      <w:r w:rsidR="00B66E61" w:rsidRPr="00B66E61">
        <w:rPr>
          <w:b/>
          <w:bCs/>
        </w:rPr>
        <w:t>taip pat A tipo kontrolės įstaigos patikr</w:t>
      </w:r>
      <w:r w:rsidR="005D05FC">
        <w:rPr>
          <w:b/>
          <w:bCs/>
        </w:rPr>
        <w:t>ą</w:t>
      </w:r>
      <w:r w:rsidR="00B66E61" w:rsidRPr="00B66E61">
        <w:rPr>
          <w:b/>
          <w:bCs/>
        </w:rPr>
        <w:t>, dokumentų pateikim</w:t>
      </w:r>
      <w:r w:rsidR="005D05FC">
        <w:rPr>
          <w:b/>
          <w:bCs/>
        </w:rPr>
        <w:t>ą</w:t>
      </w:r>
      <w:r w:rsidR="00B66E61" w:rsidRPr="00B66E61">
        <w:rPr>
          <w:b/>
          <w:bCs/>
        </w:rPr>
        <w:t xml:space="preserve"> ir perdavimo–priėmimo akto pasirašym</w:t>
      </w:r>
      <w:r w:rsidR="005D05FC">
        <w:rPr>
          <w:b/>
          <w:bCs/>
        </w:rPr>
        <w:t>ą</w:t>
      </w:r>
      <w:r w:rsidR="00B66E61" w:rsidRPr="00B66E61">
        <w:rPr>
          <w:b/>
          <w:bCs/>
        </w:rPr>
        <w:t>.</w:t>
      </w:r>
    </w:p>
    <w:p w14:paraId="15F02FDF" w14:textId="77777777" w:rsidR="008E02DE" w:rsidRPr="008E02DE" w:rsidRDefault="008E02DE" w:rsidP="008E02DE">
      <w:pPr>
        <w:ind w:firstLine="709"/>
        <w:rPr>
          <w:b/>
          <w:bCs/>
        </w:rPr>
      </w:pPr>
    </w:p>
    <w:p w14:paraId="4E90E7F6" w14:textId="77777777" w:rsidR="007B2B02" w:rsidRDefault="008E02DE" w:rsidP="008E02DE">
      <w:pPr>
        <w:ind w:firstLine="709"/>
        <w:rPr>
          <w:bCs/>
        </w:rPr>
      </w:pPr>
      <w:r w:rsidRPr="008E02DE">
        <w:rPr>
          <w:b/>
          <w:bCs/>
        </w:rPr>
        <w:t>7</w:t>
      </w:r>
      <w:r w:rsidR="007B2B02">
        <w:rPr>
          <w:b/>
          <w:bCs/>
        </w:rPr>
        <w:t xml:space="preserve"> klausimas </w:t>
      </w:r>
      <w:r w:rsidR="007B2B02">
        <w:rPr>
          <w:bCs/>
        </w:rPr>
        <w:t xml:space="preserve">(kalba netaisyta) </w:t>
      </w:r>
    </w:p>
    <w:p w14:paraId="5978EFB5" w14:textId="281F95D8" w:rsidR="008E02DE" w:rsidRDefault="008E02DE" w:rsidP="008E02DE">
      <w:pPr>
        <w:ind w:firstLine="709"/>
        <w:rPr>
          <w:bCs/>
          <w:i/>
        </w:rPr>
      </w:pPr>
      <w:r w:rsidRPr="007B2B02">
        <w:rPr>
          <w:bCs/>
          <w:i/>
        </w:rPr>
        <w:t>Atsižvelgiant į tai, kad tiekėjams būtina įvertinti įrenginių lygiavertiškumą, minimalių matmenų reikalavimus, saugos zonas, liejamos guminės dangos sprendinius, galiojančių standartų taikymą, A tipo kontrolės įstaigos patikros atlikimą ir darbų atlikimo terminą, prašome pratęsti pasiūlymų pateikimo terminą bent 5 darbo dienomis.</w:t>
      </w:r>
    </w:p>
    <w:p w14:paraId="248BED18" w14:textId="77777777" w:rsidR="005D05FC" w:rsidRDefault="005D05FC" w:rsidP="008E02DE">
      <w:pPr>
        <w:ind w:firstLine="709"/>
        <w:rPr>
          <w:b/>
          <w:bCs/>
        </w:rPr>
      </w:pPr>
    </w:p>
    <w:p w14:paraId="5EC45243" w14:textId="5BCEB894" w:rsidR="007B2B02" w:rsidRPr="007B2B02" w:rsidRDefault="007B2B02" w:rsidP="008E02DE">
      <w:pPr>
        <w:ind w:firstLine="709"/>
        <w:rPr>
          <w:b/>
          <w:bCs/>
        </w:rPr>
      </w:pPr>
      <w:r>
        <w:rPr>
          <w:b/>
          <w:bCs/>
        </w:rPr>
        <w:lastRenderedPageBreak/>
        <w:t>Atsakymas</w:t>
      </w:r>
    </w:p>
    <w:p w14:paraId="63041D2D" w14:textId="271377B4" w:rsidR="007B2B02" w:rsidRDefault="00B66E61" w:rsidP="008E02DE">
      <w:pPr>
        <w:ind w:firstLine="709"/>
        <w:rPr>
          <w:b/>
          <w:bCs/>
        </w:rPr>
      </w:pPr>
      <w:r w:rsidRPr="00AE6746">
        <w:rPr>
          <w:b/>
          <w:bCs/>
        </w:rPr>
        <w:t xml:space="preserve">Pasiūlymų pateikimo terminas pratęsiamas iki 2026 m. birželio 16 d. 10 val. </w:t>
      </w:r>
    </w:p>
    <w:p w14:paraId="30E400E5" w14:textId="77777777" w:rsidR="005D05FC" w:rsidRPr="00AE6746" w:rsidRDefault="005D05FC" w:rsidP="008E02DE">
      <w:pPr>
        <w:ind w:firstLine="709"/>
        <w:rPr>
          <w:b/>
          <w:bCs/>
        </w:rPr>
      </w:pPr>
    </w:p>
    <w:p w14:paraId="0BDD4323" w14:textId="5A99D7F0" w:rsidR="007B2B02" w:rsidRPr="007B2B02" w:rsidRDefault="00F56080" w:rsidP="008E02DE">
      <w:pPr>
        <w:ind w:firstLine="709"/>
        <w:rPr>
          <w:bCs/>
        </w:rPr>
      </w:pPr>
      <w:r>
        <w:rPr>
          <w:b/>
          <w:bCs/>
        </w:rPr>
        <w:t>8</w:t>
      </w:r>
      <w:r w:rsidR="007B2B02">
        <w:rPr>
          <w:b/>
          <w:bCs/>
        </w:rPr>
        <w:t xml:space="preserve"> klausimas </w:t>
      </w:r>
      <w:r w:rsidR="007B2B02">
        <w:rPr>
          <w:bCs/>
        </w:rPr>
        <w:t>(kalba netaisyta)</w:t>
      </w:r>
    </w:p>
    <w:p w14:paraId="35F98DC7" w14:textId="5AFE06D9" w:rsidR="00F56080" w:rsidRDefault="00F56080" w:rsidP="008E02DE">
      <w:pPr>
        <w:ind w:firstLine="709"/>
        <w:rPr>
          <w:bCs/>
          <w:i/>
        </w:rPr>
      </w:pPr>
      <w:r w:rsidRPr="007B2B02">
        <w:rPr>
          <w:bCs/>
          <w:i/>
        </w:rPr>
        <w:t>Prašome pateikti objektų, kuriuose bus montuojami vaikų žaidimų aikštelių įrenginiai, topo nuotraukas, kuriose matyti inžineriniai tinklai.</w:t>
      </w:r>
    </w:p>
    <w:p w14:paraId="5E59ABEA" w14:textId="45C3DF83" w:rsidR="007B2B02" w:rsidRDefault="007B2B02" w:rsidP="008E02DE">
      <w:pPr>
        <w:ind w:firstLine="709"/>
        <w:rPr>
          <w:b/>
          <w:bCs/>
        </w:rPr>
      </w:pPr>
      <w:r>
        <w:rPr>
          <w:b/>
          <w:bCs/>
        </w:rPr>
        <w:t>Atsakymas</w:t>
      </w:r>
    </w:p>
    <w:p w14:paraId="06628ADF" w14:textId="285AEAAA" w:rsidR="00AE6746" w:rsidRDefault="00AE6746" w:rsidP="008E02DE">
      <w:pPr>
        <w:ind w:firstLine="709"/>
        <w:rPr>
          <w:b/>
          <w:bCs/>
        </w:rPr>
      </w:pPr>
      <w:r>
        <w:rPr>
          <w:b/>
          <w:bCs/>
        </w:rPr>
        <w:t xml:space="preserve">Pridedama </w:t>
      </w:r>
      <w:r w:rsidR="00874DD1" w:rsidRPr="00874DD1">
        <w:rPr>
          <w:b/>
          <w:bCs/>
        </w:rPr>
        <w:t>I pirkimo objekto dali</w:t>
      </w:r>
      <w:r w:rsidR="00874DD1">
        <w:rPr>
          <w:b/>
          <w:bCs/>
        </w:rPr>
        <w:t>e</w:t>
      </w:r>
      <w:r w:rsidR="00874DD1" w:rsidRPr="00874DD1">
        <w:rPr>
          <w:b/>
          <w:bCs/>
        </w:rPr>
        <w:t>s</w:t>
      </w:r>
      <w:r w:rsidR="00874DD1">
        <w:rPr>
          <w:b/>
          <w:bCs/>
        </w:rPr>
        <w:t xml:space="preserve"> – </w:t>
      </w:r>
      <w:r w:rsidR="00874DD1" w:rsidRPr="00874DD1">
        <w:rPr>
          <w:b/>
          <w:bCs/>
        </w:rPr>
        <w:t>Vaikų žaidimų aikštelės įrengimo darbai daugiabučių namų kieme Jurbarke, Kęstučio g. 20</w:t>
      </w:r>
      <w:r w:rsidR="00874DD1">
        <w:rPr>
          <w:b/>
          <w:bCs/>
        </w:rPr>
        <w:t xml:space="preserve"> –  topo nuotrauka (atskiras PDF failas).</w:t>
      </w:r>
    </w:p>
    <w:p w14:paraId="3936B177" w14:textId="1A56FFCB" w:rsidR="00874DD1" w:rsidRDefault="00874DD1" w:rsidP="008E02DE">
      <w:pPr>
        <w:ind w:firstLine="709"/>
        <w:rPr>
          <w:b/>
          <w:bCs/>
        </w:rPr>
      </w:pPr>
      <w:r w:rsidRPr="00874DD1">
        <w:rPr>
          <w:b/>
          <w:bCs/>
        </w:rPr>
        <w:t>II pirkimo objekto dali</w:t>
      </w:r>
      <w:r>
        <w:rPr>
          <w:b/>
          <w:bCs/>
        </w:rPr>
        <w:t>e</w:t>
      </w:r>
      <w:r w:rsidRPr="00874DD1">
        <w:rPr>
          <w:b/>
          <w:bCs/>
        </w:rPr>
        <w:t>s</w:t>
      </w:r>
      <w:r>
        <w:rPr>
          <w:b/>
          <w:bCs/>
        </w:rPr>
        <w:t xml:space="preserve"> – </w:t>
      </w:r>
      <w:r w:rsidRPr="00874DD1">
        <w:rPr>
          <w:b/>
          <w:bCs/>
        </w:rPr>
        <w:t>Vaikų žaidimų aikštelės įrengimo darbai daugiabučių namų kieme Jurbarke, K. Donelaičio g. 72</w:t>
      </w:r>
      <w:r>
        <w:rPr>
          <w:b/>
          <w:bCs/>
        </w:rPr>
        <w:t xml:space="preserve"> – topo nuotraukos Perkančioji organizacija neturi ir nebus teikiama. </w:t>
      </w:r>
    </w:p>
    <w:p w14:paraId="5C8167E1" w14:textId="77777777" w:rsidR="007B2B02" w:rsidRPr="007B2B02" w:rsidRDefault="007B2B02" w:rsidP="008E02DE">
      <w:pPr>
        <w:ind w:firstLine="709"/>
        <w:rPr>
          <w:b/>
          <w:bCs/>
        </w:rPr>
      </w:pPr>
    </w:p>
    <w:p w14:paraId="209D9717" w14:textId="77777777" w:rsidR="00DC6431" w:rsidRDefault="00F56080" w:rsidP="008E02DE">
      <w:pPr>
        <w:ind w:firstLine="709"/>
        <w:rPr>
          <w:bCs/>
        </w:rPr>
      </w:pPr>
      <w:r>
        <w:rPr>
          <w:b/>
          <w:bCs/>
        </w:rPr>
        <w:t>9</w:t>
      </w:r>
      <w:r w:rsidR="007B2B02">
        <w:rPr>
          <w:b/>
          <w:bCs/>
        </w:rPr>
        <w:t xml:space="preserve"> klausimas </w:t>
      </w:r>
      <w:r w:rsidR="007B2B02">
        <w:rPr>
          <w:bCs/>
        </w:rPr>
        <w:t xml:space="preserve">(kalba netaisyta) </w:t>
      </w:r>
    </w:p>
    <w:p w14:paraId="0338772D" w14:textId="58BA0387" w:rsidR="00F56080" w:rsidRDefault="00F56080" w:rsidP="008E02DE">
      <w:pPr>
        <w:ind w:firstLine="709"/>
        <w:rPr>
          <w:bCs/>
        </w:rPr>
      </w:pPr>
      <w:r w:rsidRPr="00F56080">
        <w:t xml:space="preserve"> </w:t>
      </w:r>
      <w:r w:rsidRPr="00DC6431">
        <w:rPr>
          <w:bCs/>
        </w:rPr>
        <w:t>Patikslinkit darbų vykdymo terminą, niekur neradome.</w:t>
      </w:r>
    </w:p>
    <w:p w14:paraId="73263864" w14:textId="63F52DB1" w:rsidR="00DC6431" w:rsidRDefault="00DC6431" w:rsidP="008E02DE">
      <w:pPr>
        <w:ind w:firstLine="709"/>
        <w:rPr>
          <w:b/>
          <w:bCs/>
        </w:rPr>
      </w:pPr>
      <w:r>
        <w:rPr>
          <w:b/>
          <w:bCs/>
        </w:rPr>
        <w:t xml:space="preserve">Atsakymas </w:t>
      </w:r>
    </w:p>
    <w:p w14:paraId="75E743CD" w14:textId="77777777" w:rsidR="00874DD1" w:rsidRPr="00874DD1" w:rsidRDefault="00874DD1" w:rsidP="00874DD1">
      <w:pPr>
        <w:ind w:firstLine="709"/>
        <w:rPr>
          <w:b/>
          <w:bCs/>
        </w:rPr>
      </w:pPr>
      <w:r w:rsidRPr="00874DD1">
        <w:rPr>
          <w:b/>
          <w:bCs/>
        </w:rPr>
        <w:t xml:space="preserve">Bendra sutarties trukmė, apimanti darbų atlikimo terminą ir atsiskaitymo terminą, yra 3 mėnesiai nuo sutarties įsigaliojimo.  Specialiųjų pirkimo sąlygų 4 priedo „Techninė specifikacija“ 4.2. punkte nurodyta, kad  Perkančioji organizacija už faktiškai suteiktus Darbus apmoka ne vėliau kaip per 30 (trisdešimt) kalendorinių dienų, Darbų teikėjui pateikus parengtus dokumentus, perdavimo ir priėmimo aktus bei sąskaitas faktūras. </w:t>
      </w:r>
    </w:p>
    <w:p w14:paraId="4FE6BB2A" w14:textId="4859E4D3" w:rsidR="00DC6431" w:rsidRDefault="00874DD1" w:rsidP="00874DD1">
      <w:pPr>
        <w:ind w:firstLine="709"/>
        <w:rPr>
          <w:b/>
          <w:bCs/>
        </w:rPr>
      </w:pPr>
      <w:r w:rsidRPr="00874DD1">
        <w:rPr>
          <w:b/>
          <w:bCs/>
        </w:rPr>
        <w:t>Darbų atlikimo terminas yra 2 mėn., kuris skaičiuojamas nuo sutarties įsigaliojimo dienos, per šį terminą turi būti atlikti visi darbai ir pateikti reikalaujami dokumentai, įskaitant taip pat A tipo kontrolės įstaigos patikra, dokumentų pateikimas ir perdavimo–priėmimo akto pasirašymas.</w:t>
      </w:r>
    </w:p>
    <w:p w14:paraId="3BAC4380" w14:textId="5AA65EF7" w:rsidR="006435E5" w:rsidRDefault="006435E5" w:rsidP="00874DD1">
      <w:pPr>
        <w:ind w:firstLine="709"/>
        <w:rPr>
          <w:b/>
          <w:bCs/>
        </w:rPr>
      </w:pPr>
    </w:p>
    <w:p w14:paraId="3B95FEED" w14:textId="14D24010" w:rsidR="006435E5" w:rsidRDefault="006435E5" w:rsidP="00874DD1">
      <w:pPr>
        <w:ind w:firstLine="709"/>
        <w:rPr>
          <w:b/>
          <w:bCs/>
        </w:rPr>
      </w:pPr>
      <w:r>
        <w:rPr>
          <w:b/>
          <w:bCs/>
        </w:rPr>
        <w:t xml:space="preserve">Informuojame, kad Pirkimo pasiūlymų pateikimo terminas nukeliamas iš 2026 m. birželio </w:t>
      </w:r>
      <w:r w:rsidR="00C36D75">
        <w:rPr>
          <w:b/>
          <w:bCs/>
        </w:rPr>
        <w:t xml:space="preserve">10 d. 10 val. 00 min. į 2026 m. birželio 16 d. 10 val. 00 min. </w:t>
      </w:r>
    </w:p>
    <w:p w14:paraId="60F05A30" w14:textId="7FC0BC00" w:rsidR="000D6E22" w:rsidRDefault="000D6E22" w:rsidP="00874DD1">
      <w:pPr>
        <w:ind w:firstLine="709"/>
        <w:rPr>
          <w:b/>
          <w:bCs/>
        </w:rPr>
      </w:pPr>
    </w:p>
    <w:p w14:paraId="1FF940AA" w14:textId="6519CCCC" w:rsidR="000D6E22" w:rsidRPr="00DC6431" w:rsidRDefault="000D6E22" w:rsidP="00874DD1">
      <w:pPr>
        <w:ind w:firstLine="709"/>
        <w:rPr>
          <w:b/>
          <w:bCs/>
        </w:rPr>
      </w:pPr>
      <w:r>
        <w:rPr>
          <w:b/>
          <w:bCs/>
        </w:rPr>
        <w:t xml:space="preserve">Prašymų pateikti paaiškinimą terminas nukeliamas iki 2026 m. birželio 11 d.                            23 val. 45 min. </w:t>
      </w:r>
      <w:bookmarkStart w:id="0" w:name="_GoBack"/>
      <w:bookmarkEnd w:id="0"/>
    </w:p>
    <w:sectPr w:rsidR="000D6E22" w:rsidRPr="00DC6431" w:rsidSect="009E4000">
      <w:headerReference w:type="default" r:id="rId6"/>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46544" w14:textId="77777777" w:rsidR="00544254" w:rsidRDefault="00544254" w:rsidP="009E4000">
      <w:r>
        <w:separator/>
      </w:r>
    </w:p>
  </w:endnote>
  <w:endnote w:type="continuationSeparator" w:id="0">
    <w:p w14:paraId="582B1BE4" w14:textId="77777777" w:rsidR="00544254" w:rsidRDefault="00544254" w:rsidP="009E4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E0DAF" w14:textId="77777777" w:rsidR="00544254" w:rsidRDefault="00544254" w:rsidP="009E4000">
      <w:r>
        <w:separator/>
      </w:r>
    </w:p>
  </w:footnote>
  <w:footnote w:type="continuationSeparator" w:id="0">
    <w:p w14:paraId="2BABD460" w14:textId="77777777" w:rsidR="00544254" w:rsidRDefault="00544254" w:rsidP="009E4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36BBC" w14:textId="77777777" w:rsidR="009E4000" w:rsidRDefault="009E4000" w:rsidP="009E4000">
    <w:pPr>
      <w:pStyle w:val="Antrats"/>
      <w:jc w:val="center"/>
    </w:pPr>
    <w:r>
      <w:fldChar w:fldCharType="begin"/>
    </w:r>
    <w:r>
      <w:instrText xml:space="preserve"> PAGE   \* MERGEFORMAT </w:instrText>
    </w:r>
    <w:r>
      <w:fldChar w:fldCharType="separate"/>
    </w:r>
    <w:r w:rsidR="0015017C">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95D"/>
    <w:rsid w:val="00056F11"/>
    <w:rsid w:val="000C63F4"/>
    <w:rsid w:val="000D6E22"/>
    <w:rsid w:val="000E485C"/>
    <w:rsid w:val="00100897"/>
    <w:rsid w:val="001020C7"/>
    <w:rsid w:val="00135388"/>
    <w:rsid w:val="0015017C"/>
    <w:rsid w:val="001609F5"/>
    <w:rsid w:val="00192787"/>
    <w:rsid w:val="001A7723"/>
    <w:rsid w:val="00234048"/>
    <w:rsid w:val="0025207F"/>
    <w:rsid w:val="00257D40"/>
    <w:rsid w:val="002823D1"/>
    <w:rsid w:val="002B08E9"/>
    <w:rsid w:val="002C71B6"/>
    <w:rsid w:val="00394801"/>
    <w:rsid w:val="003C210D"/>
    <w:rsid w:val="0040395D"/>
    <w:rsid w:val="004229F3"/>
    <w:rsid w:val="004651A6"/>
    <w:rsid w:val="004B7398"/>
    <w:rsid w:val="004D7E47"/>
    <w:rsid w:val="004E34CB"/>
    <w:rsid w:val="004F72BD"/>
    <w:rsid w:val="00544254"/>
    <w:rsid w:val="005B1EB5"/>
    <w:rsid w:val="005C1F9E"/>
    <w:rsid w:val="005D05FC"/>
    <w:rsid w:val="005D4219"/>
    <w:rsid w:val="005F6383"/>
    <w:rsid w:val="00620198"/>
    <w:rsid w:val="00636609"/>
    <w:rsid w:val="006435E5"/>
    <w:rsid w:val="006B1C7B"/>
    <w:rsid w:val="006E4171"/>
    <w:rsid w:val="006F5D3E"/>
    <w:rsid w:val="0070775D"/>
    <w:rsid w:val="00763502"/>
    <w:rsid w:val="007B2B02"/>
    <w:rsid w:val="007C36EA"/>
    <w:rsid w:val="008171C6"/>
    <w:rsid w:val="00866E65"/>
    <w:rsid w:val="00874DD1"/>
    <w:rsid w:val="00876E73"/>
    <w:rsid w:val="0089509E"/>
    <w:rsid w:val="00897E89"/>
    <w:rsid w:val="008A78F8"/>
    <w:rsid w:val="008C0277"/>
    <w:rsid w:val="008D0A7A"/>
    <w:rsid w:val="008E02DE"/>
    <w:rsid w:val="009209F1"/>
    <w:rsid w:val="0094622B"/>
    <w:rsid w:val="00975382"/>
    <w:rsid w:val="009E16CE"/>
    <w:rsid w:val="009E4000"/>
    <w:rsid w:val="00A05B28"/>
    <w:rsid w:val="00A33F9E"/>
    <w:rsid w:val="00A507CE"/>
    <w:rsid w:val="00A93123"/>
    <w:rsid w:val="00AB22A2"/>
    <w:rsid w:val="00AE6746"/>
    <w:rsid w:val="00B14070"/>
    <w:rsid w:val="00B64AA3"/>
    <w:rsid w:val="00B66E61"/>
    <w:rsid w:val="00B71504"/>
    <w:rsid w:val="00BC2652"/>
    <w:rsid w:val="00BC51A5"/>
    <w:rsid w:val="00C36D75"/>
    <w:rsid w:val="00C731BA"/>
    <w:rsid w:val="00CC0F77"/>
    <w:rsid w:val="00CF4E85"/>
    <w:rsid w:val="00D21DC3"/>
    <w:rsid w:val="00D625D8"/>
    <w:rsid w:val="00D6442B"/>
    <w:rsid w:val="00D710DE"/>
    <w:rsid w:val="00DA6273"/>
    <w:rsid w:val="00DC6431"/>
    <w:rsid w:val="00DD1931"/>
    <w:rsid w:val="00DE41C2"/>
    <w:rsid w:val="00E03EE2"/>
    <w:rsid w:val="00E449D3"/>
    <w:rsid w:val="00E62042"/>
    <w:rsid w:val="00E7526C"/>
    <w:rsid w:val="00EA32E9"/>
    <w:rsid w:val="00EF11E1"/>
    <w:rsid w:val="00F465DD"/>
    <w:rsid w:val="00F56080"/>
    <w:rsid w:val="00FC1BA1"/>
    <w:rsid w:val="00FE35FA"/>
    <w:rsid w:val="00FF77D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55C0C"/>
  <w15:chartTrackingRefBased/>
  <w15:docId w15:val="{4A33BC85-3834-47C4-BF0F-FC3B36916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E4000"/>
    <w:pPr>
      <w:jc w:val="both"/>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E4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E4000"/>
    <w:pPr>
      <w:ind w:left="720"/>
      <w:contextualSpacing/>
    </w:pPr>
  </w:style>
  <w:style w:type="paragraph" w:styleId="Antrats">
    <w:name w:val="header"/>
    <w:basedOn w:val="prastasis"/>
    <w:link w:val="AntratsDiagrama"/>
    <w:uiPriority w:val="99"/>
    <w:unhideWhenUsed/>
    <w:rsid w:val="009E4000"/>
    <w:pPr>
      <w:tabs>
        <w:tab w:val="center" w:pos="4819"/>
        <w:tab w:val="right" w:pos="9638"/>
      </w:tabs>
    </w:pPr>
  </w:style>
  <w:style w:type="character" w:customStyle="1" w:styleId="AntratsDiagrama">
    <w:name w:val="Antraštės Diagrama"/>
    <w:basedOn w:val="Numatytasispastraiposriftas"/>
    <w:link w:val="Antrats"/>
    <w:uiPriority w:val="99"/>
    <w:rsid w:val="009E4000"/>
  </w:style>
  <w:style w:type="paragraph" w:styleId="Porat">
    <w:name w:val="footer"/>
    <w:basedOn w:val="prastasis"/>
    <w:link w:val="PoratDiagrama"/>
    <w:uiPriority w:val="99"/>
    <w:unhideWhenUsed/>
    <w:rsid w:val="009E4000"/>
    <w:pPr>
      <w:tabs>
        <w:tab w:val="center" w:pos="4819"/>
        <w:tab w:val="right" w:pos="9638"/>
      </w:tabs>
    </w:pPr>
  </w:style>
  <w:style w:type="character" w:customStyle="1" w:styleId="PoratDiagrama">
    <w:name w:val="Poraštė Diagrama"/>
    <w:basedOn w:val="Numatytasispastraiposriftas"/>
    <w:link w:val="Porat"/>
    <w:uiPriority w:val="99"/>
    <w:rsid w:val="009E4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521286">
      <w:bodyDiv w:val="1"/>
      <w:marLeft w:val="0"/>
      <w:marRight w:val="0"/>
      <w:marTop w:val="0"/>
      <w:marBottom w:val="0"/>
      <w:divBdr>
        <w:top w:val="none" w:sz="0" w:space="0" w:color="auto"/>
        <w:left w:val="none" w:sz="0" w:space="0" w:color="auto"/>
        <w:bottom w:val="none" w:sz="0" w:space="0" w:color="auto"/>
        <w:right w:val="none" w:sz="0" w:space="0" w:color="auto"/>
      </w:divBdr>
      <w:divsChild>
        <w:div w:id="121192708">
          <w:marLeft w:val="0"/>
          <w:marRight w:val="0"/>
          <w:marTop w:val="0"/>
          <w:marBottom w:val="0"/>
          <w:divBdr>
            <w:top w:val="none" w:sz="0" w:space="0" w:color="auto"/>
            <w:left w:val="none" w:sz="0" w:space="0" w:color="auto"/>
            <w:bottom w:val="none" w:sz="0" w:space="0" w:color="auto"/>
            <w:right w:val="none" w:sz="0" w:space="0" w:color="auto"/>
          </w:divBdr>
        </w:div>
        <w:div w:id="1525433975">
          <w:marLeft w:val="0"/>
          <w:marRight w:val="0"/>
          <w:marTop w:val="0"/>
          <w:marBottom w:val="0"/>
          <w:divBdr>
            <w:top w:val="none" w:sz="0" w:space="0" w:color="auto"/>
            <w:left w:val="none" w:sz="0" w:space="0" w:color="auto"/>
            <w:bottom w:val="none" w:sz="0" w:space="0" w:color="auto"/>
            <w:right w:val="none" w:sz="0" w:space="0" w:color="auto"/>
          </w:divBdr>
        </w:div>
        <w:div w:id="1737975505">
          <w:marLeft w:val="0"/>
          <w:marRight w:val="0"/>
          <w:marTop w:val="0"/>
          <w:marBottom w:val="0"/>
          <w:divBdr>
            <w:top w:val="none" w:sz="0" w:space="0" w:color="auto"/>
            <w:left w:val="none" w:sz="0" w:space="0" w:color="auto"/>
            <w:bottom w:val="none" w:sz="0" w:space="0" w:color="auto"/>
            <w:right w:val="none" w:sz="0" w:space="0" w:color="auto"/>
          </w:divBdr>
        </w:div>
        <w:div w:id="360134925">
          <w:marLeft w:val="0"/>
          <w:marRight w:val="0"/>
          <w:marTop w:val="0"/>
          <w:marBottom w:val="0"/>
          <w:divBdr>
            <w:top w:val="none" w:sz="0" w:space="0" w:color="auto"/>
            <w:left w:val="none" w:sz="0" w:space="0" w:color="auto"/>
            <w:bottom w:val="none" w:sz="0" w:space="0" w:color="auto"/>
            <w:right w:val="none" w:sz="0" w:space="0" w:color="auto"/>
          </w:divBdr>
        </w:div>
        <w:div w:id="862405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PV%20DOKUMENTAI\1_Formalus_dokumentai\11_Sablonai\01_viesuju_pirkimu_dokumentai\02_pirkimo_vykdymas\VP_klausimai_atsakymai_rast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VP_klausimai_atsakymai_rastas</Template>
  <TotalTime>21</TotalTime>
  <Pages>3</Pages>
  <Words>5176</Words>
  <Characters>2951</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Sutkaitiene</dc:creator>
  <cp:keywords/>
  <cp:lastModifiedBy>Milda Unguraitytė Teis</cp:lastModifiedBy>
  <cp:revision>6</cp:revision>
  <dcterms:created xsi:type="dcterms:W3CDTF">2026-06-08T12:04:00Z</dcterms:created>
  <dcterms:modified xsi:type="dcterms:W3CDTF">2026-06-08T12:57:00Z</dcterms:modified>
  <cp:contentStatus/>
</cp:coreProperties>
</file>