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265F" w14:textId="715AC2DB" w:rsidR="00C4494E" w:rsidRPr="00FA5FFF" w:rsidRDefault="00C4494E" w:rsidP="00365578">
      <w:pPr>
        <w:spacing w:before="100" w:beforeAutospacing="1" w:after="100" w:afterAutospacing="1"/>
        <w:jc w:val="center"/>
        <w:rPr>
          <w:rFonts w:eastAsia="Times New Roman" w:cstheme="minorHAnsi"/>
        </w:rPr>
      </w:pPr>
      <w:r w:rsidRPr="00FA5FFF">
        <w:rPr>
          <w:rFonts w:eastAsia="Times New Roman" w:cstheme="minorHAnsi"/>
          <w:b/>
          <w:bCs/>
        </w:rPr>
        <w:t>PREKIŲ TECHNINĖ SPECIFIKACIJA</w:t>
      </w:r>
    </w:p>
    <w:p w14:paraId="75E9FC8D" w14:textId="5A7F31D0" w:rsidR="00C4494E" w:rsidRPr="00FA5FFF" w:rsidRDefault="00C4494E" w:rsidP="00992F5C">
      <w:pPr>
        <w:pStyle w:val="Sraopastraipa"/>
        <w:numPr>
          <w:ilvl w:val="0"/>
          <w:numId w:val="1"/>
        </w:numPr>
        <w:tabs>
          <w:tab w:val="left" w:pos="993"/>
        </w:tabs>
        <w:spacing w:before="100" w:beforeAutospacing="1" w:after="100" w:afterAutospacing="1"/>
        <w:ind w:hanging="11"/>
        <w:jc w:val="both"/>
        <w:rPr>
          <w:rFonts w:eastAsia="Times New Roman" w:cstheme="minorHAnsi"/>
        </w:rPr>
      </w:pPr>
      <w:r w:rsidRPr="00FA5FFF">
        <w:rPr>
          <w:rFonts w:eastAsia="Times New Roman" w:cstheme="minorHAnsi"/>
        </w:rPr>
        <w:t xml:space="preserve">2x500 lapų popieriaus padavimo blokai su ratukais skirti daugiafunkciniams spausdintuvams </w:t>
      </w:r>
      <w:r w:rsidR="000824B6" w:rsidRPr="00FA5FFF">
        <w:rPr>
          <w:rFonts w:eastAsia="Times New Roman" w:cstheme="minorHAnsi"/>
        </w:rPr>
        <w:t xml:space="preserve">TA </w:t>
      </w:r>
      <w:r w:rsidRPr="00FA5FFF">
        <w:rPr>
          <w:rFonts w:eastAsia="Times New Roman" w:cstheme="minorHAnsi"/>
        </w:rPr>
        <w:t xml:space="preserve">Triumph Adler 4063i MFP, </w:t>
      </w:r>
      <w:r w:rsidR="000824B6" w:rsidRPr="00FA5FFF">
        <w:rPr>
          <w:rFonts w:eastAsia="Times New Roman" w:cstheme="minorHAnsi"/>
        </w:rPr>
        <w:t>61</w:t>
      </w:r>
      <w:r w:rsidRPr="00FA5FFF">
        <w:rPr>
          <w:rFonts w:eastAsia="Times New Roman" w:cstheme="minorHAnsi"/>
        </w:rPr>
        <w:t xml:space="preserve"> vnt. </w:t>
      </w:r>
      <w:r w:rsidR="000824B6" w:rsidRPr="00FA5FFF">
        <w:rPr>
          <w:rFonts w:eastAsia="Times New Roman" w:cstheme="minorHAnsi"/>
        </w:rPr>
        <w:t xml:space="preserve">su pristatymu ir paruošimu darbui. </w:t>
      </w:r>
    </w:p>
    <w:tbl>
      <w:tblPr>
        <w:tblStyle w:val="Lentelstinklelis"/>
        <w:tblW w:w="9350" w:type="dxa"/>
        <w:tblLook w:val="04A0" w:firstRow="1" w:lastRow="0" w:firstColumn="1" w:lastColumn="0" w:noHBand="0" w:noVBand="1"/>
      </w:tblPr>
      <w:tblGrid>
        <w:gridCol w:w="562"/>
        <w:gridCol w:w="2126"/>
        <w:gridCol w:w="3685"/>
        <w:gridCol w:w="2977"/>
      </w:tblGrid>
      <w:tr w:rsidR="00C4494E" w:rsidRPr="00FA5FFF" w14:paraId="1CE8EA85" w14:textId="77777777" w:rsidTr="00271BEE">
        <w:tc>
          <w:tcPr>
            <w:tcW w:w="562" w:type="dxa"/>
          </w:tcPr>
          <w:p w14:paraId="6E17E4FF" w14:textId="3F06E6BC"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Eil. Nr.</w:t>
            </w:r>
          </w:p>
        </w:tc>
        <w:tc>
          <w:tcPr>
            <w:tcW w:w="2126" w:type="dxa"/>
          </w:tcPr>
          <w:p w14:paraId="25B8ED8B" w14:textId="2761D281"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Rodiklis</w:t>
            </w:r>
          </w:p>
        </w:tc>
        <w:tc>
          <w:tcPr>
            <w:tcW w:w="3685" w:type="dxa"/>
          </w:tcPr>
          <w:p w14:paraId="427DBE58" w14:textId="6411B47A"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Reikalaujama rodiklio reikšmė</w:t>
            </w:r>
          </w:p>
        </w:tc>
        <w:tc>
          <w:tcPr>
            <w:tcW w:w="2977" w:type="dxa"/>
          </w:tcPr>
          <w:p w14:paraId="6CFC0F6E" w14:textId="542A55BA"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Tiekėjo siūlomų prekių techninės charakteristikos</w:t>
            </w:r>
          </w:p>
        </w:tc>
      </w:tr>
      <w:tr w:rsidR="00C4494E" w:rsidRPr="00FA5FFF" w14:paraId="670CDA0E" w14:textId="77777777" w:rsidTr="00271BEE">
        <w:tc>
          <w:tcPr>
            <w:tcW w:w="562" w:type="dxa"/>
          </w:tcPr>
          <w:p w14:paraId="2E79B806" w14:textId="668B3F42"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1</w:t>
            </w:r>
          </w:p>
        </w:tc>
        <w:tc>
          <w:tcPr>
            <w:tcW w:w="2126" w:type="dxa"/>
          </w:tcPr>
          <w:p w14:paraId="0E959181" w14:textId="320545E8"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Talpa</w:t>
            </w:r>
          </w:p>
        </w:tc>
        <w:tc>
          <w:tcPr>
            <w:tcW w:w="3685" w:type="dxa"/>
          </w:tcPr>
          <w:p w14:paraId="1AFBB4BE" w14:textId="66E21A6C"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Ne mažesnė nei 2x 500 lapų A4</w:t>
            </w:r>
          </w:p>
        </w:tc>
        <w:tc>
          <w:tcPr>
            <w:tcW w:w="2977" w:type="dxa"/>
          </w:tcPr>
          <w:p w14:paraId="45519D50" w14:textId="77777777" w:rsidR="00C4494E" w:rsidRPr="00FA5FFF" w:rsidRDefault="00C4494E" w:rsidP="00C4494E">
            <w:pPr>
              <w:spacing w:before="100" w:beforeAutospacing="1" w:after="100" w:afterAutospacing="1"/>
              <w:rPr>
                <w:rFonts w:eastAsia="Times New Roman" w:cstheme="minorHAnsi"/>
              </w:rPr>
            </w:pPr>
          </w:p>
        </w:tc>
      </w:tr>
      <w:tr w:rsidR="00C4494E" w:rsidRPr="00FA5FFF" w14:paraId="6DD4E90C" w14:textId="77777777" w:rsidTr="00271BEE">
        <w:tc>
          <w:tcPr>
            <w:tcW w:w="562" w:type="dxa"/>
          </w:tcPr>
          <w:p w14:paraId="73163CAD" w14:textId="0706A697"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2</w:t>
            </w:r>
          </w:p>
        </w:tc>
        <w:tc>
          <w:tcPr>
            <w:tcW w:w="2126" w:type="dxa"/>
          </w:tcPr>
          <w:p w14:paraId="3722A0C6" w14:textId="4CBDC9B9"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Dokumento dydis</w:t>
            </w:r>
          </w:p>
        </w:tc>
        <w:tc>
          <w:tcPr>
            <w:tcW w:w="3685" w:type="dxa"/>
          </w:tcPr>
          <w:p w14:paraId="467EA35F" w14:textId="65571D35"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A5R – A3</w:t>
            </w:r>
          </w:p>
        </w:tc>
        <w:tc>
          <w:tcPr>
            <w:tcW w:w="2977" w:type="dxa"/>
          </w:tcPr>
          <w:p w14:paraId="034E4C61" w14:textId="77777777" w:rsidR="00C4494E" w:rsidRPr="00FA5FFF" w:rsidRDefault="00C4494E" w:rsidP="00C4494E">
            <w:pPr>
              <w:spacing w:before="100" w:beforeAutospacing="1" w:after="100" w:afterAutospacing="1"/>
              <w:rPr>
                <w:rFonts w:eastAsia="Times New Roman" w:cstheme="minorHAnsi"/>
              </w:rPr>
            </w:pPr>
          </w:p>
        </w:tc>
      </w:tr>
      <w:tr w:rsidR="00C4494E" w:rsidRPr="00FA5FFF" w14:paraId="3CD6727B" w14:textId="77777777" w:rsidTr="00271BEE">
        <w:tc>
          <w:tcPr>
            <w:tcW w:w="562" w:type="dxa"/>
          </w:tcPr>
          <w:p w14:paraId="1BFD59F7" w14:textId="253199A4"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3</w:t>
            </w:r>
          </w:p>
        </w:tc>
        <w:tc>
          <w:tcPr>
            <w:tcW w:w="2126" w:type="dxa"/>
          </w:tcPr>
          <w:p w14:paraId="617112CC" w14:textId="41762151"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Matmenys</w:t>
            </w:r>
          </w:p>
        </w:tc>
        <w:tc>
          <w:tcPr>
            <w:tcW w:w="3685" w:type="dxa"/>
          </w:tcPr>
          <w:p w14:paraId="49EB138B" w14:textId="1F9EC88D"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Ne didesni nei 590 x 590 x 340 mm</w:t>
            </w:r>
          </w:p>
        </w:tc>
        <w:tc>
          <w:tcPr>
            <w:tcW w:w="2977" w:type="dxa"/>
          </w:tcPr>
          <w:p w14:paraId="5A59A9DD" w14:textId="77777777" w:rsidR="00C4494E" w:rsidRPr="00FA5FFF" w:rsidRDefault="00C4494E" w:rsidP="00C4494E">
            <w:pPr>
              <w:spacing w:before="100" w:beforeAutospacing="1" w:after="100" w:afterAutospacing="1"/>
              <w:rPr>
                <w:rFonts w:eastAsia="Times New Roman" w:cstheme="minorHAnsi"/>
              </w:rPr>
            </w:pPr>
          </w:p>
        </w:tc>
      </w:tr>
      <w:tr w:rsidR="00C4494E" w:rsidRPr="00FA5FFF" w14:paraId="21CC27F8" w14:textId="77777777" w:rsidTr="00271BEE">
        <w:tc>
          <w:tcPr>
            <w:tcW w:w="562" w:type="dxa"/>
          </w:tcPr>
          <w:p w14:paraId="09F2A171" w14:textId="7ADFF78D"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4</w:t>
            </w:r>
          </w:p>
        </w:tc>
        <w:tc>
          <w:tcPr>
            <w:tcW w:w="2126" w:type="dxa"/>
          </w:tcPr>
          <w:p w14:paraId="3C282DD7" w14:textId="0C991A76"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Dokumento storis</w:t>
            </w:r>
          </w:p>
        </w:tc>
        <w:tc>
          <w:tcPr>
            <w:tcW w:w="3685" w:type="dxa"/>
          </w:tcPr>
          <w:p w14:paraId="6C735703" w14:textId="089D08B1" w:rsidR="00C4494E" w:rsidRPr="00FA5FFF" w:rsidRDefault="00C4494E" w:rsidP="00C4494E">
            <w:pPr>
              <w:spacing w:before="100" w:beforeAutospacing="1" w:after="100" w:afterAutospacing="1"/>
              <w:rPr>
                <w:rFonts w:eastAsia="Times New Roman" w:cstheme="minorHAnsi"/>
              </w:rPr>
            </w:pPr>
            <w:r w:rsidRPr="00FA5FFF">
              <w:rPr>
                <w:rFonts w:eastAsia="Times New Roman" w:cstheme="minorHAnsi"/>
              </w:rPr>
              <w:t>60- 256 g/m2</w:t>
            </w:r>
          </w:p>
        </w:tc>
        <w:tc>
          <w:tcPr>
            <w:tcW w:w="2977" w:type="dxa"/>
          </w:tcPr>
          <w:p w14:paraId="1FDDF9FD" w14:textId="77777777" w:rsidR="00C4494E" w:rsidRPr="00FA5FFF" w:rsidRDefault="00C4494E" w:rsidP="00C4494E">
            <w:pPr>
              <w:spacing w:before="100" w:beforeAutospacing="1" w:after="100" w:afterAutospacing="1"/>
              <w:rPr>
                <w:rFonts w:eastAsia="Times New Roman" w:cstheme="minorHAnsi"/>
              </w:rPr>
            </w:pPr>
          </w:p>
        </w:tc>
      </w:tr>
    </w:tbl>
    <w:p w14:paraId="4597E6D9" w14:textId="77777777" w:rsidR="00271BEE" w:rsidRPr="00FA5FFF" w:rsidRDefault="00271BEE" w:rsidP="00992F5C">
      <w:pPr>
        <w:ind w:firstLine="720"/>
        <w:jc w:val="both"/>
        <w:rPr>
          <w:rFonts w:eastAsia="Times New Roman" w:cstheme="minorHAnsi"/>
        </w:rPr>
      </w:pPr>
    </w:p>
    <w:p w14:paraId="1BC5BF74" w14:textId="13E4A4ED" w:rsidR="00C4494E" w:rsidRPr="00FA5FFF" w:rsidRDefault="00C4494E" w:rsidP="00992F5C">
      <w:pPr>
        <w:ind w:firstLine="720"/>
        <w:jc w:val="both"/>
        <w:rPr>
          <w:rFonts w:eastAsia="Times New Roman" w:cstheme="minorHAnsi"/>
        </w:rPr>
      </w:pPr>
      <w:r w:rsidRPr="00FA5FFF">
        <w:rPr>
          <w:rFonts w:eastAsia="Times New Roman" w:cstheme="minorHAnsi"/>
        </w:rPr>
        <w:t xml:space="preserve">2. Vadovaujantis Aplinkos apsaugos </w:t>
      </w:r>
      <w:r w:rsidR="0001319C" w:rsidRPr="00FA5FFF">
        <w:rPr>
          <w:rFonts w:eastAsia="Times New Roman" w:cstheme="minorHAnsi"/>
        </w:rPr>
        <w:t>kriterijų</w:t>
      </w:r>
      <w:r w:rsidRPr="00FA5FFF">
        <w:rPr>
          <w:rFonts w:eastAsia="Times New Roman" w:cstheme="minorHAnsi"/>
        </w:rPr>
        <w:t xml:space="preserve">̨ taikymo, vykdant </w:t>
      </w:r>
      <w:r w:rsidR="0001319C" w:rsidRPr="00FA5FFF">
        <w:rPr>
          <w:rFonts w:eastAsia="Times New Roman" w:cstheme="minorHAnsi"/>
        </w:rPr>
        <w:t>žaliuosius</w:t>
      </w:r>
      <w:r w:rsidRPr="00FA5FFF">
        <w:rPr>
          <w:rFonts w:eastAsia="Times New Roman" w:cstheme="minorHAnsi"/>
        </w:rPr>
        <w:t xml:space="preserve"> pirkimus, tvarkos </w:t>
      </w:r>
      <w:r w:rsidR="00254B51" w:rsidRPr="00FA5FFF">
        <w:rPr>
          <w:rFonts w:eastAsia="Times New Roman" w:cstheme="minorHAnsi"/>
        </w:rPr>
        <w:t>aprašo</w:t>
      </w:r>
      <w:r w:rsidRPr="00FA5FFF">
        <w:rPr>
          <w:rFonts w:eastAsia="Times New Roman" w:cstheme="minorHAnsi"/>
        </w:rPr>
        <w:t>, patvirtinto Lietuvos Respublikos aplinkos ministro 2011 m. birželio 28 d. įsakymu Nr. D1-508 „Dėl aplinkos apsaugos kriterijų taikymo, vykdant žaliuosiu</w:t>
      </w:r>
      <w:r w:rsidR="00CA39B8" w:rsidRPr="00FA5FFF">
        <w:rPr>
          <w:rFonts w:eastAsia="Times New Roman" w:cstheme="minorHAnsi"/>
        </w:rPr>
        <w:t>s</w:t>
      </w:r>
      <w:r w:rsidRPr="00FA5FFF">
        <w:rPr>
          <w:rFonts w:eastAsia="Times New Roman" w:cstheme="minorHAnsi"/>
        </w:rPr>
        <w:t xml:space="preserve"> pirkimus, tvarkos aprašo patvirtinimo“, 4.4.4 papunkčiu, pirkimas yra </w:t>
      </w:r>
      <w:r w:rsidR="00CA39B8" w:rsidRPr="00FA5FFF">
        <w:rPr>
          <w:rFonts w:eastAsia="Times New Roman" w:cstheme="minorHAnsi"/>
        </w:rPr>
        <w:t>žaliasis</w:t>
      </w:r>
      <w:r w:rsidRPr="00FA5FFF">
        <w:rPr>
          <w:rFonts w:eastAsia="Times New Roman" w:cstheme="minorHAnsi"/>
        </w:rPr>
        <w:t xml:space="preserve"> ir jam taikomi </w:t>
      </w:r>
      <w:r w:rsidR="00CA39B8" w:rsidRPr="00FA5FFF">
        <w:rPr>
          <w:rFonts w:eastAsia="Times New Roman" w:cstheme="minorHAnsi"/>
        </w:rPr>
        <w:t>minimalūs</w:t>
      </w:r>
      <w:r w:rsidRPr="00FA5FFF">
        <w:rPr>
          <w:rFonts w:eastAsia="Times New Roman" w:cstheme="minorHAnsi"/>
        </w:rPr>
        <w:t xml:space="preserve"> aplinkos apsaugos kriterijai: </w:t>
      </w:r>
    </w:p>
    <w:p w14:paraId="0C4E8D9A" w14:textId="77777777" w:rsidR="00C4494E" w:rsidRPr="00FA5FFF" w:rsidRDefault="00C4494E" w:rsidP="00992F5C">
      <w:pPr>
        <w:ind w:firstLine="720"/>
        <w:jc w:val="both"/>
        <w:rPr>
          <w:rFonts w:eastAsia="Times New Roman" w:cstheme="minorHAnsi"/>
        </w:rPr>
      </w:pPr>
      <w:r w:rsidRPr="00FA5FFF">
        <w:rPr>
          <w:rFonts w:eastAsia="Times New Roman" w:cstheme="minorHAnsi"/>
        </w:rPr>
        <w:t xml:space="preserve">2.1. mažinti popieriaus sunaudojimą, atsisakyti nebūtino dokumentų kopijavimo ir spausdinimo, rengiama dokumentacija Pirkėjui turi būti pateikta tik elektroniniu formatu, o dokumentacija turi būti pasirašoma elektroniniu parašu. Esant būtinybei spausdinti, naudojamas perdirbtas popierius, kuris atitinka žaliojo pirkimo reikalavimus, patvirtintus Lietuvos Respublikos aplinkos ministro 2011 m. birželio 28 d. įsakyme Nr. D1-508 „Dėl Produktų, kurių viešiesiems pirkimams taikytini aplinkos apsaugos kriterijai, sąrašo, Aplinkos apsaugos kriterijų ir Aplinkos apsaugos kriterijų, kuriuos perkančiosios organizacijos turi taikyti pirkdamos prekes, paslaugas ar darbus, taikymo tvarkos aprašo patvirtinimo“. </w:t>
      </w:r>
    </w:p>
    <w:p w14:paraId="3C9AF2DC" w14:textId="77777777" w:rsidR="00C4494E" w:rsidRPr="00FA5FFF" w:rsidRDefault="00C4494E" w:rsidP="00992F5C">
      <w:pPr>
        <w:ind w:firstLine="720"/>
        <w:jc w:val="both"/>
        <w:rPr>
          <w:rFonts w:eastAsia="Times New Roman" w:cstheme="minorHAnsi"/>
        </w:rPr>
      </w:pPr>
      <w:r w:rsidRPr="00FA5FFF">
        <w:rPr>
          <w:rFonts w:eastAsia="Times New Roman" w:cstheme="minorHAnsi"/>
        </w:rPr>
        <w:t xml:space="preserve">2.2. plastikinėse detalėse neturi būti naudojamos cheminės medžiagos, klasifikuojamos priskiriant bet kurią iš nurodytų pavojingumo frazę pagal Reglamentą (EB) Nr. 1272/2008 (OL 2008 L 353, p. 1): kancerogeninės (H350), sukeliančios paveldimus genetinius defektus (H340), toksiškos reprodukcijai (H360F, H360FD, H360D, H360Df, H361f, H361fd, H360Df, H361d, H360Fd). </w:t>
      </w:r>
    </w:p>
    <w:p w14:paraId="1F63B851" w14:textId="77777777" w:rsidR="00C4494E" w:rsidRPr="00FA5FFF" w:rsidRDefault="00C4494E" w:rsidP="00992F5C">
      <w:pPr>
        <w:ind w:firstLine="720"/>
        <w:jc w:val="both"/>
        <w:rPr>
          <w:rFonts w:eastAsia="Times New Roman" w:cstheme="minorHAnsi"/>
        </w:rPr>
      </w:pPr>
      <w:r w:rsidRPr="00FA5FFF">
        <w:rPr>
          <w:rFonts w:eastAsia="Times New Roman" w:cstheme="minorHAnsi"/>
        </w:rPr>
        <w:t xml:space="preserve">2.3. Visas Prekių gamybai reikalingas medžiagas, turi būti galima perdirbti pasibaigus jų naudojimo laikui. O nebereikalingas detales Paslaugų teikėjas įsipareigoja tinkamai išrūšiuoti į antrinių žaliavų konteinerius. </w:t>
      </w:r>
    </w:p>
    <w:p w14:paraId="4FA2BF76" w14:textId="77777777" w:rsidR="00C4494E" w:rsidRPr="00FA5FFF" w:rsidRDefault="00C4494E" w:rsidP="00992F5C">
      <w:pPr>
        <w:ind w:firstLine="720"/>
        <w:jc w:val="both"/>
        <w:rPr>
          <w:rFonts w:eastAsia="Times New Roman" w:cstheme="minorHAnsi"/>
        </w:rPr>
      </w:pPr>
      <w:r w:rsidRPr="00FA5FFF">
        <w:rPr>
          <w:rFonts w:eastAsia="Times New Roman" w:cstheme="minorHAnsi"/>
        </w:rPr>
        <w:t xml:space="preserve">2.4. Pakuotės turi būti laikytinos perdirbamosiomis pakuotėmis pagal Lietuvos Respublikos mokesčio už aplinkos teršimą įstatymo nuostatas. </w:t>
      </w:r>
    </w:p>
    <w:p w14:paraId="7C12B68E" w14:textId="77777777" w:rsidR="00EC2826" w:rsidRPr="00FA5FFF" w:rsidRDefault="00EC2826" w:rsidP="00992F5C">
      <w:pPr>
        <w:ind w:firstLine="720"/>
        <w:jc w:val="both"/>
        <w:rPr>
          <w:rFonts w:eastAsia="Times New Roman" w:cstheme="minorHAnsi"/>
        </w:rPr>
      </w:pPr>
    </w:p>
    <w:p w14:paraId="3197E903" w14:textId="77777777" w:rsidR="00C4494E" w:rsidRPr="00FA5FFF" w:rsidRDefault="00C4494E" w:rsidP="00EC2826">
      <w:pPr>
        <w:ind w:firstLine="720"/>
        <w:jc w:val="both"/>
        <w:rPr>
          <w:rFonts w:eastAsia="Times New Roman" w:cstheme="minorHAnsi"/>
        </w:rPr>
      </w:pPr>
      <w:r w:rsidRPr="00FA5FFF">
        <w:rPr>
          <w:rFonts w:eastAsia="Times New Roman" w:cstheme="minorHAnsi"/>
        </w:rPr>
        <w:t xml:space="preserve">3. Sutarties vykdymo metu Perkančioji organizacija turi teisę prašyti atitiktį reikalavimams įrodančių dokumentų: </w:t>
      </w:r>
    </w:p>
    <w:p w14:paraId="2BD2D515" w14:textId="77777777" w:rsidR="00C4494E" w:rsidRPr="00FA5FFF" w:rsidRDefault="00C4494E" w:rsidP="00EC2826">
      <w:pPr>
        <w:ind w:firstLine="720"/>
        <w:jc w:val="both"/>
        <w:rPr>
          <w:rFonts w:eastAsia="Times New Roman" w:cstheme="minorHAnsi"/>
        </w:rPr>
      </w:pPr>
      <w:r w:rsidRPr="00FA5FFF">
        <w:rPr>
          <w:rFonts w:eastAsia="Times New Roman" w:cstheme="minorHAnsi"/>
        </w:rPr>
        <w:t xml:space="preserve">3.1. nepriklausomos šalies išduotas sertifikatas ar kitas lygiavertis dokumentas, kuriuo įrodoma atitiktis taikomiems standartams. </w:t>
      </w:r>
    </w:p>
    <w:p w14:paraId="52455AEC" w14:textId="2F5626F8" w:rsidR="00C4494E" w:rsidRPr="00FA5FFF" w:rsidRDefault="00C4494E" w:rsidP="00EC2826">
      <w:pPr>
        <w:ind w:firstLine="720"/>
        <w:jc w:val="both"/>
        <w:rPr>
          <w:rFonts w:eastAsia="Times New Roman" w:cstheme="minorHAnsi"/>
        </w:rPr>
      </w:pPr>
      <w:r w:rsidRPr="00FA5FFF">
        <w:rPr>
          <w:rFonts w:eastAsia="Times New Roman" w:cstheme="minorHAnsi"/>
        </w:rPr>
        <w:t xml:space="preserve">3.2.pakuotės </w:t>
      </w:r>
      <w:r w:rsidR="0001319C" w:rsidRPr="00FA5FFF">
        <w:rPr>
          <w:rFonts w:eastAsia="Times New Roman" w:cstheme="minorHAnsi"/>
        </w:rPr>
        <w:t>aprašymas</w:t>
      </w:r>
      <w:r w:rsidRPr="00FA5FFF">
        <w:rPr>
          <w:rFonts w:eastAsia="Times New Roman" w:cstheme="minorHAnsi"/>
        </w:rPr>
        <w:t xml:space="preserve">, gamintojo ir (ar) </w:t>
      </w:r>
      <w:r w:rsidR="0001319C" w:rsidRPr="00FA5FFF">
        <w:rPr>
          <w:rFonts w:eastAsia="Times New Roman" w:cstheme="minorHAnsi"/>
        </w:rPr>
        <w:t>tiekėjo</w:t>
      </w:r>
      <w:r w:rsidRPr="00FA5FFF">
        <w:rPr>
          <w:rFonts w:eastAsia="Times New Roman" w:cstheme="minorHAnsi"/>
        </w:rPr>
        <w:t xml:space="preserve"> techniniai dokumentai, gamintojo ir (ar) importuotojo, ir (ar) </w:t>
      </w:r>
      <w:r w:rsidR="0001319C" w:rsidRPr="00FA5FFF">
        <w:rPr>
          <w:rFonts w:eastAsia="Times New Roman" w:cstheme="minorHAnsi"/>
        </w:rPr>
        <w:t>tiekėjo</w:t>
      </w:r>
      <w:r w:rsidRPr="00FA5FFF">
        <w:rPr>
          <w:rFonts w:eastAsia="Times New Roman" w:cstheme="minorHAnsi"/>
        </w:rPr>
        <w:t xml:space="preserve"> </w:t>
      </w:r>
      <w:r w:rsidR="0001319C" w:rsidRPr="00FA5FFF">
        <w:rPr>
          <w:rFonts w:eastAsia="Times New Roman" w:cstheme="minorHAnsi"/>
        </w:rPr>
        <w:t>rašytinis</w:t>
      </w:r>
      <w:r w:rsidRPr="00FA5FFF">
        <w:rPr>
          <w:rFonts w:eastAsia="Times New Roman" w:cstheme="minorHAnsi"/>
        </w:rPr>
        <w:t xml:space="preserve"> patvirtinimas, saugos duomenų lapas, gamintojo bandymų ataskaita, protokolas, gamintojo ir (ar) </w:t>
      </w:r>
      <w:r w:rsidR="00465A69" w:rsidRPr="00FA5FFF">
        <w:rPr>
          <w:rFonts w:eastAsia="Times New Roman" w:cstheme="minorHAnsi"/>
        </w:rPr>
        <w:t>tiekėjo</w:t>
      </w:r>
      <w:r w:rsidRPr="00FA5FFF">
        <w:rPr>
          <w:rFonts w:eastAsia="Times New Roman" w:cstheme="minorHAnsi"/>
        </w:rPr>
        <w:t xml:space="preserve"> deklaracija (pateikiant objektyvius įrodymus), įrangos aprašymas, instrukcija ar skaičiavimai, pripažintos įstaigos arba paskelbtosios (notifikuotos) institucijos atlikto bandymo protokolas, priemonių ir (ar) </w:t>
      </w:r>
      <w:r w:rsidRPr="00FA5FFF">
        <w:rPr>
          <w:rFonts w:eastAsia="Times New Roman" w:cstheme="minorHAnsi"/>
        </w:rPr>
        <w:lastRenderedPageBreak/>
        <w:t xml:space="preserve">produktų, kurie bus naudojami atlikti paslaugą ar darbą, sąrašas ir dokumentai, </w:t>
      </w:r>
      <w:r w:rsidR="00465A69" w:rsidRPr="00FA5FFF">
        <w:rPr>
          <w:rFonts w:eastAsia="Times New Roman" w:cstheme="minorHAnsi"/>
        </w:rPr>
        <w:t>įrodantys</w:t>
      </w:r>
      <w:r w:rsidRPr="00FA5FFF">
        <w:rPr>
          <w:rFonts w:eastAsia="Times New Roman" w:cstheme="minorHAnsi"/>
        </w:rPr>
        <w:t xml:space="preserve">, kad </w:t>
      </w:r>
      <w:r w:rsidR="00465A69" w:rsidRPr="00FA5FFF">
        <w:rPr>
          <w:rFonts w:eastAsia="Times New Roman" w:cstheme="minorHAnsi"/>
        </w:rPr>
        <w:t>priemonės</w:t>
      </w:r>
      <w:r w:rsidRPr="00FA5FFF">
        <w:rPr>
          <w:rFonts w:eastAsia="Times New Roman" w:cstheme="minorHAnsi"/>
        </w:rPr>
        <w:t xml:space="preserve"> ir (ar) produktai atitinka nustatytus reikalavimus, arba kiti lygiaverčiai įrodymai</w:t>
      </w:r>
      <w:r w:rsidR="0001319C" w:rsidRPr="00FA5FFF">
        <w:rPr>
          <w:rFonts w:eastAsia="Times New Roman" w:cstheme="minorHAnsi"/>
        </w:rPr>
        <w:t>.</w:t>
      </w:r>
    </w:p>
    <w:p w14:paraId="2D4F23D9" w14:textId="77777777" w:rsidR="0084712F" w:rsidRPr="00FA5FFF" w:rsidRDefault="0084712F" w:rsidP="0056177C">
      <w:pPr>
        <w:rPr>
          <w:rFonts w:cstheme="minorHAnsi"/>
        </w:rPr>
      </w:pPr>
    </w:p>
    <w:p w14:paraId="6B747FE7" w14:textId="59E124D7" w:rsidR="0056177C" w:rsidRPr="00FA5FFF" w:rsidRDefault="0056177C" w:rsidP="0056177C">
      <w:pPr>
        <w:rPr>
          <w:rFonts w:cstheme="minorHAnsi"/>
        </w:rPr>
      </w:pPr>
      <w:r w:rsidRPr="00FA5FFF">
        <w:rPr>
          <w:rFonts w:cstheme="minorHAnsi"/>
        </w:rPr>
        <w:t>Popieriaus padavimo blokai (</w:t>
      </w:r>
      <w:r w:rsidR="001A51DC" w:rsidRPr="00FA5FFF">
        <w:rPr>
          <w:rFonts w:cstheme="minorHAnsi"/>
        </w:rPr>
        <w:t>61</w:t>
      </w:r>
      <w:r w:rsidRPr="00FA5FFF">
        <w:rPr>
          <w:rFonts w:cstheme="minorHAnsi"/>
        </w:rPr>
        <w:t xml:space="preserve"> vnt.) turi būti pristatyti į Lietuvos teismus</w:t>
      </w:r>
      <w:r w:rsidR="001A51DC" w:rsidRPr="00FA5FFF">
        <w:rPr>
          <w:rFonts w:cstheme="minorHAnsi"/>
        </w:rPr>
        <w:t>, prijungti, paruošti darbui</w:t>
      </w:r>
      <w:r w:rsidRPr="00FA5FFF">
        <w:rPr>
          <w:rFonts w:cstheme="minorHAnsi"/>
        </w:rPr>
        <w:t xml:space="preserve"> pagal žemiau pateiktą sąrašą:</w:t>
      </w:r>
    </w:p>
    <w:p w14:paraId="7813B944" w14:textId="77777777" w:rsidR="003F3C68" w:rsidRPr="00FA5FFF" w:rsidRDefault="003F3C68" w:rsidP="0056177C">
      <w:pPr>
        <w:rPr>
          <w:rFonts w:cstheme="minorHAnsi"/>
        </w:rPr>
      </w:pPr>
    </w:p>
    <w:tbl>
      <w:tblPr>
        <w:tblW w:w="0" w:type="auto"/>
        <w:jc w:val="center"/>
        <w:tblCellMar>
          <w:left w:w="0" w:type="dxa"/>
          <w:right w:w="0" w:type="dxa"/>
        </w:tblCellMar>
        <w:tblLook w:val="04A0" w:firstRow="1" w:lastRow="0" w:firstColumn="1" w:lastColumn="0" w:noHBand="0" w:noVBand="1"/>
      </w:tblPr>
      <w:tblGrid>
        <w:gridCol w:w="5802"/>
        <w:gridCol w:w="2268"/>
      </w:tblGrid>
      <w:tr w:rsidR="000824B6" w:rsidRPr="00FA5FFF" w14:paraId="31120EA1" w14:textId="77777777" w:rsidTr="00E20576">
        <w:trPr>
          <w:trHeight w:val="288"/>
          <w:jc w:val="center"/>
        </w:trPr>
        <w:tc>
          <w:tcPr>
            <w:tcW w:w="5802" w:type="dxa"/>
            <w:tcBorders>
              <w:top w:val="single" w:sz="8" w:space="0" w:color="auto"/>
              <w:left w:val="single" w:sz="8" w:space="0" w:color="auto"/>
              <w:bottom w:val="single" w:sz="8" w:space="0" w:color="auto"/>
              <w:right w:val="single" w:sz="8" w:space="0" w:color="auto"/>
            </w:tcBorders>
            <w:shd w:val="clear" w:color="auto" w:fill="D1D1D1"/>
            <w:noWrap/>
            <w:tcMar>
              <w:top w:w="0" w:type="dxa"/>
              <w:left w:w="108" w:type="dxa"/>
              <w:bottom w:w="0" w:type="dxa"/>
              <w:right w:w="108" w:type="dxa"/>
            </w:tcMar>
            <w:hideMark/>
          </w:tcPr>
          <w:p w14:paraId="7C59A1DA" w14:textId="77777777" w:rsidR="000824B6" w:rsidRPr="00FA5FFF" w:rsidRDefault="000824B6" w:rsidP="000170E9">
            <w:pPr>
              <w:jc w:val="center"/>
              <w:rPr>
                <w:rFonts w:eastAsia="Times New Roman" w:cstheme="minorHAnsi"/>
                <w:color w:val="222222"/>
              </w:rPr>
            </w:pPr>
            <w:r w:rsidRPr="00FA5FFF">
              <w:rPr>
                <w:rFonts w:eastAsia="Times New Roman" w:cstheme="minorHAnsi"/>
                <w:b/>
                <w:bCs/>
                <w:color w:val="000000"/>
              </w:rPr>
              <w:t>Teismas</w:t>
            </w:r>
          </w:p>
        </w:tc>
        <w:tc>
          <w:tcPr>
            <w:tcW w:w="2268" w:type="dxa"/>
            <w:tcBorders>
              <w:top w:val="single" w:sz="8" w:space="0" w:color="auto"/>
              <w:left w:val="nil"/>
              <w:bottom w:val="single" w:sz="8" w:space="0" w:color="auto"/>
              <w:right w:val="single" w:sz="8" w:space="0" w:color="auto"/>
            </w:tcBorders>
            <w:shd w:val="clear" w:color="auto" w:fill="D1D1D1"/>
            <w:tcMar>
              <w:top w:w="0" w:type="dxa"/>
              <w:left w:w="108" w:type="dxa"/>
              <w:bottom w:w="0" w:type="dxa"/>
              <w:right w:w="108" w:type="dxa"/>
            </w:tcMar>
            <w:hideMark/>
          </w:tcPr>
          <w:p w14:paraId="15A33417" w14:textId="77777777" w:rsidR="000824B6" w:rsidRPr="00FA5FFF" w:rsidRDefault="000824B6" w:rsidP="000170E9">
            <w:pPr>
              <w:jc w:val="center"/>
              <w:rPr>
                <w:rFonts w:eastAsia="Times New Roman" w:cstheme="minorHAnsi"/>
                <w:color w:val="222222"/>
              </w:rPr>
            </w:pPr>
            <w:r w:rsidRPr="00FA5FFF">
              <w:rPr>
                <w:rFonts w:eastAsia="Times New Roman" w:cstheme="minorHAnsi"/>
                <w:b/>
                <w:bCs/>
                <w:color w:val="000000"/>
              </w:rPr>
              <w:t>Kiekis</w:t>
            </w:r>
          </w:p>
        </w:tc>
      </w:tr>
      <w:tr w:rsidR="000824B6" w:rsidRPr="00FA5FFF" w14:paraId="4CD8E1BD"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C7F9C7"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Alytaus apylinkės teismas Varėnos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3EC5FF1D"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2</w:t>
            </w:r>
          </w:p>
        </w:tc>
      </w:tr>
      <w:tr w:rsidR="000824B6" w:rsidRPr="00FA5FFF" w14:paraId="3B6C17EF"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58E035"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Alytaus apylinkės teismas Druskininkų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679E3535"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099DB81C"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DEF1F5"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Alytaus apylinkės teismas Alytaus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FF51E71"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227A4EFF"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ACC299"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Kauno apygardos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38B21271"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4</w:t>
            </w:r>
          </w:p>
        </w:tc>
      </w:tr>
      <w:tr w:rsidR="000824B6" w:rsidRPr="00FA5FFF" w14:paraId="282FABF2"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35643A"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Kauno apylinkės teismas Jonavos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2052EBE0"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7FFD94C1"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E425E6"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Kauno apylinkės teismas Kauno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168ED13B"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12A11917"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40A587"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Klaipėdos apygardos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511AF7CB"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3</w:t>
            </w:r>
          </w:p>
        </w:tc>
      </w:tr>
      <w:tr w:rsidR="000824B6" w:rsidRPr="00FA5FFF" w14:paraId="35E3E0D6"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4C41E0"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Klaipėdos apylinkės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0D8802E6"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3</w:t>
            </w:r>
          </w:p>
        </w:tc>
      </w:tr>
      <w:tr w:rsidR="000824B6" w:rsidRPr="00FA5FFF" w14:paraId="5B756967"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353CD3"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Lietuvos apeliacinis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F6B1E47"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4839D9D0"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597C92"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Lietuvos vyriausiasis administracinis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7E0CB2F2"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3</w:t>
            </w:r>
          </w:p>
        </w:tc>
      </w:tr>
      <w:tr w:rsidR="000824B6" w:rsidRPr="00FA5FFF" w14:paraId="2E476B63"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65C99D"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Marijampolės apylinkės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51F4900F"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242ADFBA"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EF89F0"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Panevėžio apygardos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748B6EE9"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580F74CC"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BD59872"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Panevėžio apylinkės teismas Kupiškio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6C4617E4"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7F7F7502"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009065"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Panevėžio apylinkės teismas Panevėžio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04B06E2D"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2</w:t>
            </w:r>
          </w:p>
        </w:tc>
      </w:tr>
      <w:tr w:rsidR="000824B6" w:rsidRPr="00FA5FFF" w14:paraId="182CFE27"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B8C490"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Regionų administracinis teismas Panevėžio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6659A572"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63C465C6"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11EDBB0"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Regionų administracinis teismas Šiaulių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67DEA748"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21863C3A"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08136FF"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Regionų administracinis teismas Kauno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782794D9"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2</w:t>
            </w:r>
          </w:p>
        </w:tc>
      </w:tr>
      <w:tr w:rsidR="000824B6" w:rsidRPr="00FA5FFF" w14:paraId="27A8D144"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C13199"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Regionų administracinis teismas Vilniaus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F987AB8"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2</w:t>
            </w:r>
          </w:p>
        </w:tc>
      </w:tr>
      <w:tr w:rsidR="000824B6" w:rsidRPr="00FA5FFF" w14:paraId="019C5F4F"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70F12D"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Šiaulių apylinkės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11E10C2A"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4</w:t>
            </w:r>
          </w:p>
        </w:tc>
      </w:tr>
      <w:tr w:rsidR="000824B6" w:rsidRPr="00FA5FFF" w14:paraId="6741091A"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010814"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Tauragės apylinkės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2D9FD1D1"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2</w:t>
            </w:r>
          </w:p>
        </w:tc>
      </w:tr>
      <w:tr w:rsidR="000824B6" w:rsidRPr="00FA5FFF" w14:paraId="1E0A5D0D"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0723E7"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Telšių apylinkės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3DF93F9E"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3</w:t>
            </w:r>
          </w:p>
        </w:tc>
      </w:tr>
      <w:tr w:rsidR="000824B6" w:rsidRPr="00FA5FFF" w14:paraId="3730D31B"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A08E99"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Utenos apylinkės teismas Anykščių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08B3303"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4095DD05"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1F848E"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Utenos apylinkės teismas Švenčionių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3F2D1BF2"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348AD8CA"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4CD4F1"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Utenos apylinkės teismas Utenos rūmai</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2E92105F"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w:t>
            </w:r>
          </w:p>
        </w:tc>
      </w:tr>
      <w:tr w:rsidR="000824B6" w:rsidRPr="00FA5FFF" w14:paraId="201356A9"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AB93C6"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Vilniaus apygardos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A50FD54"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4</w:t>
            </w:r>
          </w:p>
        </w:tc>
      </w:tr>
      <w:tr w:rsidR="000824B6" w:rsidRPr="00FA5FFF" w14:paraId="07A2CB15"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F04E63"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Vilniaus miesto apylinkės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3DFC0042"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10</w:t>
            </w:r>
          </w:p>
        </w:tc>
      </w:tr>
      <w:tr w:rsidR="000824B6" w:rsidRPr="00FA5FFF" w14:paraId="27ACAC93"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5595B6" w14:textId="77777777" w:rsidR="000824B6" w:rsidRPr="00FA5FFF" w:rsidRDefault="000824B6" w:rsidP="000170E9">
            <w:pPr>
              <w:rPr>
                <w:rFonts w:eastAsia="Times New Roman" w:cstheme="minorHAnsi"/>
                <w:color w:val="222222"/>
              </w:rPr>
            </w:pPr>
            <w:r w:rsidRPr="00FA5FFF">
              <w:rPr>
                <w:rFonts w:eastAsia="Times New Roman" w:cstheme="minorHAnsi"/>
                <w:color w:val="222222"/>
              </w:rPr>
              <w:t>Vilniaus regiono apylinkės teismas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6D5D199E" w14:textId="77777777" w:rsidR="000824B6" w:rsidRPr="00FA5FFF" w:rsidRDefault="000824B6" w:rsidP="000170E9">
            <w:pPr>
              <w:jc w:val="center"/>
              <w:rPr>
                <w:rFonts w:eastAsia="Times New Roman" w:cstheme="minorHAnsi"/>
                <w:color w:val="222222"/>
              </w:rPr>
            </w:pPr>
            <w:r w:rsidRPr="00FA5FFF">
              <w:rPr>
                <w:rFonts w:eastAsia="Times New Roman" w:cstheme="minorHAnsi"/>
                <w:color w:val="222222"/>
              </w:rPr>
              <w:t>4</w:t>
            </w:r>
          </w:p>
        </w:tc>
      </w:tr>
      <w:tr w:rsidR="000824B6" w:rsidRPr="00FA5FFF" w14:paraId="5625A6E2" w14:textId="77777777" w:rsidTr="00E20576">
        <w:trPr>
          <w:trHeight w:val="288"/>
          <w:jc w:val="center"/>
        </w:trPr>
        <w:tc>
          <w:tcPr>
            <w:tcW w:w="58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6545B7" w14:textId="77777777" w:rsidR="000824B6" w:rsidRPr="00FA5FFF" w:rsidRDefault="000824B6" w:rsidP="000170E9">
            <w:pPr>
              <w:rPr>
                <w:rFonts w:eastAsia="Times New Roman" w:cstheme="minorHAnsi"/>
                <w:color w:val="222222"/>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16304DCE" w14:textId="77777777" w:rsidR="000824B6" w:rsidRPr="00FA5FFF" w:rsidRDefault="000824B6" w:rsidP="000170E9">
            <w:pPr>
              <w:jc w:val="center"/>
              <w:rPr>
                <w:rFonts w:eastAsia="Times New Roman" w:cstheme="minorHAnsi"/>
                <w:color w:val="222222"/>
              </w:rPr>
            </w:pPr>
            <w:r w:rsidRPr="00FA5FFF">
              <w:rPr>
                <w:rFonts w:eastAsia="Times New Roman" w:cstheme="minorHAnsi"/>
                <w:b/>
                <w:bCs/>
                <w:color w:val="222222"/>
              </w:rPr>
              <w:t>61</w:t>
            </w:r>
          </w:p>
        </w:tc>
      </w:tr>
    </w:tbl>
    <w:p w14:paraId="55427653" w14:textId="77777777" w:rsidR="000824B6" w:rsidRPr="00FA5FFF" w:rsidRDefault="000824B6" w:rsidP="0056177C">
      <w:pPr>
        <w:rPr>
          <w:rFonts w:cstheme="minorHAnsi"/>
        </w:rPr>
      </w:pPr>
    </w:p>
    <w:p w14:paraId="69FA50AF" w14:textId="7F597068" w:rsidR="00DF0E9C" w:rsidRPr="00FA5FFF" w:rsidRDefault="00DF0E9C" w:rsidP="00CA39B8">
      <w:pPr>
        <w:jc w:val="both"/>
        <w:rPr>
          <w:rFonts w:cstheme="minorHAnsi"/>
          <w:lang w:val="en-US"/>
        </w:rPr>
      </w:pPr>
    </w:p>
    <w:p w14:paraId="253A45FC" w14:textId="479BA64B" w:rsidR="006E62CE" w:rsidRPr="00FA5FFF" w:rsidRDefault="006E62CE" w:rsidP="00CA39B8">
      <w:pPr>
        <w:jc w:val="both"/>
        <w:rPr>
          <w:rFonts w:cstheme="minorHAnsi"/>
          <w:lang w:val="en-US"/>
        </w:rPr>
      </w:pPr>
    </w:p>
    <w:p w14:paraId="7770705E" w14:textId="77777777" w:rsidR="001772ED" w:rsidRPr="00FA5FFF" w:rsidRDefault="001772ED" w:rsidP="001772ED">
      <w:pPr>
        <w:spacing w:after="240"/>
        <w:rPr>
          <w:rFonts w:cstheme="minorHAnsi"/>
          <w:lang w:val="en-US"/>
        </w:rPr>
      </w:pPr>
    </w:p>
    <w:sectPr w:rsidR="001772ED" w:rsidRPr="00FA5FFF" w:rsidSect="00F243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A7F84"/>
    <w:multiLevelType w:val="hybridMultilevel"/>
    <w:tmpl w:val="A7D6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3960B6"/>
    <w:multiLevelType w:val="hybridMultilevel"/>
    <w:tmpl w:val="D2C8EB10"/>
    <w:lvl w:ilvl="0" w:tplc="919A5B88">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79097065">
    <w:abstractNumId w:val="0"/>
  </w:num>
  <w:num w:numId="2" w16cid:durableId="28096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4E"/>
    <w:rsid w:val="0001319C"/>
    <w:rsid w:val="000575FD"/>
    <w:rsid w:val="000824B6"/>
    <w:rsid w:val="00161274"/>
    <w:rsid w:val="001772ED"/>
    <w:rsid w:val="00180778"/>
    <w:rsid w:val="0018243C"/>
    <w:rsid w:val="001A51DC"/>
    <w:rsid w:val="00254B51"/>
    <w:rsid w:val="00271BEE"/>
    <w:rsid w:val="00365578"/>
    <w:rsid w:val="003F3C68"/>
    <w:rsid w:val="00465A69"/>
    <w:rsid w:val="004753DC"/>
    <w:rsid w:val="0056177C"/>
    <w:rsid w:val="00577D53"/>
    <w:rsid w:val="006E62CE"/>
    <w:rsid w:val="00725C1D"/>
    <w:rsid w:val="0084712F"/>
    <w:rsid w:val="00992F5C"/>
    <w:rsid w:val="009E6D54"/>
    <w:rsid w:val="00A461A5"/>
    <w:rsid w:val="00AB463B"/>
    <w:rsid w:val="00B020C8"/>
    <w:rsid w:val="00B36A16"/>
    <w:rsid w:val="00C140D0"/>
    <w:rsid w:val="00C4494E"/>
    <w:rsid w:val="00CA39B8"/>
    <w:rsid w:val="00D61622"/>
    <w:rsid w:val="00DF0E9C"/>
    <w:rsid w:val="00E20576"/>
    <w:rsid w:val="00E864BA"/>
    <w:rsid w:val="00EC2826"/>
    <w:rsid w:val="00ED51EA"/>
    <w:rsid w:val="00F22C25"/>
    <w:rsid w:val="00F243E1"/>
    <w:rsid w:val="00F95379"/>
    <w:rsid w:val="00FA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9089"/>
  <w15:chartTrackingRefBased/>
  <w15:docId w15:val="{93C62BB8-170A-8846-8A67-5C46338C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4494E"/>
    <w:pPr>
      <w:spacing w:before="100" w:beforeAutospacing="1" w:after="100" w:afterAutospacing="1"/>
    </w:pPr>
    <w:rPr>
      <w:rFonts w:ascii="Times New Roman" w:eastAsia="Times New Roman" w:hAnsi="Times New Roman"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494E"/>
    <w:pPr>
      <w:ind w:left="720"/>
      <w:contextualSpacing/>
    </w:pPr>
  </w:style>
  <w:style w:type="table" w:styleId="Lentelstinklelis">
    <w:name w:val="Table Grid"/>
    <w:basedOn w:val="prastojilentel"/>
    <w:uiPriority w:val="39"/>
    <w:rsid w:val="00C44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1A51D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51DC"/>
    <w:rPr>
      <w:lang w:val="lt-LT"/>
    </w:rPr>
  </w:style>
  <w:style w:type="character" w:customStyle="1" w:styleId="normaltextrun">
    <w:name w:val="normaltextrun"/>
    <w:basedOn w:val="Numatytasispastraiposriftas"/>
    <w:rsid w:val="001A5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5498">
      <w:bodyDiv w:val="1"/>
      <w:marLeft w:val="0"/>
      <w:marRight w:val="0"/>
      <w:marTop w:val="0"/>
      <w:marBottom w:val="0"/>
      <w:divBdr>
        <w:top w:val="none" w:sz="0" w:space="0" w:color="auto"/>
        <w:left w:val="none" w:sz="0" w:space="0" w:color="auto"/>
        <w:bottom w:val="none" w:sz="0" w:space="0" w:color="auto"/>
        <w:right w:val="none" w:sz="0" w:space="0" w:color="auto"/>
      </w:divBdr>
      <w:divsChild>
        <w:div w:id="1155872349">
          <w:marLeft w:val="0"/>
          <w:marRight w:val="0"/>
          <w:marTop w:val="0"/>
          <w:marBottom w:val="0"/>
          <w:divBdr>
            <w:top w:val="none" w:sz="0" w:space="0" w:color="auto"/>
            <w:left w:val="none" w:sz="0" w:space="0" w:color="auto"/>
            <w:bottom w:val="none" w:sz="0" w:space="0" w:color="auto"/>
            <w:right w:val="none" w:sz="0" w:space="0" w:color="auto"/>
          </w:divBdr>
          <w:divsChild>
            <w:div w:id="515074380">
              <w:marLeft w:val="0"/>
              <w:marRight w:val="0"/>
              <w:marTop w:val="0"/>
              <w:marBottom w:val="0"/>
              <w:divBdr>
                <w:top w:val="none" w:sz="0" w:space="0" w:color="auto"/>
                <w:left w:val="none" w:sz="0" w:space="0" w:color="auto"/>
                <w:bottom w:val="none" w:sz="0" w:space="0" w:color="auto"/>
                <w:right w:val="none" w:sz="0" w:space="0" w:color="auto"/>
              </w:divBdr>
              <w:divsChild>
                <w:div w:id="993413593">
                  <w:marLeft w:val="0"/>
                  <w:marRight w:val="0"/>
                  <w:marTop w:val="0"/>
                  <w:marBottom w:val="0"/>
                  <w:divBdr>
                    <w:top w:val="none" w:sz="0" w:space="0" w:color="auto"/>
                    <w:left w:val="none" w:sz="0" w:space="0" w:color="auto"/>
                    <w:bottom w:val="none" w:sz="0" w:space="0" w:color="auto"/>
                    <w:right w:val="none" w:sz="0" w:space="0" w:color="auto"/>
                  </w:divBdr>
                </w:div>
              </w:divsChild>
            </w:div>
            <w:div w:id="445005268">
              <w:marLeft w:val="0"/>
              <w:marRight w:val="0"/>
              <w:marTop w:val="0"/>
              <w:marBottom w:val="0"/>
              <w:divBdr>
                <w:top w:val="none" w:sz="0" w:space="0" w:color="auto"/>
                <w:left w:val="none" w:sz="0" w:space="0" w:color="auto"/>
                <w:bottom w:val="none" w:sz="0" w:space="0" w:color="auto"/>
                <w:right w:val="none" w:sz="0" w:space="0" w:color="auto"/>
              </w:divBdr>
              <w:divsChild>
                <w:div w:id="1102645846">
                  <w:marLeft w:val="0"/>
                  <w:marRight w:val="0"/>
                  <w:marTop w:val="0"/>
                  <w:marBottom w:val="0"/>
                  <w:divBdr>
                    <w:top w:val="none" w:sz="0" w:space="0" w:color="auto"/>
                    <w:left w:val="none" w:sz="0" w:space="0" w:color="auto"/>
                    <w:bottom w:val="none" w:sz="0" w:space="0" w:color="auto"/>
                    <w:right w:val="none" w:sz="0" w:space="0" w:color="auto"/>
                  </w:divBdr>
                </w:div>
              </w:divsChild>
            </w:div>
            <w:div w:id="1895893278">
              <w:marLeft w:val="0"/>
              <w:marRight w:val="0"/>
              <w:marTop w:val="0"/>
              <w:marBottom w:val="0"/>
              <w:divBdr>
                <w:top w:val="none" w:sz="0" w:space="0" w:color="auto"/>
                <w:left w:val="none" w:sz="0" w:space="0" w:color="auto"/>
                <w:bottom w:val="none" w:sz="0" w:space="0" w:color="auto"/>
                <w:right w:val="none" w:sz="0" w:space="0" w:color="auto"/>
              </w:divBdr>
              <w:divsChild>
                <w:div w:id="164177225">
                  <w:marLeft w:val="0"/>
                  <w:marRight w:val="0"/>
                  <w:marTop w:val="0"/>
                  <w:marBottom w:val="0"/>
                  <w:divBdr>
                    <w:top w:val="none" w:sz="0" w:space="0" w:color="auto"/>
                    <w:left w:val="none" w:sz="0" w:space="0" w:color="auto"/>
                    <w:bottom w:val="none" w:sz="0" w:space="0" w:color="auto"/>
                    <w:right w:val="none" w:sz="0" w:space="0" w:color="auto"/>
                  </w:divBdr>
                </w:div>
                <w:div w:id="1726564957">
                  <w:marLeft w:val="0"/>
                  <w:marRight w:val="0"/>
                  <w:marTop w:val="0"/>
                  <w:marBottom w:val="0"/>
                  <w:divBdr>
                    <w:top w:val="none" w:sz="0" w:space="0" w:color="auto"/>
                    <w:left w:val="none" w:sz="0" w:space="0" w:color="auto"/>
                    <w:bottom w:val="none" w:sz="0" w:space="0" w:color="auto"/>
                    <w:right w:val="none" w:sz="0" w:space="0" w:color="auto"/>
                  </w:divBdr>
                </w:div>
                <w:div w:id="1615088967">
                  <w:marLeft w:val="0"/>
                  <w:marRight w:val="0"/>
                  <w:marTop w:val="0"/>
                  <w:marBottom w:val="0"/>
                  <w:divBdr>
                    <w:top w:val="none" w:sz="0" w:space="0" w:color="auto"/>
                    <w:left w:val="none" w:sz="0" w:space="0" w:color="auto"/>
                    <w:bottom w:val="none" w:sz="0" w:space="0" w:color="auto"/>
                    <w:right w:val="none" w:sz="0" w:space="0" w:color="auto"/>
                  </w:divBdr>
                </w:div>
                <w:div w:id="925651099">
                  <w:marLeft w:val="0"/>
                  <w:marRight w:val="0"/>
                  <w:marTop w:val="0"/>
                  <w:marBottom w:val="0"/>
                  <w:divBdr>
                    <w:top w:val="none" w:sz="0" w:space="0" w:color="auto"/>
                    <w:left w:val="none" w:sz="0" w:space="0" w:color="auto"/>
                    <w:bottom w:val="none" w:sz="0" w:space="0" w:color="auto"/>
                    <w:right w:val="none" w:sz="0" w:space="0" w:color="auto"/>
                  </w:divBdr>
                </w:div>
              </w:divsChild>
            </w:div>
            <w:div w:id="270554079">
              <w:marLeft w:val="0"/>
              <w:marRight w:val="0"/>
              <w:marTop w:val="0"/>
              <w:marBottom w:val="0"/>
              <w:divBdr>
                <w:top w:val="none" w:sz="0" w:space="0" w:color="auto"/>
                <w:left w:val="none" w:sz="0" w:space="0" w:color="auto"/>
                <w:bottom w:val="none" w:sz="0" w:space="0" w:color="auto"/>
                <w:right w:val="none" w:sz="0" w:space="0" w:color="auto"/>
              </w:divBdr>
              <w:divsChild>
                <w:div w:id="15316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789">
      <w:bodyDiv w:val="1"/>
      <w:marLeft w:val="0"/>
      <w:marRight w:val="0"/>
      <w:marTop w:val="0"/>
      <w:marBottom w:val="0"/>
      <w:divBdr>
        <w:top w:val="none" w:sz="0" w:space="0" w:color="auto"/>
        <w:left w:val="none" w:sz="0" w:space="0" w:color="auto"/>
        <w:bottom w:val="none" w:sz="0" w:space="0" w:color="auto"/>
        <w:right w:val="none" w:sz="0" w:space="0" w:color="auto"/>
      </w:divBdr>
    </w:div>
    <w:div w:id="1469514736">
      <w:bodyDiv w:val="1"/>
      <w:marLeft w:val="0"/>
      <w:marRight w:val="0"/>
      <w:marTop w:val="0"/>
      <w:marBottom w:val="0"/>
      <w:divBdr>
        <w:top w:val="none" w:sz="0" w:space="0" w:color="auto"/>
        <w:left w:val="none" w:sz="0" w:space="0" w:color="auto"/>
        <w:bottom w:val="none" w:sz="0" w:space="0" w:color="auto"/>
        <w:right w:val="none" w:sz="0" w:space="0" w:color="auto"/>
      </w:divBdr>
    </w:div>
    <w:div w:id="17845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BFC3C-26FD-144C-9BB5-C9B90596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ms.licencijos2023.1@gmail.com</cp:lastModifiedBy>
  <cp:revision>3</cp:revision>
  <dcterms:created xsi:type="dcterms:W3CDTF">2026-06-04T15:03:00Z</dcterms:created>
  <dcterms:modified xsi:type="dcterms:W3CDTF">2026-06-04T15:12:00Z</dcterms:modified>
</cp:coreProperties>
</file>