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98342" w14:textId="77777777" w:rsidR="00342080" w:rsidRPr="00342080" w:rsidRDefault="00B54771" w:rsidP="00342080">
      <w:pPr>
        <w:spacing w:before="100" w:beforeAutospacing="1"/>
        <w:ind w:left="284" w:right="284"/>
        <w:contextualSpacing/>
        <w:mirrorIndents/>
        <w:rPr>
          <w:rFonts w:asciiTheme="majorHAnsi" w:hAnsiTheme="majorHAnsi" w:cs="Times New Roman"/>
          <w:caps/>
          <w:color w:val="000000" w:themeColor="text1"/>
        </w:rPr>
      </w:pPr>
      <w:r w:rsidRPr="00342080">
        <w:rPr>
          <w:rFonts w:asciiTheme="majorHAnsi" w:hAnsiTheme="majorHAnsi" w:cs="Times New Roman"/>
          <w:caps/>
          <w:color w:val="000000" w:themeColor="text1"/>
        </w:rPr>
        <w:t>I</w:t>
      </w:r>
      <w:r w:rsidR="008A5FAA" w:rsidRPr="00342080">
        <w:rPr>
          <w:rFonts w:asciiTheme="majorHAnsi" w:hAnsiTheme="majorHAnsi" w:cs="Times New Roman"/>
          <w:caps/>
          <w:color w:val="000000" w:themeColor="text1"/>
        </w:rPr>
        <w:t>muno</w:t>
      </w:r>
      <w:r w:rsidR="00F47241" w:rsidRPr="00342080">
        <w:rPr>
          <w:rFonts w:asciiTheme="majorHAnsi" w:hAnsiTheme="majorHAnsi" w:cs="Times New Roman"/>
          <w:caps/>
          <w:color w:val="000000" w:themeColor="text1"/>
        </w:rPr>
        <w:t>hematolog</w:t>
      </w:r>
      <w:r w:rsidR="008A5FAA" w:rsidRPr="00342080">
        <w:rPr>
          <w:rFonts w:asciiTheme="majorHAnsi" w:hAnsiTheme="majorHAnsi" w:cs="Times New Roman"/>
          <w:caps/>
          <w:color w:val="000000" w:themeColor="text1"/>
        </w:rPr>
        <w:t>ini</w:t>
      </w:r>
      <w:r w:rsidR="00EA1BA8" w:rsidRPr="00342080">
        <w:rPr>
          <w:rFonts w:asciiTheme="majorHAnsi" w:hAnsiTheme="majorHAnsi" w:cs="Times New Roman"/>
          <w:caps/>
          <w:color w:val="000000" w:themeColor="text1"/>
        </w:rPr>
        <w:t>US</w:t>
      </w:r>
      <w:r w:rsidR="008A5FAA" w:rsidRPr="00342080">
        <w:rPr>
          <w:rFonts w:asciiTheme="majorHAnsi" w:hAnsiTheme="majorHAnsi" w:cs="Times New Roman"/>
          <w:caps/>
          <w:color w:val="000000" w:themeColor="text1"/>
        </w:rPr>
        <w:t xml:space="preserve"> tyrim</w:t>
      </w:r>
      <w:r w:rsidR="00EA1BA8" w:rsidRPr="00342080">
        <w:rPr>
          <w:rFonts w:asciiTheme="majorHAnsi" w:hAnsiTheme="majorHAnsi" w:cs="Times New Roman"/>
          <w:caps/>
          <w:color w:val="000000" w:themeColor="text1"/>
        </w:rPr>
        <w:t xml:space="preserve">US ATLIEKANČIOS </w:t>
      </w:r>
      <w:r w:rsidR="00E770C9" w:rsidRPr="00342080">
        <w:rPr>
          <w:rFonts w:asciiTheme="majorHAnsi" w:hAnsiTheme="majorHAnsi" w:cs="Times New Roman"/>
          <w:caps/>
          <w:color w:val="000000" w:themeColor="text1"/>
        </w:rPr>
        <w:t xml:space="preserve">AUTOMATIZUOTOS LABORATORINĖS </w:t>
      </w:r>
      <w:r w:rsidR="00AE4F1C" w:rsidRPr="00342080">
        <w:rPr>
          <w:rFonts w:asciiTheme="majorHAnsi" w:hAnsiTheme="majorHAnsi" w:cs="Times New Roman"/>
          <w:caps/>
          <w:color w:val="000000" w:themeColor="text1"/>
        </w:rPr>
        <w:t>sistemos nuom</w:t>
      </w:r>
      <w:r w:rsidR="006B3DC2" w:rsidRPr="00342080">
        <w:rPr>
          <w:rFonts w:asciiTheme="majorHAnsi" w:hAnsiTheme="majorHAnsi" w:cs="Times New Roman"/>
          <w:caps/>
          <w:color w:val="000000" w:themeColor="text1"/>
        </w:rPr>
        <w:t>OS TECHNINĖ SPECIFIKACIJA</w:t>
      </w:r>
    </w:p>
    <w:p w14:paraId="30CE6694" w14:textId="7127EE9A" w:rsidR="00FB61B4" w:rsidRPr="00342080" w:rsidRDefault="00FB61B4" w:rsidP="00342080">
      <w:pPr>
        <w:spacing w:before="100" w:beforeAutospacing="1"/>
        <w:ind w:left="284" w:right="284"/>
        <w:contextualSpacing/>
        <w:mirrorIndents/>
        <w:rPr>
          <w:rFonts w:asciiTheme="majorHAnsi" w:hAnsiTheme="majorHAnsi" w:cs="Times New Roman"/>
          <w:caps/>
        </w:rPr>
      </w:pPr>
      <w:r w:rsidRPr="00342080">
        <w:rPr>
          <w:rFonts w:asciiTheme="majorHAnsi" w:hAnsiTheme="majorHAnsi" w:cs="Times New Roman"/>
          <w:caps/>
        </w:rPr>
        <w:t>)</w:t>
      </w: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3"/>
        <w:gridCol w:w="2571"/>
        <w:gridCol w:w="6122"/>
        <w:gridCol w:w="4785"/>
      </w:tblGrid>
      <w:tr w:rsidR="002607E9" w:rsidRPr="00342080" w14:paraId="23066F6F" w14:textId="2FF06CA9" w:rsidTr="00C227A7">
        <w:tc>
          <w:tcPr>
            <w:tcW w:w="806" w:type="dxa"/>
            <w:tcBorders>
              <w:top w:val="single" w:sz="4" w:space="0" w:color="auto"/>
              <w:left w:val="single" w:sz="4" w:space="0" w:color="auto"/>
              <w:bottom w:val="single" w:sz="4" w:space="0" w:color="auto"/>
              <w:right w:val="single" w:sz="4" w:space="0" w:color="auto"/>
            </w:tcBorders>
          </w:tcPr>
          <w:p w14:paraId="79420844" w14:textId="77777777" w:rsidR="002607E9" w:rsidRPr="00342080" w:rsidRDefault="002607E9" w:rsidP="00226D7D">
            <w:pPr>
              <w:pStyle w:val="Footer"/>
              <w:tabs>
                <w:tab w:val="left" w:pos="1296"/>
              </w:tabs>
              <w:contextualSpacing/>
              <w:mirrorIndents/>
              <w:rPr>
                <w:rFonts w:asciiTheme="majorHAnsi" w:hAnsiTheme="majorHAnsi" w:cs="Times New Roman"/>
                <w:b/>
              </w:rPr>
            </w:pPr>
            <w:r w:rsidRPr="00342080">
              <w:rPr>
                <w:rFonts w:asciiTheme="majorHAnsi" w:hAnsiTheme="majorHAnsi" w:cs="Times New Roman"/>
                <w:b/>
              </w:rPr>
              <w:t>Eil.</w:t>
            </w:r>
          </w:p>
          <w:p w14:paraId="754403FF" w14:textId="77777777" w:rsidR="002607E9" w:rsidRPr="00342080" w:rsidRDefault="002607E9" w:rsidP="00226D7D">
            <w:pPr>
              <w:pStyle w:val="Footer"/>
              <w:tabs>
                <w:tab w:val="left" w:pos="1296"/>
              </w:tabs>
              <w:contextualSpacing/>
              <w:mirrorIndents/>
              <w:rPr>
                <w:rFonts w:asciiTheme="majorHAnsi" w:hAnsiTheme="majorHAnsi" w:cs="Times New Roman"/>
                <w:b/>
              </w:rPr>
            </w:pPr>
            <w:r w:rsidRPr="00342080">
              <w:rPr>
                <w:rFonts w:asciiTheme="majorHAnsi" w:hAnsiTheme="majorHAnsi" w:cs="Times New Roman"/>
                <w:b/>
              </w:rPr>
              <w:t>Nr.</w:t>
            </w:r>
          </w:p>
        </w:tc>
        <w:tc>
          <w:tcPr>
            <w:tcW w:w="2270" w:type="dxa"/>
            <w:tcBorders>
              <w:top w:val="single" w:sz="4" w:space="0" w:color="auto"/>
              <w:left w:val="single" w:sz="4" w:space="0" w:color="auto"/>
              <w:bottom w:val="single" w:sz="4" w:space="0" w:color="auto"/>
              <w:right w:val="single" w:sz="4" w:space="0" w:color="auto"/>
            </w:tcBorders>
            <w:vAlign w:val="center"/>
          </w:tcPr>
          <w:p w14:paraId="4D5A5209" w14:textId="77777777" w:rsidR="002607E9" w:rsidRPr="00342080" w:rsidRDefault="002607E9" w:rsidP="00226D7D">
            <w:pPr>
              <w:pStyle w:val="Footer"/>
              <w:tabs>
                <w:tab w:val="left" w:pos="1296"/>
              </w:tabs>
              <w:contextualSpacing/>
              <w:mirrorIndents/>
              <w:rPr>
                <w:rFonts w:asciiTheme="majorHAnsi" w:hAnsiTheme="majorHAnsi" w:cs="Times New Roman"/>
                <w:b/>
              </w:rPr>
            </w:pPr>
            <w:r w:rsidRPr="00342080">
              <w:rPr>
                <w:rFonts w:asciiTheme="majorHAnsi" w:hAnsiTheme="majorHAnsi" w:cs="Times New Roman"/>
                <w:b/>
              </w:rPr>
              <w:t>Parametrai (specifikacija)</w:t>
            </w:r>
          </w:p>
        </w:tc>
        <w:tc>
          <w:tcPr>
            <w:tcW w:w="6275" w:type="dxa"/>
            <w:tcBorders>
              <w:top w:val="single" w:sz="4" w:space="0" w:color="auto"/>
              <w:left w:val="single" w:sz="4" w:space="0" w:color="auto"/>
              <w:bottom w:val="single" w:sz="4" w:space="0" w:color="auto"/>
              <w:right w:val="single" w:sz="4" w:space="0" w:color="auto"/>
            </w:tcBorders>
            <w:vAlign w:val="center"/>
          </w:tcPr>
          <w:p w14:paraId="1D09FB9D" w14:textId="77777777" w:rsidR="002607E9" w:rsidRPr="00342080" w:rsidRDefault="002607E9" w:rsidP="00226D7D">
            <w:pPr>
              <w:pStyle w:val="Footer"/>
              <w:tabs>
                <w:tab w:val="left" w:pos="1296"/>
              </w:tabs>
              <w:contextualSpacing/>
              <w:mirrorIndents/>
              <w:rPr>
                <w:rFonts w:asciiTheme="majorHAnsi" w:hAnsiTheme="majorHAnsi" w:cs="Times New Roman"/>
                <w:b/>
              </w:rPr>
            </w:pPr>
            <w:r w:rsidRPr="00342080">
              <w:rPr>
                <w:rFonts w:asciiTheme="majorHAnsi" w:hAnsiTheme="majorHAnsi" w:cs="Times New Roman"/>
                <w:b/>
              </w:rPr>
              <w:t>Reikalaujamos parametrų reikšmės</w:t>
            </w:r>
          </w:p>
        </w:tc>
        <w:tc>
          <w:tcPr>
            <w:tcW w:w="4930" w:type="dxa"/>
            <w:tcBorders>
              <w:top w:val="single" w:sz="4" w:space="0" w:color="auto"/>
              <w:left w:val="single" w:sz="4" w:space="0" w:color="auto"/>
              <w:bottom w:val="single" w:sz="4" w:space="0" w:color="auto"/>
              <w:right w:val="single" w:sz="4" w:space="0" w:color="auto"/>
            </w:tcBorders>
          </w:tcPr>
          <w:p w14:paraId="35854D83" w14:textId="5302071F" w:rsidR="002607E9" w:rsidRPr="00342080" w:rsidRDefault="002607E9" w:rsidP="00226D7D">
            <w:pPr>
              <w:pStyle w:val="Footer"/>
              <w:tabs>
                <w:tab w:val="left" w:pos="1296"/>
              </w:tabs>
              <w:contextualSpacing/>
              <w:mirrorIndents/>
              <w:rPr>
                <w:rFonts w:asciiTheme="majorHAnsi" w:hAnsiTheme="majorHAnsi" w:cs="Times New Roman"/>
                <w:b/>
              </w:rPr>
            </w:pPr>
            <w:r w:rsidRPr="00342080">
              <w:rPr>
                <w:rFonts w:asciiTheme="majorHAnsi" w:hAnsiTheme="majorHAnsi" w:cs="Times New Roman"/>
                <w:b/>
              </w:rPr>
              <w:t>Siūlomi parametrai</w:t>
            </w:r>
          </w:p>
        </w:tc>
      </w:tr>
      <w:tr w:rsidR="00CB7147" w:rsidRPr="00342080" w14:paraId="12869DCD" w14:textId="08072123" w:rsidTr="00C227A7">
        <w:tc>
          <w:tcPr>
            <w:tcW w:w="806" w:type="dxa"/>
            <w:tcBorders>
              <w:top w:val="single" w:sz="4" w:space="0" w:color="auto"/>
              <w:left w:val="single" w:sz="4" w:space="0" w:color="auto"/>
              <w:bottom w:val="single" w:sz="4" w:space="0" w:color="auto"/>
              <w:right w:val="single" w:sz="4" w:space="0" w:color="auto"/>
            </w:tcBorders>
          </w:tcPr>
          <w:p w14:paraId="48EDAE0B" w14:textId="77777777" w:rsidR="00CB7147" w:rsidRPr="00342080" w:rsidRDefault="00CB7147" w:rsidP="00226D7D">
            <w:pPr>
              <w:pStyle w:val="Footer"/>
              <w:tabs>
                <w:tab w:val="left" w:pos="1296"/>
              </w:tabs>
              <w:contextualSpacing/>
              <w:mirrorIndents/>
              <w:rPr>
                <w:rFonts w:asciiTheme="majorHAnsi" w:hAnsiTheme="majorHAnsi" w:cs="Times New Roman"/>
                <w:b/>
              </w:rPr>
            </w:pPr>
            <w:r w:rsidRPr="00342080">
              <w:rPr>
                <w:rFonts w:asciiTheme="majorHAnsi" w:hAnsiTheme="majorHAnsi" w:cs="Times New Roman"/>
                <w:b/>
              </w:rPr>
              <w:t>1.</w:t>
            </w:r>
          </w:p>
        </w:tc>
        <w:tc>
          <w:tcPr>
            <w:tcW w:w="2270" w:type="dxa"/>
            <w:tcBorders>
              <w:top w:val="single" w:sz="4" w:space="0" w:color="auto"/>
              <w:left w:val="single" w:sz="4" w:space="0" w:color="auto"/>
              <w:bottom w:val="single" w:sz="4" w:space="0" w:color="auto"/>
              <w:right w:val="single" w:sz="4" w:space="0" w:color="auto"/>
            </w:tcBorders>
          </w:tcPr>
          <w:p w14:paraId="613AC917" w14:textId="77777777" w:rsidR="00CB7147" w:rsidRPr="00342080" w:rsidRDefault="00CB7147" w:rsidP="00226D7D">
            <w:pPr>
              <w:pStyle w:val="Footer"/>
              <w:tabs>
                <w:tab w:val="left" w:pos="1296"/>
              </w:tabs>
              <w:contextualSpacing/>
              <w:mirrorIndents/>
              <w:rPr>
                <w:rFonts w:asciiTheme="majorHAnsi" w:hAnsiTheme="majorHAnsi" w:cs="Times New Roman"/>
                <w:b/>
              </w:rPr>
            </w:pPr>
            <w:proofErr w:type="spellStart"/>
            <w:r w:rsidRPr="00342080">
              <w:rPr>
                <w:rFonts w:asciiTheme="majorHAnsi" w:hAnsiTheme="majorHAnsi" w:cs="Times New Roman"/>
                <w:b/>
              </w:rPr>
              <w:t>Imunohematologinius</w:t>
            </w:r>
            <w:proofErr w:type="spellEnd"/>
            <w:r w:rsidRPr="00342080">
              <w:rPr>
                <w:rFonts w:asciiTheme="majorHAnsi" w:hAnsiTheme="majorHAnsi" w:cs="Times New Roman"/>
                <w:b/>
              </w:rPr>
              <w:t xml:space="preserve"> </w:t>
            </w:r>
            <w:r w:rsidRPr="00342080">
              <w:rPr>
                <w:rFonts w:asciiTheme="majorHAnsi" w:hAnsiTheme="majorHAnsi" w:cs="Times New Roman"/>
                <w:b/>
                <w:color w:val="000000" w:themeColor="text1"/>
              </w:rPr>
              <w:t>tyrimus atliekanti sistema (pavadinimas, tipas/modelis, gamintojas)</w:t>
            </w:r>
          </w:p>
        </w:tc>
        <w:tc>
          <w:tcPr>
            <w:tcW w:w="6275" w:type="dxa"/>
            <w:tcBorders>
              <w:top w:val="single" w:sz="4" w:space="0" w:color="auto"/>
              <w:left w:val="single" w:sz="4" w:space="0" w:color="auto"/>
              <w:bottom w:val="single" w:sz="4" w:space="0" w:color="auto"/>
              <w:right w:val="single" w:sz="4" w:space="0" w:color="auto"/>
            </w:tcBorders>
          </w:tcPr>
          <w:p w14:paraId="0AA5F857" w14:textId="4C48D8AE" w:rsidR="00CB7147" w:rsidRPr="00342080" w:rsidRDefault="00CB7147" w:rsidP="00226D7D">
            <w:pPr>
              <w:pStyle w:val="Footer"/>
              <w:tabs>
                <w:tab w:val="left" w:pos="1296"/>
              </w:tabs>
              <w:contextualSpacing/>
              <w:mirrorIndents/>
              <w:rPr>
                <w:rFonts w:asciiTheme="majorHAnsi" w:hAnsiTheme="majorHAnsi" w:cs="Times New Roman"/>
                <w:b/>
                <w:bCs/>
              </w:rPr>
            </w:pPr>
            <w:r w:rsidRPr="00342080">
              <w:rPr>
                <w:rFonts w:asciiTheme="majorHAnsi" w:hAnsiTheme="majorHAnsi" w:cs="Times New Roman"/>
                <w:b/>
                <w:color w:val="000000" w:themeColor="text1"/>
              </w:rPr>
              <w:t xml:space="preserve">Nuomai turi būti siūloma sistema: 2 vnt. </w:t>
            </w:r>
            <w:proofErr w:type="spellStart"/>
            <w:r w:rsidRPr="00342080">
              <w:rPr>
                <w:rFonts w:asciiTheme="majorHAnsi" w:hAnsiTheme="majorHAnsi" w:cs="Times New Roman"/>
                <w:b/>
                <w:color w:val="000000" w:themeColor="text1"/>
              </w:rPr>
              <w:t>imunohematologiniai</w:t>
            </w:r>
            <w:proofErr w:type="spellEnd"/>
            <w:r w:rsidRPr="00342080">
              <w:rPr>
                <w:rFonts w:asciiTheme="majorHAnsi" w:hAnsiTheme="majorHAnsi" w:cs="Times New Roman"/>
                <w:b/>
                <w:color w:val="000000" w:themeColor="text1"/>
              </w:rPr>
              <w:t xml:space="preserve"> a</w:t>
            </w:r>
            <w:r w:rsidRPr="00342080">
              <w:rPr>
                <w:rFonts w:asciiTheme="majorHAnsi" w:hAnsiTheme="majorHAnsi" w:cs="Times New Roman"/>
                <w:b/>
                <w:bCs/>
              </w:rPr>
              <w:t xml:space="preserve">nalizatoriai </w:t>
            </w:r>
            <w:r w:rsidR="006A1557" w:rsidRPr="00342080">
              <w:rPr>
                <w:rFonts w:asciiTheme="majorHAnsi" w:hAnsiTheme="majorHAnsi" w:cs="Times New Roman"/>
                <w:b/>
                <w:bCs/>
              </w:rPr>
              <w:t xml:space="preserve">ir kita įranga – </w:t>
            </w:r>
            <w:r w:rsidRPr="00342080">
              <w:rPr>
                <w:rFonts w:asciiTheme="majorHAnsi" w:hAnsiTheme="majorHAnsi" w:cs="Times New Roman"/>
                <w:b/>
                <w:bCs/>
              </w:rPr>
              <w:t xml:space="preserve">nauji, nenaudoti; 1 vnt. </w:t>
            </w:r>
            <w:proofErr w:type="spellStart"/>
            <w:r w:rsidRPr="00342080">
              <w:rPr>
                <w:rFonts w:asciiTheme="majorHAnsi" w:hAnsiTheme="majorHAnsi" w:cs="Times New Roman"/>
                <w:b/>
                <w:bCs/>
              </w:rPr>
              <w:t>imunohematologinis</w:t>
            </w:r>
            <w:proofErr w:type="spellEnd"/>
            <w:r w:rsidRPr="00342080">
              <w:rPr>
                <w:rFonts w:asciiTheme="majorHAnsi" w:hAnsiTheme="majorHAnsi" w:cs="Times New Roman"/>
                <w:b/>
                <w:bCs/>
              </w:rPr>
              <w:t xml:space="preserve"> analizatorius ne senesnis nei 2021 m.</w:t>
            </w:r>
          </w:p>
          <w:p w14:paraId="2741632E" w14:textId="1C34CE1E" w:rsidR="00CB7147" w:rsidRPr="00342080" w:rsidRDefault="00CB7147" w:rsidP="00226D7D">
            <w:pPr>
              <w:pStyle w:val="Footer"/>
              <w:tabs>
                <w:tab w:val="left" w:pos="1296"/>
              </w:tabs>
              <w:contextualSpacing/>
              <w:mirrorIndents/>
              <w:rPr>
                <w:rFonts w:asciiTheme="majorHAnsi" w:hAnsiTheme="majorHAnsi" w:cs="Times New Roman"/>
                <w:b/>
                <w:bCs/>
              </w:rPr>
            </w:pPr>
            <w:r w:rsidRPr="00342080">
              <w:rPr>
                <w:rFonts w:asciiTheme="majorHAnsi" w:hAnsiTheme="majorHAnsi" w:cs="Times New Roman"/>
                <w:color w:val="000000" w:themeColor="text1"/>
              </w:rPr>
              <w:t>(</w:t>
            </w:r>
            <w:r w:rsidRPr="00342080">
              <w:rPr>
                <w:rFonts w:asciiTheme="majorHAnsi" w:hAnsiTheme="majorHAnsi" w:cs="Times New Roman"/>
                <w:i/>
                <w:color w:val="000000" w:themeColor="text1"/>
              </w:rPr>
              <w:t>nurodyti pavadinimą, tipą/modelį, gamintoją</w:t>
            </w:r>
            <w:r w:rsidRPr="00342080">
              <w:rPr>
                <w:rFonts w:asciiTheme="majorHAnsi" w:hAnsiTheme="majorHAnsi" w:cs="Times New Roman"/>
                <w:b/>
                <w:color w:val="000000" w:themeColor="text1"/>
              </w:rPr>
              <w:t>)</w:t>
            </w:r>
          </w:p>
        </w:tc>
        <w:tc>
          <w:tcPr>
            <w:tcW w:w="4930" w:type="dxa"/>
            <w:tcBorders>
              <w:top w:val="single" w:sz="4" w:space="0" w:color="auto"/>
              <w:left w:val="single" w:sz="4" w:space="0" w:color="auto"/>
              <w:bottom w:val="single" w:sz="4" w:space="0" w:color="auto"/>
              <w:right w:val="single" w:sz="4" w:space="0" w:color="auto"/>
            </w:tcBorders>
          </w:tcPr>
          <w:p w14:paraId="148EE65A" w14:textId="1408D35E" w:rsidR="00CB7147" w:rsidRPr="00342080" w:rsidRDefault="00CB7147" w:rsidP="00226D7D">
            <w:pPr>
              <w:pStyle w:val="Footer"/>
              <w:tabs>
                <w:tab w:val="left" w:pos="1296"/>
              </w:tabs>
              <w:contextualSpacing/>
              <w:mirrorIndents/>
              <w:rPr>
                <w:rFonts w:asciiTheme="majorHAnsi" w:hAnsiTheme="majorHAnsi" w:cs="Times New Roman"/>
                <w:b/>
                <w:bCs/>
              </w:rPr>
            </w:pPr>
            <w:r w:rsidRPr="00342080">
              <w:rPr>
                <w:rFonts w:asciiTheme="majorHAnsi" w:hAnsiTheme="majorHAnsi" w:cs="Times New Roman"/>
                <w:i/>
              </w:rPr>
              <w:t>įrašo tiekėjas</w:t>
            </w:r>
          </w:p>
        </w:tc>
      </w:tr>
      <w:tr w:rsidR="00CB7147" w:rsidRPr="00342080" w14:paraId="7D9D9B11" w14:textId="540C37A1" w:rsidTr="00C227A7">
        <w:tc>
          <w:tcPr>
            <w:tcW w:w="806" w:type="dxa"/>
            <w:tcBorders>
              <w:top w:val="single" w:sz="4" w:space="0" w:color="auto"/>
              <w:left w:val="single" w:sz="4" w:space="0" w:color="auto"/>
              <w:bottom w:val="single" w:sz="4" w:space="0" w:color="auto"/>
              <w:right w:val="single" w:sz="4" w:space="0" w:color="auto"/>
            </w:tcBorders>
          </w:tcPr>
          <w:p w14:paraId="51607CE4" w14:textId="77777777" w:rsidR="00CB7147" w:rsidRPr="00342080" w:rsidRDefault="00CB7147" w:rsidP="00226D7D">
            <w:pPr>
              <w:pStyle w:val="Footer"/>
              <w:tabs>
                <w:tab w:val="left" w:pos="1296"/>
              </w:tabs>
              <w:contextualSpacing/>
              <w:mirrorIndents/>
              <w:rPr>
                <w:rFonts w:asciiTheme="majorHAnsi" w:hAnsiTheme="majorHAnsi" w:cs="Times New Roman"/>
                <w:b/>
              </w:rPr>
            </w:pPr>
            <w:r w:rsidRPr="00342080">
              <w:rPr>
                <w:rFonts w:asciiTheme="majorHAnsi" w:hAnsiTheme="majorHAnsi" w:cs="Times New Roman"/>
              </w:rPr>
              <w:t>1.1</w:t>
            </w:r>
          </w:p>
        </w:tc>
        <w:tc>
          <w:tcPr>
            <w:tcW w:w="2270" w:type="dxa"/>
            <w:tcBorders>
              <w:top w:val="single" w:sz="4" w:space="0" w:color="auto"/>
              <w:left w:val="single" w:sz="4" w:space="0" w:color="auto"/>
              <w:bottom w:val="single" w:sz="4" w:space="0" w:color="auto"/>
              <w:right w:val="single" w:sz="4" w:space="0" w:color="auto"/>
            </w:tcBorders>
          </w:tcPr>
          <w:p w14:paraId="7DA4123D" w14:textId="77777777" w:rsidR="00CB7147" w:rsidRPr="00342080" w:rsidRDefault="00CB7147" w:rsidP="00226D7D">
            <w:pPr>
              <w:pStyle w:val="Footer"/>
              <w:tabs>
                <w:tab w:val="left" w:pos="1296"/>
              </w:tabs>
              <w:contextualSpacing/>
              <w:mirrorIndents/>
              <w:rPr>
                <w:rFonts w:asciiTheme="majorHAnsi" w:hAnsiTheme="majorHAnsi" w:cs="Times New Roman"/>
                <w:color w:val="000000" w:themeColor="text1"/>
              </w:rPr>
            </w:pPr>
            <w:r w:rsidRPr="00342080">
              <w:rPr>
                <w:rFonts w:asciiTheme="majorHAnsi" w:hAnsiTheme="majorHAnsi" w:cs="Times New Roman"/>
                <w:color w:val="000000" w:themeColor="text1"/>
              </w:rPr>
              <w:t>Sistemos paskirtis</w:t>
            </w:r>
          </w:p>
        </w:tc>
        <w:tc>
          <w:tcPr>
            <w:tcW w:w="6275" w:type="dxa"/>
            <w:tcBorders>
              <w:top w:val="single" w:sz="4" w:space="0" w:color="auto"/>
              <w:left w:val="single" w:sz="4" w:space="0" w:color="auto"/>
              <w:bottom w:val="single" w:sz="4" w:space="0" w:color="auto"/>
              <w:right w:val="single" w:sz="4" w:space="0" w:color="auto"/>
            </w:tcBorders>
          </w:tcPr>
          <w:p w14:paraId="6E4F91E9" w14:textId="7FC2165F" w:rsidR="00CB7147" w:rsidRPr="00342080" w:rsidRDefault="00CB7147" w:rsidP="00226D7D">
            <w:pPr>
              <w:pStyle w:val="Footer"/>
              <w:tabs>
                <w:tab w:val="left" w:pos="1296"/>
              </w:tabs>
              <w:contextualSpacing/>
              <w:mirrorIndents/>
              <w:rPr>
                <w:rFonts w:asciiTheme="majorHAnsi" w:hAnsiTheme="majorHAnsi" w:cs="Times New Roman"/>
                <w:b/>
              </w:rPr>
            </w:pPr>
            <w:r w:rsidRPr="00342080">
              <w:rPr>
                <w:rFonts w:asciiTheme="majorHAnsi" w:hAnsiTheme="majorHAnsi" w:cs="Times New Roman"/>
                <w:color w:val="000000" w:themeColor="text1"/>
              </w:rPr>
              <w:t xml:space="preserve">Nuomai pateikiama sistema turi būti techniškai pajėgi atlikti visus 1 priede nurodytus </w:t>
            </w:r>
            <w:proofErr w:type="spellStart"/>
            <w:r w:rsidRPr="00342080">
              <w:rPr>
                <w:rFonts w:asciiTheme="majorHAnsi" w:hAnsiTheme="majorHAnsi" w:cs="Times New Roman"/>
                <w:color w:val="000000" w:themeColor="text1"/>
              </w:rPr>
              <w:t>imunohematologinius</w:t>
            </w:r>
            <w:proofErr w:type="spellEnd"/>
            <w:r w:rsidRPr="00342080">
              <w:rPr>
                <w:rFonts w:asciiTheme="majorHAnsi" w:hAnsiTheme="majorHAnsi" w:cs="Times New Roman"/>
                <w:color w:val="000000" w:themeColor="text1"/>
              </w:rPr>
              <w:t xml:space="preserve"> tyrimus</w:t>
            </w:r>
            <w:r w:rsidRPr="00342080">
              <w:rPr>
                <w:rFonts w:asciiTheme="majorHAnsi" w:hAnsiTheme="majorHAnsi" w:cs="Times New Roman"/>
                <w:b/>
              </w:rPr>
              <w:t xml:space="preserve"> </w:t>
            </w:r>
          </w:p>
        </w:tc>
        <w:tc>
          <w:tcPr>
            <w:tcW w:w="4930" w:type="dxa"/>
            <w:tcBorders>
              <w:top w:val="single" w:sz="4" w:space="0" w:color="auto"/>
              <w:left w:val="single" w:sz="4" w:space="0" w:color="auto"/>
              <w:bottom w:val="single" w:sz="4" w:space="0" w:color="auto"/>
              <w:right w:val="single" w:sz="4" w:space="0" w:color="auto"/>
            </w:tcBorders>
          </w:tcPr>
          <w:p w14:paraId="73BF0728" w14:textId="31A16D67" w:rsidR="00CB7147" w:rsidRPr="00342080" w:rsidRDefault="00CB7147" w:rsidP="00226D7D">
            <w:pPr>
              <w:pStyle w:val="Footer"/>
              <w:tabs>
                <w:tab w:val="left" w:pos="1296"/>
              </w:tabs>
              <w:contextualSpacing/>
              <w:mirrorIndents/>
              <w:rPr>
                <w:rFonts w:asciiTheme="majorHAnsi" w:hAnsiTheme="majorHAnsi" w:cs="Times New Roman"/>
              </w:rPr>
            </w:pPr>
            <w:r w:rsidRPr="00342080">
              <w:rPr>
                <w:rFonts w:asciiTheme="majorHAnsi" w:hAnsiTheme="majorHAnsi" w:cs="Times New Roman"/>
                <w:i/>
              </w:rPr>
              <w:t>įrašo tiekėjas</w:t>
            </w:r>
          </w:p>
        </w:tc>
      </w:tr>
      <w:tr w:rsidR="00CB7147" w:rsidRPr="00342080" w14:paraId="31AB9313" w14:textId="7DC03680" w:rsidTr="00C227A7">
        <w:tc>
          <w:tcPr>
            <w:tcW w:w="806" w:type="dxa"/>
            <w:tcBorders>
              <w:top w:val="single" w:sz="4" w:space="0" w:color="auto"/>
              <w:left w:val="single" w:sz="4" w:space="0" w:color="auto"/>
              <w:bottom w:val="single" w:sz="4" w:space="0" w:color="auto"/>
              <w:right w:val="single" w:sz="4" w:space="0" w:color="auto"/>
            </w:tcBorders>
          </w:tcPr>
          <w:p w14:paraId="2252CC18" w14:textId="77777777" w:rsidR="00CB7147" w:rsidRPr="00342080" w:rsidRDefault="00CB7147" w:rsidP="00226D7D">
            <w:pPr>
              <w:pStyle w:val="Footer"/>
              <w:tabs>
                <w:tab w:val="left" w:pos="1296"/>
              </w:tabs>
              <w:contextualSpacing/>
              <w:mirrorIndents/>
              <w:rPr>
                <w:rFonts w:asciiTheme="majorHAnsi" w:hAnsiTheme="majorHAnsi" w:cs="Times New Roman"/>
                <w:b/>
              </w:rPr>
            </w:pPr>
            <w:r w:rsidRPr="00342080">
              <w:rPr>
                <w:rFonts w:asciiTheme="majorHAnsi" w:hAnsiTheme="majorHAnsi" w:cs="Times New Roman"/>
              </w:rPr>
              <w:t>1.2</w:t>
            </w:r>
          </w:p>
        </w:tc>
        <w:tc>
          <w:tcPr>
            <w:tcW w:w="2270" w:type="dxa"/>
            <w:tcBorders>
              <w:top w:val="single" w:sz="4" w:space="0" w:color="auto"/>
              <w:left w:val="single" w:sz="4" w:space="0" w:color="auto"/>
              <w:bottom w:val="single" w:sz="4" w:space="0" w:color="auto"/>
              <w:right w:val="single" w:sz="4" w:space="0" w:color="auto"/>
            </w:tcBorders>
          </w:tcPr>
          <w:p w14:paraId="5D6C845E" w14:textId="77777777" w:rsidR="00CB7147" w:rsidRPr="00342080" w:rsidRDefault="00CB7147" w:rsidP="00226D7D">
            <w:pPr>
              <w:pStyle w:val="Footer"/>
              <w:tabs>
                <w:tab w:val="left" w:pos="1296"/>
              </w:tabs>
              <w:contextualSpacing/>
              <w:mirrorIndents/>
              <w:rPr>
                <w:rFonts w:asciiTheme="majorHAnsi" w:hAnsiTheme="majorHAnsi" w:cs="Times New Roman"/>
                <w:color w:val="000000" w:themeColor="text1"/>
              </w:rPr>
            </w:pPr>
            <w:r w:rsidRPr="00342080">
              <w:rPr>
                <w:rFonts w:asciiTheme="majorHAnsi" w:hAnsiTheme="majorHAnsi" w:cs="Times New Roman"/>
                <w:color w:val="000000" w:themeColor="text1"/>
              </w:rPr>
              <w:t>Komplektacija</w:t>
            </w:r>
          </w:p>
        </w:tc>
        <w:tc>
          <w:tcPr>
            <w:tcW w:w="6275" w:type="dxa"/>
            <w:tcBorders>
              <w:top w:val="single" w:sz="4" w:space="0" w:color="auto"/>
              <w:left w:val="single" w:sz="4" w:space="0" w:color="auto"/>
              <w:bottom w:val="single" w:sz="4" w:space="0" w:color="auto"/>
              <w:right w:val="single" w:sz="4" w:space="0" w:color="auto"/>
            </w:tcBorders>
          </w:tcPr>
          <w:p w14:paraId="271EE736" w14:textId="77777777" w:rsidR="00CB7147" w:rsidRPr="00342080" w:rsidRDefault="00CB7147" w:rsidP="006D1B5E">
            <w:pPr>
              <w:pStyle w:val="Footer"/>
              <w:ind w:left="284"/>
              <w:contextualSpacing/>
              <w:mirrorIndents/>
              <w:rPr>
                <w:rFonts w:asciiTheme="majorHAnsi" w:hAnsiTheme="majorHAnsi" w:cs="Times New Roman"/>
              </w:rPr>
            </w:pPr>
            <w:r w:rsidRPr="00342080">
              <w:rPr>
                <w:rFonts w:asciiTheme="majorHAnsi" w:hAnsiTheme="majorHAnsi" w:cs="Times New Roman"/>
              </w:rPr>
              <w:t>Sistemą sudaro:</w:t>
            </w:r>
          </w:p>
          <w:p w14:paraId="6798CD05" w14:textId="0708D3CA" w:rsidR="00CB7147" w:rsidRPr="00342080" w:rsidRDefault="00CB7147" w:rsidP="006D1B5E">
            <w:pPr>
              <w:pStyle w:val="Footer"/>
              <w:numPr>
                <w:ilvl w:val="0"/>
                <w:numId w:val="16"/>
              </w:numPr>
              <w:ind w:left="284" w:hanging="283"/>
              <w:contextualSpacing/>
              <w:mirrorIndents/>
              <w:rPr>
                <w:rFonts w:asciiTheme="majorHAnsi" w:hAnsiTheme="majorHAnsi" w:cs="Times New Roman"/>
              </w:rPr>
            </w:pPr>
            <w:r w:rsidRPr="00342080">
              <w:rPr>
                <w:rFonts w:asciiTheme="majorHAnsi" w:hAnsiTheme="majorHAnsi" w:cs="Times New Roman"/>
              </w:rPr>
              <w:t xml:space="preserve">Trys vienodi (identiški), pilnai automatizuoti </w:t>
            </w:r>
            <w:proofErr w:type="spellStart"/>
            <w:r w:rsidRPr="00342080">
              <w:rPr>
                <w:rFonts w:asciiTheme="majorHAnsi" w:hAnsiTheme="majorHAnsi" w:cs="Times New Roman"/>
              </w:rPr>
              <w:t>imunohematologinius</w:t>
            </w:r>
            <w:proofErr w:type="spellEnd"/>
            <w:r w:rsidRPr="00342080">
              <w:rPr>
                <w:rFonts w:asciiTheme="majorHAnsi" w:hAnsiTheme="majorHAnsi" w:cs="Times New Roman"/>
              </w:rPr>
              <w:t xml:space="preserve"> tyrimus atliekantys analizatoriai. Nuomai pateikti analizatoriai turi būti sukomplektuoti su:</w:t>
            </w:r>
          </w:p>
          <w:p w14:paraId="6BFE20D1" w14:textId="2197C4D8" w:rsidR="00CB7147" w:rsidRPr="00342080" w:rsidRDefault="00CB7147" w:rsidP="006D1B5E">
            <w:pPr>
              <w:pStyle w:val="Footer"/>
              <w:tabs>
                <w:tab w:val="left" w:pos="566"/>
              </w:tabs>
              <w:ind w:left="284" w:hanging="283"/>
              <w:contextualSpacing/>
              <w:mirrorIndents/>
              <w:rPr>
                <w:rFonts w:asciiTheme="majorHAnsi" w:hAnsiTheme="majorHAnsi" w:cs="Times New Roman"/>
              </w:rPr>
            </w:pPr>
            <w:r w:rsidRPr="00342080">
              <w:rPr>
                <w:rFonts w:asciiTheme="majorHAnsi" w:hAnsiTheme="majorHAnsi" w:cs="Times New Roman"/>
              </w:rPr>
              <w:t>1.1. specialiais stalais, atspariais vibracijai, pritaikytais analizatoriams pastatyti ir reagentams bei nepertraukiamo maitinimo šaltiniams laikyti (3 vnt.);</w:t>
            </w:r>
          </w:p>
          <w:p w14:paraId="0F3DD044" w14:textId="7137A41B" w:rsidR="00CB7147" w:rsidRPr="00342080" w:rsidRDefault="00CB7147" w:rsidP="006D1B5E">
            <w:pPr>
              <w:pStyle w:val="Footer"/>
              <w:tabs>
                <w:tab w:val="left" w:pos="566"/>
              </w:tabs>
              <w:ind w:left="284" w:hanging="283"/>
              <w:contextualSpacing/>
              <w:mirrorIndents/>
              <w:rPr>
                <w:rFonts w:asciiTheme="majorHAnsi" w:hAnsiTheme="majorHAnsi" w:cs="Times New Roman"/>
              </w:rPr>
            </w:pPr>
            <w:r w:rsidRPr="00342080">
              <w:rPr>
                <w:rFonts w:asciiTheme="majorHAnsi" w:hAnsiTheme="majorHAnsi" w:cs="Times New Roman"/>
              </w:rPr>
              <w:t>1.2. nepertraukiamo maitinimo šaltiniais su baterijomis (3 vnt.);</w:t>
            </w:r>
          </w:p>
          <w:p w14:paraId="516B6831" w14:textId="6AEFC148" w:rsidR="00CB7147" w:rsidRPr="00342080" w:rsidRDefault="00CB7147" w:rsidP="006D1B5E">
            <w:pPr>
              <w:pStyle w:val="Footer"/>
              <w:tabs>
                <w:tab w:val="left" w:pos="566"/>
              </w:tabs>
              <w:ind w:left="284" w:hanging="283"/>
              <w:contextualSpacing/>
              <w:mirrorIndents/>
              <w:rPr>
                <w:rFonts w:asciiTheme="majorHAnsi" w:hAnsiTheme="majorHAnsi" w:cs="Times New Roman"/>
              </w:rPr>
            </w:pPr>
            <w:r w:rsidRPr="00342080">
              <w:rPr>
                <w:rFonts w:asciiTheme="majorHAnsi" w:hAnsiTheme="majorHAnsi" w:cs="Times New Roman"/>
              </w:rPr>
              <w:t>1.3. išoriniais brūkšninių kodų skaitytuvais (3 vnt.);</w:t>
            </w:r>
          </w:p>
          <w:p w14:paraId="2088EF14" w14:textId="226FBAFA" w:rsidR="00CB7147" w:rsidRPr="00342080" w:rsidRDefault="00CB7147" w:rsidP="006D1B5E">
            <w:pPr>
              <w:pStyle w:val="Footer"/>
              <w:tabs>
                <w:tab w:val="left" w:pos="566"/>
              </w:tabs>
              <w:ind w:left="284" w:hanging="283"/>
              <w:contextualSpacing/>
              <w:mirrorIndents/>
              <w:rPr>
                <w:rFonts w:asciiTheme="majorHAnsi" w:hAnsiTheme="majorHAnsi" w:cs="Times New Roman"/>
              </w:rPr>
            </w:pPr>
            <w:r w:rsidRPr="00342080">
              <w:rPr>
                <w:rFonts w:asciiTheme="majorHAnsi" w:hAnsiTheme="majorHAnsi" w:cs="Times New Roman"/>
              </w:rPr>
              <w:t>1.4. lazeriniu spausdintuvu (1 vnt.);</w:t>
            </w:r>
          </w:p>
          <w:p w14:paraId="40488C7C" w14:textId="6E5F9050" w:rsidR="00CB7147" w:rsidRPr="00342080" w:rsidRDefault="00CB7147" w:rsidP="006D1B5E">
            <w:pPr>
              <w:pStyle w:val="Footer"/>
              <w:tabs>
                <w:tab w:val="left" w:pos="566"/>
              </w:tabs>
              <w:ind w:left="284" w:hanging="283"/>
              <w:contextualSpacing/>
              <w:mirrorIndents/>
              <w:rPr>
                <w:rFonts w:asciiTheme="majorHAnsi" w:hAnsiTheme="majorHAnsi" w:cs="Times New Roman"/>
              </w:rPr>
            </w:pPr>
            <w:r w:rsidRPr="00342080">
              <w:rPr>
                <w:rFonts w:asciiTheme="majorHAnsi" w:hAnsiTheme="majorHAnsi" w:cs="Times New Roman"/>
              </w:rPr>
              <w:t>1.5. išorinis</w:t>
            </w:r>
            <w:r w:rsidR="00EC5997" w:rsidRPr="00342080">
              <w:rPr>
                <w:rFonts w:asciiTheme="majorHAnsi" w:hAnsiTheme="majorHAnsi" w:cs="Times New Roman"/>
              </w:rPr>
              <w:t xml:space="preserve"> </w:t>
            </w:r>
            <w:r w:rsidR="008D4BC0" w:rsidRPr="00342080">
              <w:rPr>
                <w:rFonts w:asciiTheme="majorHAnsi" w:hAnsiTheme="majorHAnsi" w:cs="Times New Roman"/>
              </w:rPr>
              <w:t>(-</w:t>
            </w:r>
            <w:proofErr w:type="spellStart"/>
            <w:r w:rsidR="008D4BC0" w:rsidRPr="00342080">
              <w:rPr>
                <w:rFonts w:asciiTheme="majorHAnsi" w:hAnsiTheme="majorHAnsi" w:cs="Times New Roman"/>
              </w:rPr>
              <w:t>iai</w:t>
            </w:r>
            <w:proofErr w:type="spellEnd"/>
            <w:r w:rsidR="008D4BC0" w:rsidRPr="00342080">
              <w:rPr>
                <w:rFonts w:asciiTheme="majorHAnsi" w:hAnsiTheme="majorHAnsi" w:cs="Times New Roman"/>
              </w:rPr>
              <w:t>)</w:t>
            </w:r>
            <w:r w:rsidRPr="00342080">
              <w:rPr>
                <w:rFonts w:asciiTheme="majorHAnsi" w:hAnsiTheme="majorHAnsi" w:cs="Times New Roman"/>
              </w:rPr>
              <w:t xml:space="preserve"> valdymo kompiuteri</w:t>
            </w:r>
            <w:r w:rsidR="008D4BC0" w:rsidRPr="00342080">
              <w:rPr>
                <w:rFonts w:asciiTheme="majorHAnsi" w:hAnsiTheme="majorHAnsi" w:cs="Times New Roman"/>
              </w:rPr>
              <w:t>s</w:t>
            </w:r>
            <w:r w:rsidR="00EC5997" w:rsidRPr="00342080">
              <w:rPr>
                <w:rFonts w:asciiTheme="majorHAnsi" w:hAnsiTheme="majorHAnsi" w:cs="Times New Roman"/>
              </w:rPr>
              <w:t xml:space="preserve"> </w:t>
            </w:r>
            <w:r w:rsidR="008D4BC0" w:rsidRPr="00342080">
              <w:rPr>
                <w:rFonts w:asciiTheme="majorHAnsi" w:hAnsiTheme="majorHAnsi" w:cs="Times New Roman"/>
              </w:rPr>
              <w:t>(-</w:t>
            </w:r>
            <w:proofErr w:type="spellStart"/>
            <w:r w:rsidR="008D4BC0" w:rsidRPr="00342080">
              <w:rPr>
                <w:rFonts w:asciiTheme="majorHAnsi" w:hAnsiTheme="majorHAnsi" w:cs="Times New Roman"/>
              </w:rPr>
              <w:t>i</w:t>
            </w:r>
            <w:r w:rsidRPr="00342080">
              <w:rPr>
                <w:rFonts w:asciiTheme="majorHAnsi" w:hAnsiTheme="majorHAnsi" w:cs="Times New Roman"/>
              </w:rPr>
              <w:t>ai</w:t>
            </w:r>
            <w:proofErr w:type="spellEnd"/>
            <w:r w:rsidR="008D4BC0" w:rsidRPr="00342080">
              <w:rPr>
                <w:rFonts w:asciiTheme="majorHAnsi" w:hAnsiTheme="majorHAnsi" w:cs="Times New Roman"/>
              </w:rPr>
              <w:t>)</w:t>
            </w:r>
            <w:r w:rsidRPr="00342080">
              <w:rPr>
                <w:rFonts w:asciiTheme="majorHAnsi" w:hAnsiTheme="majorHAnsi" w:cs="Times New Roman"/>
              </w:rPr>
              <w:t xml:space="preserve"> (būtina tik tuo atveju, jei analizatoriai valdomi išorinių kompiuterių pagalba) (</w:t>
            </w:r>
            <w:r w:rsidR="008D4BC0" w:rsidRPr="00342080">
              <w:rPr>
                <w:rFonts w:asciiTheme="majorHAnsi" w:hAnsiTheme="majorHAnsi" w:cs="Times New Roman"/>
              </w:rPr>
              <w:t>1</w:t>
            </w:r>
            <w:r w:rsidR="00EC5997" w:rsidRPr="00342080">
              <w:rPr>
                <w:rFonts w:asciiTheme="majorHAnsi" w:hAnsiTheme="majorHAnsi" w:cs="Times New Roman"/>
              </w:rPr>
              <w:t>–</w:t>
            </w:r>
            <w:r w:rsidRPr="00342080">
              <w:rPr>
                <w:rFonts w:asciiTheme="majorHAnsi" w:hAnsiTheme="majorHAnsi" w:cs="Times New Roman"/>
              </w:rPr>
              <w:t>3 vnt.).</w:t>
            </w:r>
          </w:p>
          <w:p w14:paraId="3A42500E" w14:textId="4D8E5E4F" w:rsidR="00CB7147" w:rsidRPr="00342080" w:rsidRDefault="00CB7147" w:rsidP="006D1B5E">
            <w:pPr>
              <w:pStyle w:val="Footer"/>
              <w:numPr>
                <w:ilvl w:val="0"/>
                <w:numId w:val="16"/>
              </w:numPr>
              <w:ind w:left="284" w:hanging="283"/>
              <w:contextualSpacing/>
              <w:mirrorIndents/>
              <w:rPr>
                <w:rFonts w:asciiTheme="majorHAnsi" w:hAnsiTheme="majorHAnsi" w:cs="Times New Roman"/>
              </w:rPr>
            </w:pPr>
            <w:r w:rsidRPr="00342080">
              <w:rPr>
                <w:rFonts w:asciiTheme="majorHAnsi" w:hAnsiTheme="majorHAnsi" w:cs="Times New Roman"/>
              </w:rPr>
              <w:t>Išorinė centrifuga, skirta centrifuguoti stulpelių korteles (1 vnt.).</w:t>
            </w:r>
          </w:p>
          <w:p w14:paraId="1D060F37" w14:textId="155548BB" w:rsidR="00CB7147" w:rsidRPr="00342080" w:rsidRDefault="00CB7147" w:rsidP="006D1B5E">
            <w:pPr>
              <w:pStyle w:val="Footer"/>
              <w:numPr>
                <w:ilvl w:val="0"/>
                <w:numId w:val="16"/>
              </w:numPr>
              <w:ind w:left="284" w:hanging="283"/>
              <w:contextualSpacing/>
              <w:mirrorIndents/>
              <w:rPr>
                <w:rFonts w:asciiTheme="majorHAnsi" w:hAnsiTheme="majorHAnsi" w:cs="Times New Roman"/>
              </w:rPr>
            </w:pPr>
            <w:r w:rsidRPr="00342080">
              <w:rPr>
                <w:rFonts w:asciiTheme="majorHAnsi" w:hAnsiTheme="majorHAnsi" w:cs="Times New Roman"/>
              </w:rPr>
              <w:t>Išorinis inkubatorius stulpelių kortelėms (1 vnt.).</w:t>
            </w:r>
          </w:p>
          <w:p w14:paraId="507BCCB8" w14:textId="709AD91A" w:rsidR="00CB7147" w:rsidRPr="00342080" w:rsidRDefault="00CB7147" w:rsidP="006D1B5E">
            <w:pPr>
              <w:pStyle w:val="Footer"/>
              <w:numPr>
                <w:ilvl w:val="0"/>
                <w:numId w:val="16"/>
              </w:numPr>
              <w:ind w:left="284" w:hanging="283"/>
              <w:contextualSpacing/>
              <w:mirrorIndents/>
              <w:rPr>
                <w:rFonts w:asciiTheme="majorHAnsi" w:hAnsiTheme="majorHAnsi" w:cs="Times New Roman"/>
              </w:rPr>
            </w:pPr>
            <w:r w:rsidRPr="00342080">
              <w:rPr>
                <w:rFonts w:asciiTheme="majorHAnsi" w:hAnsiTheme="majorHAnsi" w:cs="Times New Roman"/>
              </w:rPr>
              <w:t>Centrifuga skirta centrifuguoti ėminius (vakuuminius mėgintuvėlius su EDTA)</w:t>
            </w:r>
            <w:r w:rsidR="000F362A" w:rsidRPr="00342080">
              <w:rPr>
                <w:rFonts w:asciiTheme="majorHAnsi" w:hAnsiTheme="majorHAnsi" w:cs="Times New Roman"/>
              </w:rPr>
              <w:t>,</w:t>
            </w:r>
            <w:r w:rsidRPr="00342080">
              <w:rPr>
                <w:rFonts w:asciiTheme="majorHAnsi" w:hAnsiTheme="majorHAnsi" w:cs="Times New Roman"/>
              </w:rPr>
              <w:t xml:space="preserve"> ne</w:t>
            </w:r>
            <w:r w:rsidR="000F362A" w:rsidRPr="00342080">
              <w:rPr>
                <w:rFonts w:asciiTheme="majorHAnsi" w:hAnsiTheme="majorHAnsi" w:cs="Times New Roman"/>
              </w:rPr>
              <w:t xml:space="preserve"> </w:t>
            </w:r>
            <w:r w:rsidRPr="00342080">
              <w:rPr>
                <w:rFonts w:asciiTheme="majorHAnsi" w:hAnsiTheme="majorHAnsi" w:cs="Times New Roman"/>
              </w:rPr>
              <w:t>mažiau kaip 24 vietų</w:t>
            </w:r>
            <w:r w:rsidR="009646EB" w:rsidRPr="00342080">
              <w:rPr>
                <w:rFonts w:asciiTheme="majorHAnsi" w:hAnsiTheme="majorHAnsi" w:cs="Times New Roman"/>
              </w:rPr>
              <w:t xml:space="preserve"> (2 vnt.).</w:t>
            </w:r>
          </w:p>
          <w:p w14:paraId="444C660F" w14:textId="12AD100A" w:rsidR="00CB7147" w:rsidRPr="00342080" w:rsidRDefault="00CB7147" w:rsidP="00740977">
            <w:pPr>
              <w:pStyle w:val="Footer"/>
              <w:numPr>
                <w:ilvl w:val="0"/>
                <w:numId w:val="16"/>
              </w:numPr>
              <w:ind w:left="284" w:hanging="284"/>
              <w:contextualSpacing/>
              <w:mirrorIndents/>
              <w:rPr>
                <w:rFonts w:asciiTheme="majorHAnsi" w:hAnsiTheme="majorHAnsi" w:cs="Times New Roman"/>
              </w:rPr>
            </w:pPr>
            <w:r w:rsidRPr="00342080">
              <w:rPr>
                <w:rFonts w:asciiTheme="majorHAnsi" w:hAnsiTheme="majorHAnsi" w:cs="Times New Roman"/>
              </w:rPr>
              <w:t>Vandens paruošimo sistema (II lygio).</w:t>
            </w:r>
          </w:p>
          <w:p w14:paraId="089405B5" w14:textId="6190A268" w:rsidR="00CB7147" w:rsidRPr="00342080" w:rsidRDefault="00CB7147" w:rsidP="00655158">
            <w:pPr>
              <w:pStyle w:val="Footer"/>
              <w:contextualSpacing/>
              <w:mirrorIndents/>
              <w:rPr>
                <w:rFonts w:asciiTheme="majorHAnsi" w:hAnsiTheme="majorHAnsi" w:cs="Times New Roman"/>
              </w:rPr>
            </w:pPr>
            <w:r w:rsidRPr="00342080">
              <w:rPr>
                <w:rFonts w:asciiTheme="majorHAnsi" w:hAnsiTheme="majorHAnsi" w:cs="Times New Roman"/>
              </w:rPr>
              <w:t xml:space="preserve">Sistemą sudaranti įranga, išskyrus nurodytą analizatorių komplektacijos aprašo 1.2–1.5 p., </w:t>
            </w:r>
            <w:r w:rsidR="006F14E2" w:rsidRPr="00342080">
              <w:rPr>
                <w:rFonts w:asciiTheme="majorHAnsi" w:hAnsiTheme="majorHAnsi" w:cs="Times New Roman"/>
              </w:rPr>
              <w:t>4</w:t>
            </w:r>
            <w:r w:rsidRPr="00342080">
              <w:rPr>
                <w:rFonts w:asciiTheme="majorHAnsi" w:hAnsiTheme="majorHAnsi" w:cs="Times New Roman"/>
              </w:rPr>
              <w:t xml:space="preserve"> p. ir </w:t>
            </w:r>
            <w:r w:rsidR="006F14E2" w:rsidRPr="00342080">
              <w:rPr>
                <w:rFonts w:asciiTheme="majorHAnsi" w:hAnsiTheme="majorHAnsi" w:cs="Times New Roman"/>
              </w:rPr>
              <w:t>5</w:t>
            </w:r>
            <w:r w:rsidRPr="00342080">
              <w:rPr>
                <w:rFonts w:asciiTheme="majorHAnsi" w:hAnsiTheme="majorHAnsi" w:cs="Times New Roman"/>
              </w:rPr>
              <w:t xml:space="preserve"> p., turi būti to paties gamintojo, tarpusavyje techniškai suderinta.</w:t>
            </w:r>
          </w:p>
        </w:tc>
        <w:tc>
          <w:tcPr>
            <w:tcW w:w="4930" w:type="dxa"/>
            <w:tcBorders>
              <w:top w:val="single" w:sz="4" w:space="0" w:color="auto"/>
              <w:left w:val="single" w:sz="4" w:space="0" w:color="auto"/>
              <w:bottom w:val="single" w:sz="4" w:space="0" w:color="auto"/>
              <w:right w:val="single" w:sz="4" w:space="0" w:color="auto"/>
            </w:tcBorders>
          </w:tcPr>
          <w:p w14:paraId="51F7B519" w14:textId="18EEE15C" w:rsidR="00CB7147" w:rsidRPr="00342080" w:rsidRDefault="00CB7147" w:rsidP="00226D7D">
            <w:pPr>
              <w:pStyle w:val="Footer"/>
              <w:tabs>
                <w:tab w:val="left" w:pos="1296"/>
              </w:tabs>
              <w:contextualSpacing/>
              <w:mirrorIndents/>
              <w:rPr>
                <w:rFonts w:asciiTheme="majorHAnsi" w:hAnsiTheme="majorHAnsi" w:cs="Times New Roman"/>
              </w:rPr>
            </w:pPr>
            <w:r w:rsidRPr="00342080">
              <w:rPr>
                <w:rFonts w:asciiTheme="majorHAnsi" w:hAnsiTheme="majorHAnsi" w:cs="Times New Roman"/>
                <w:i/>
              </w:rPr>
              <w:t>įrašo tiekėjas</w:t>
            </w:r>
          </w:p>
        </w:tc>
      </w:tr>
      <w:tr w:rsidR="002607E9" w:rsidRPr="00342080" w14:paraId="3D7E7A0D" w14:textId="21662B3F" w:rsidTr="00C227A7">
        <w:tc>
          <w:tcPr>
            <w:tcW w:w="806" w:type="dxa"/>
            <w:tcBorders>
              <w:top w:val="single" w:sz="4" w:space="0" w:color="auto"/>
              <w:left w:val="single" w:sz="4" w:space="0" w:color="auto"/>
              <w:bottom w:val="single" w:sz="4" w:space="0" w:color="auto"/>
              <w:right w:val="single" w:sz="4" w:space="0" w:color="auto"/>
            </w:tcBorders>
          </w:tcPr>
          <w:p w14:paraId="1E35FAB9" w14:textId="77777777" w:rsidR="002607E9" w:rsidRPr="00342080" w:rsidRDefault="002607E9" w:rsidP="00226D7D">
            <w:pPr>
              <w:pStyle w:val="Footer"/>
              <w:tabs>
                <w:tab w:val="left" w:pos="1296"/>
              </w:tabs>
              <w:contextualSpacing/>
              <w:mirrorIndents/>
              <w:rPr>
                <w:rFonts w:asciiTheme="majorHAnsi" w:hAnsiTheme="majorHAnsi" w:cs="Times New Roman"/>
              </w:rPr>
            </w:pPr>
            <w:r w:rsidRPr="00342080">
              <w:rPr>
                <w:rFonts w:asciiTheme="majorHAnsi" w:hAnsiTheme="majorHAnsi" w:cs="Times New Roman"/>
              </w:rPr>
              <w:t>1.3</w:t>
            </w:r>
          </w:p>
        </w:tc>
        <w:tc>
          <w:tcPr>
            <w:tcW w:w="2270" w:type="dxa"/>
            <w:tcBorders>
              <w:top w:val="single" w:sz="4" w:space="0" w:color="auto"/>
              <w:left w:val="single" w:sz="4" w:space="0" w:color="auto"/>
              <w:bottom w:val="single" w:sz="4" w:space="0" w:color="auto"/>
              <w:right w:val="single" w:sz="4" w:space="0" w:color="auto"/>
            </w:tcBorders>
          </w:tcPr>
          <w:p w14:paraId="17E0553D" w14:textId="77777777" w:rsidR="002607E9" w:rsidRPr="00342080" w:rsidRDefault="002607E9" w:rsidP="00226D7D">
            <w:pPr>
              <w:pStyle w:val="Footer"/>
              <w:tabs>
                <w:tab w:val="left" w:pos="1296"/>
              </w:tabs>
              <w:contextualSpacing/>
              <w:mirrorIndents/>
              <w:rPr>
                <w:rFonts w:asciiTheme="majorHAnsi" w:hAnsiTheme="majorHAnsi" w:cs="Times New Roman"/>
                <w:color w:val="000000" w:themeColor="text1"/>
              </w:rPr>
            </w:pPr>
            <w:r w:rsidRPr="00342080">
              <w:rPr>
                <w:rFonts w:asciiTheme="majorHAnsi" w:hAnsiTheme="majorHAnsi" w:cs="Times New Roman"/>
                <w:color w:val="000000" w:themeColor="text1"/>
              </w:rPr>
              <w:t>Ėminiai</w:t>
            </w:r>
          </w:p>
        </w:tc>
        <w:tc>
          <w:tcPr>
            <w:tcW w:w="6275" w:type="dxa"/>
            <w:tcBorders>
              <w:top w:val="single" w:sz="4" w:space="0" w:color="auto"/>
              <w:left w:val="single" w:sz="4" w:space="0" w:color="auto"/>
              <w:bottom w:val="single" w:sz="4" w:space="0" w:color="auto"/>
              <w:right w:val="single" w:sz="4" w:space="0" w:color="auto"/>
            </w:tcBorders>
          </w:tcPr>
          <w:p w14:paraId="7B88785D" w14:textId="072A3507" w:rsidR="002607E9" w:rsidRPr="00342080" w:rsidRDefault="002607E9" w:rsidP="00226D7D">
            <w:pPr>
              <w:pStyle w:val="Footer"/>
              <w:tabs>
                <w:tab w:val="left" w:pos="1296"/>
              </w:tabs>
              <w:contextualSpacing/>
              <w:mirrorIndents/>
              <w:rPr>
                <w:rFonts w:asciiTheme="majorHAnsi" w:hAnsiTheme="majorHAnsi" w:cs="Times New Roman"/>
              </w:rPr>
            </w:pPr>
            <w:r w:rsidRPr="00342080">
              <w:rPr>
                <w:rFonts w:asciiTheme="majorHAnsi" w:hAnsiTheme="majorHAnsi" w:cs="Times New Roman"/>
              </w:rPr>
              <w:t>Kraujo ėminiai su EDTA</w:t>
            </w:r>
          </w:p>
        </w:tc>
        <w:tc>
          <w:tcPr>
            <w:tcW w:w="4930" w:type="dxa"/>
            <w:tcBorders>
              <w:top w:val="single" w:sz="4" w:space="0" w:color="auto"/>
              <w:left w:val="single" w:sz="4" w:space="0" w:color="auto"/>
              <w:bottom w:val="single" w:sz="4" w:space="0" w:color="auto"/>
              <w:right w:val="single" w:sz="4" w:space="0" w:color="auto"/>
            </w:tcBorders>
          </w:tcPr>
          <w:p w14:paraId="6795D86A" w14:textId="14F60088" w:rsidR="002607E9" w:rsidRPr="00342080" w:rsidRDefault="00CB7147" w:rsidP="00226D7D">
            <w:pPr>
              <w:pStyle w:val="Footer"/>
              <w:tabs>
                <w:tab w:val="left" w:pos="1296"/>
              </w:tabs>
              <w:contextualSpacing/>
              <w:mirrorIndents/>
              <w:rPr>
                <w:rFonts w:asciiTheme="majorHAnsi" w:hAnsiTheme="majorHAnsi" w:cs="Times New Roman"/>
              </w:rPr>
            </w:pPr>
            <w:r w:rsidRPr="00342080">
              <w:rPr>
                <w:rFonts w:asciiTheme="majorHAnsi" w:hAnsiTheme="majorHAnsi" w:cs="Times New Roman"/>
                <w:i/>
              </w:rPr>
              <w:t>įrašo tiekėjas</w:t>
            </w:r>
          </w:p>
        </w:tc>
      </w:tr>
      <w:tr w:rsidR="002607E9" w:rsidRPr="00342080" w14:paraId="4EA7E0FF" w14:textId="5D25BD8B" w:rsidTr="00C227A7">
        <w:tc>
          <w:tcPr>
            <w:tcW w:w="806" w:type="dxa"/>
            <w:tcBorders>
              <w:top w:val="single" w:sz="4" w:space="0" w:color="auto"/>
              <w:left w:val="single" w:sz="4" w:space="0" w:color="auto"/>
              <w:bottom w:val="single" w:sz="4" w:space="0" w:color="auto"/>
              <w:right w:val="single" w:sz="4" w:space="0" w:color="auto"/>
            </w:tcBorders>
          </w:tcPr>
          <w:p w14:paraId="381D1EB6" w14:textId="77777777" w:rsidR="002607E9" w:rsidRPr="00342080" w:rsidRDefault="002607E9" w:rsidP="00226D7D">
            <w:pPr>
              <w:pStyle w:val="Footer"/>
              <w:tabs>
                <w:tab w:val="left" w:pos="1296"/>
              </w:tabs>
              <w:contextualSpacing/>
              <w:mirrorIndents/>
              <w:rPr>
                <w:rFonts w:asciiTheme="majorHAnsi" w:hAnsiTheme="majorHAnsi" w:cs="Times New Roman"/>
              </w:rPr>
            </w:pPr>
            <w:r w:rsidRPr="00342080">
              <w:rPr>
                <w:rFonts w:asciiTheme="majorHAnsi" w:hAnsiTheme="majorHAnsi" w:cs="Times New Roman"/>
              </w:rPr>
              <w:lastRenderedPageBreak/>
              <w:t>1.4</w:t>
            </w:r>
          </w:p>
        </w:tc>
        <w:tc>
          <w:tcPr>
            <w:tcW w:w="2270" w:type="dxa"/>
            <w:tcBorders>
              <w:top w:val="single" w:sz="4" w:space="0" w:color="auto"/>
              <w:left w:val="single" w:sz="4" w:space="0" w:color="auto"/>
              <w:bottom w:val="single" w:sz="4" w:space="0" w:color="auto"/>
              <w:right w:val="single" w:sz="4" w:space="0" w:color="auto"/>
            </w:tcBorders>
          </w:tcPr>
          <w:p w14:paraId="50300BBA" w14:textId="77777777" w:rsidR="002607E9" w:rsidRPr="00342080" w:rsidRDefault="002607E9" w:rsidP="00226D7D">
            <w:pPr>
              <w:pStyle w:val="Footer"/>
              <w:tabs>
                <w:tab w:val="left" w:pos="1296"/>
              </w:tabs>
              <w:contextualSpacing/>
              <w:mirrorIndents/>
              <w:rPr>
                <w:rFonts w:asciiTheme="majorHAnsi" w:hAnsiTheme="majorHAnsi" w:cs="Times New Roman"/>
                <w:color w:val="000000" w:themeColor="text1"/>
              </w:rPr>
            </w:pPr>
            <w:r w:rsidRPr="00342080">
              <w:rPr>
                <w:rFonts w:asciiTheme="majorHAnsi" w:hAnsiTheme="majorHAnsi" w:cs="Times New Roman"/>
                <w:color w:val="000000"/>
              </w:rPr>
              <w:t>Analizatoriaus našumas</w:t>
            </w:r>
          </w:p>
        </w:tc>
        <w:tc>
          <w:tcPr>
            <w:tcW w:w="6275" w:type="dxa"/>
            <w:tcBorders>
              <w:top w:val="single" w:sz="4" w:space="0" w:color="auto"/>
              <w:left w:val="single" w:sz="4" w:space="0" w:color="auto"/>
              <w:bottom w:val="single" w:sz="4" w:space="0" w:color="auto"/>
              <w:right w:val="single" w:sz="4" w:space="0" w:color="auto"/>
            </w:tcBorders>
          </w:tcPr>
          <w:p w14:paraId="25E7F4D2" w14:textId="71E2E64D" w:rsidR="002607E9" w:rsidRPr="00342080" w:rsidRDefault="002607E9" w:rsidP="00226D7D">
            <w:pPr>
              <w:pStyle w:val="Footer"/>
              <w:tabs>
                <w:tab w:val="left" w:pos="1296"/>
              </w:tabs>
              <w:contextualSpacing/>
              <w:mirrorIndents/>
              <w:rPr>
                <w:rFonts w:asciiTheme="majorHAnsi" w:hAnsiTheme="majorHAnsi" w:cs="Times New Roman"/>
                <w:highlight w:val="yellow"/>
              </w:rPr>
            </w:pPr>
            <w:r w:rsidRPr="00342080">
              <w:rPr>
                <w:rFonts w:asciiTheme="majorHAnsi" w:hAnsiTheme="majorHAnsi" w:cs="Times New Roman"/>
              </w:rPr>
              <w:t xml:space="preserve">Ne mažiau kaip </w:t>
            </w:r>
            <w:r w:rsidR="00364E79" w:rsidRPr="00342080">
              <w:rPr>
                <w:rFonts w:asciiTheme="majorHAnsi" w:hAnsiTheme="majorHAnsi" w:cs="Times New Roman"/>
              </w:rPr>
              <w:t>35</w:t>
            </w:r>
            <w:r w:rsidRPr="00342080">
              <w:rPr>
                <w:rFonts w:asciiTheme="majorHAnsi" w:hAnsiTheme="majorHAnsi" w:cs="Times New Roman"/>
              </w:rPr>
              <w:t xml:space="preserve"> ABO kraujo grupės (tiesioginiu ir atvirkštiniu būdu) ir </w:t>
            </w:r>
            <w:proofErr w:type="spellStart"/>
            <w:r w:rsidRPr="00342080">
              <w:rPr>
                <w:rFonts w:asciiTheme="majorHAnsi" w:hAnsiTheme="majorHAnsi" w:cs="Times New Roman"/>
              </w:rPr>
              <w:t>RhD</w:t>
            </w:r>
            <w:proofErr w:type="spellEnd"/>
            <w:r w:rsidRPr="00342080">
              <w:rPr>
                <w:rFonts w:asciiTheme="majorHAnsi" w:hAnsiTheme="majorHAnsi" w:cs="Times New Roman"/>
              </w:rPr>
              <w:t xml:space="preserve"> nustatymo tyrimų per 1 valandą</w:t>
            </w:r>
          </w:p>
        </w:tc>
        <w:tc>
          <w:tcPr>
            <w:tcW w:w="4930" w:type="dxa"/>
            <w:tcBorders>
              <w:top w:val="single" w:sz="4" w:space="0" w:color="auto"/>
              <w:left w:val="single" w:sz="4" w:space="0" w:color="auto"/>
              <w:bottom w:val="single" w:sz="4" w:space="0" w:color="auto"/>
              <w:right w:val="single" w:sz="4" w:space="0" w:color="auto"/>
            </w:tcBorders>
          </w:tcPr>
          <w:p w14:paraId="0BE55F0E" w14:textId="18D81B72" w:rsidR="002607E9" w:rsidRPr="00342080" w:rsidRDefault="00CB7147" w:rsidP="00226D7D">
            <w:pPr>
              <w:pStyle w:val="Footer"/>
              <w:tabs>
                <w:tab w:val="left" w:pos="1296"/>
              </w:tabs>
              <w:contextualSpacing/>
              <w:mirrorIndents/>
              <w:rPr>
                <w:rFonts w:asciiTheme="majorHAnsi" w:hAnsiTheme="majorHAnsi" w:cs="Times New Roman"/>
              </w:rPr>
            </w:pPr>
            <w:r w:rsidRPr="00342080">
              <w:rPr>
                <w:rFonts w:asciiTheme="majorHAnsi" w:hAnsiTheme="majorHAnsi" w:cs="Times New Roman"/>
                <w:i/>
              </w:rPr>
              <w:t>įrašo tiekėjas</w:t>
            </w:r>
          </w:p>
        </w:tc>
      </w:tr>
      <w:tr w:rsidR="002607E9" w:rsidRPr="00342080" w14:paraId="26030A7D" w14:textId="1579652B" w:rsidTr="00C227A7">
        <w:tc>
          <w:tcPr>
            <w:tcW w:w="806" w:type="dxa"/>
            <w:tcBorders>
              <w:top w:val="single" w:sz="4" w:space="0" w:color="auto"/>
              <w:left w:val="single" w:sz="4" w:space="0" w:color="auto"/>
              <w:bottom w:val="single" w:sz="4" w:space="0" w:color="auto"/>
              <w:right w:val="single" w:sz="4" w:space="0" w:color="auto"/>
            </w:tcBorders>
          </w:tcPr>
          <w:p w14:paraId="196F8622" w14:textId="77777777" w:rsidR="002607E9" w:rsidRPr="00342080" w:rsidRDefault="002607E9" w:rsidP="00226D7D">
            <w:pPr>
              <w:pStyle w:val="Footer"/>
              <w:tabs>
                <w:tab w:val="left" w:pos="1296"/>
              </w:tabs>
              <w:contextualSpacing/>
              <w:mirrorIndents/>
              <w:rPr>
                <w:rFonts w:asciiTheme="majorHAnsi" w:hAnsiTheme="majorHAnsi" w:cs="Times New Roman"/>
              </w:rPr>
            </w:pPr>
            <w:r w:rsidRPr="00342080">
              <w:rPr>
                <w:rFonts w:asciiTheme="majorHAnsi" w:hAnsiTheme="majorHAnsi" w:cs="Times New Roman"/>
              </w:rPr>
              <w:t>1.5</w:t>
            </w:r>
          </w:p>
        </w:tc>
        <w:tc>
          <w:tcPr>
            <w:tcW w:w="2270" w:type="dxa"/>
            <w:tcBorders>
              <w:top w:val="single" w:sz="4" w:space="0" w:color="auto"/>
              <w:left w:val="single" w:sz="4" w:space="0" w:color="auto"/>
              <w:bottom w:val="single" w:sz="4" w:space="0" w:color="auto"/>
              <w:right w:val="single" w:sz="4" w:space="0" w:color="auto"/>
            </w:tcBorders>
          </w:tcPr>
          <w:p w14:paraId="6679849D" w14:textId="77777777" w:rsidR="002607E9" w:rsidRPr="00342080" w:rsidRDefault="002607E9" w:rsidP="00226D7D">
            <w:pPr>
              <w:contextualSpacing/>
              <w:mirrorIndents/>
              <w:rPr>
                <w:rFonts w:asciiTheme="majorHAnsi" w:hAnsiTheme="majorHAnsi" w:cs="Times New Roman"/>
                <w:color w:val="000000"/>
              </w:rPr>
            </w:pPr>
            <w:r w:rsidRPr="00342080">
              <w:rPr>
                <w:rFonts w:asciiTheme="majorHAnsi" w:hAnsiTheme="majorHAnsi" w:cs="Times New Roman"/>
                <w:color w:val="000000"/>
              </w:rPr>
              <w:t>Analizatoriaus charakteristikos</w:t>
            </w:r>
          </w:p>
        </w:tc>
        <w:tc>
          <w:tcPr>
            <w:tcW w:w="6275" w:type="dxa"/>
            <w:tcBorders>
              <w:top w:val="single" w:sz="4" w:space="0" w:color="auto"/>
              <w:left w:val="single" w:sz="4" w:space="0" w:color="auto"/>
              <w:bottom w:val="single" w:sz="4" w:space="0" w:color="auto"/>
              <w:right w:val="single" w:sz="4" w:space="0" w:color="auto"/>
            </w:tcBorders>
          </w:tcPr>
          <w:p w14:paraId="5EE17910" w14:textId="2B2E0CB1" w:rsidR="002607E9" w:rsidRPr="00342080" w:rsidRDefault="002607E9" w:rsidP="00597A64">
            <w:pPr>
              <w:pStyle w:val="Footer"/>
              <w:numPr>
                <w:ilvl w:val="0"/>
                <w:numId w:val="23"/>
              </w:numPr>
              <w:ind w:left="357" w:hanging="357"/>
              <w:contextualSpacing/>
              <w:mirrorIndents/>
              <w:rPr>
                <w:rFonts w:asciiTheme="majorHAnsi" w:hAnsiTheme="majorHAnsi" w:cs="Times New Roman"/>
              </w:rPr>
            </w:pPr>
            <w:r w:rsidRPr="00342080">
              <w:rPr>
                <w:rFonts w:asciiTheme="majorHAnsi" w:hAnsiTheme="majorHAnsi" w:cs="Times New Roman"/>
              </w:rPr>
              <w:t xml:space="preserve">Analizatorius privalo turėti ne mažiau kaip dvi integruotas centrifugas, turinčias ne mažiau kaip po 20 vietų stulpelių </w:t>
            </w:r>
            <w:r w:rsidR="00364E79" w:rsidRPr="00342080">
              <w:rPr>
                <w:rFonts w:asciiTheme="majorHAnsi" w:hAnsiTheme="majorHAnsi" w:cs="Times New Roman"/>
              </w:rPr>
              <w:t>kor</w:t>
            </w:r>
            <w:r w:rsidRPr="00342080">
              <w:rPr>
                <w:rFonts w:asciiTheme="majorHAnsi" w:hAnsiTheme="majorHAnsi" w:cs="Times New Roman"/>
              </w:rPr>
              <w:t>telėms.</w:t>
            </w:r>
          </w:p>
          <w:p w14:paraId="0AEE4896" w14:textId="69A8B589" w:rsidR="002607E9" w:rsidRPr="00342080" w:rsidRDefault="002607E9" w:rsidP="00597A64">
            <w:pPr>
              <w:pStyle w:val="Footer"/>
              <w:numPr>
                <w:ilvl w:val="0"/>
                <w:numId w:val="23"/>
              </w:numPr>
              <w:ind w:left="357" w:hanging="357"/>
              <w:contextualSpacing/>
              <w:mirrorIndents/>
              <w:rPr>
                <w:rFonts w:asciiTheme="majorHAnsi" w:hAnsiTheme="majorHAnsi" w:cs="Times New Roman"/>
              </w:rPr>
            </w:pPr>
            <w:r w:rsidRPr="00342080">
              <w:rPr>
                <w:rFonts w:asciiTheme="majorHAnsi" w:hAnsiTheme="majorHAnsi" w:cs="Times New Roman"/>
              </w:rPr>
              <w:t>Maksimali analizatoriaus užkrovimo talpa – ne mažiau kaip 4</w:t>
            </w:r>
            <w:r w:rsidR="00B1508C" w:rsidRPr="00342080">
              <w:rPr>
                <w:rFonts w:asciiTheme="majorHAnsi" w:hAnsiTheme="majorHAnsi" w:cs="Times New Roman"/>
              </w:rPr>
              <w:t>0</w:t>
            </w:r>
            <w:r w:rsidRPr="00342080">
              <w:rPr>
                <w:rFonts w:asciiTheme="majorHAnsi" w:hAnsiTheme="majorHAnsi" w:cs="Times New Roman"/>
              </w:rPr>
              <w:t xml:space="preserve"> viet</w:t>
            </w:r>
            <w:r w:rsidR="00B1508C" w:rsidRPr="00342080">
              <w:rPr>
                <w:rFonts w:asciiTheme="majorHAnsi" w:hAnsiTheme="majorHAnsi" w:cs="Times New Roman"/>
              </w:rPr>
              <w:t>ų</w:t>
            </w:r>
            <w:r w:rsidRPr="00342080">
              <w:rPr>
                <w:rFonts w:asciiTheme="majorHAnsi" w:hAnsiTheme="majorHAnsi" w:cs="Times New Roman"/>
              </w:rPr>
              <w:t xml:space="preserve"> mėginiams, ne mažiau kaip </w:t>
            </w:r>
            <w:r w:rsidR="003E3D81" w:rsidRPr="00342080">
              <w:rPr>
                <w:rFonts w:asciiTheme="majorHAnsi" w:hAnsiTheme="majorHAnsi" w:cs="Times New Roman"/>
              </w:rPr>
              <w:t>24</w:t>
            </w:r>
            <w:r w:rsidRPr="00342080">
              <w:rPr>
                <w:rFonts w:asciiTheme="majorHAnsi" w:hAnsiTheme="majorHAnsi" w:cs="Times New Roman"/>
              </w:rPr>
              <w:t xml:space="preserve"> vietos reagentams ir nemažiau kaip 100 vietų stulpelių </w:t>
            </w:r>
            <w:r w:rsidR="00364E79" w:rsidRPr="00342080">
              <w:rPr>
                <w:rFonts w:asciiTheme="majorHAnsi" w:hAnsiTheme="majorHAnsi" w:cs="Times New Roman"/>
              </w:rPr>
              <w:t>kor</w:t>
            </w:r>
            <w:r w:rsidRPr="00342080">
              <w:rPr>
                <w:rFonts w:asciiTheme="majorHAnsi" w:hAnsiTheme="majorHAnsi" w:cs="Times New Roman"/>
              </w:rPr>
              <w:t>telėms.</w:t>
            </w:r>
          </w:p>
          <w:p w14:paraId="3C539D9E" w14:textId="181B381A" w:rsidR="00AA0804" w:rsidRPr="00342080" w:rsidRDefault="00AA0804" w:rsidP="00597A64">
            <w:pPr>
              <w:pStyle w:val="Footer"/>
              <w:numPr>
                <w:ilvl w:val="0"/>
                <w:numId w:val="23"/>
              </w:numPr>
              <w:ind w:left="357" w:hanging="357"/>
              <w:contextualSpacing/>
              <w:mirrorIndents/>
              <w:rPr>
                <w:rFonts w:asciiTheme="majorHAnsi" w:hAnsiTheme="majorHAnsi" w:cs="Times New Roman"/>
              </w:rPr>
            </w:pPr>
            <w:r w:rsidRPr="00342080">
              <w:rPr>
                <w:rFonts w:asciiTheme="majorHAnsi" w:hAnsiTheme="majorHAnsi" w:cs="Times New Roman"/>
                <w:color w:val="000000" w:themeColor="text1"/>
              </w:rPr>
              <w:t xml:space="preserve">Skubių mėginių tyrimo funkcija – galimybė papildyti </w:t>
            </w:r>
            <w:r w:rsidR="00A0222C" w:rsidRPr="00342080">
              <w:rPr>
                <w:rFonts w:asciiTheme="majorHAnsi" w:hAnsiTheme="majorHAnsi" w:cs="Times New Roman"/>
                <w:color w:val="000000" w:themeColor="text1"/>
              </w:rPr>
              <w:t xml:space="preserve">analizatorių </w:t>
            </w:r>
            <w:r w:rsidRPr="00342080">
              <w:rPr>
                <w:rFonts w:asciiTheme="majorHAnsi" w:hAnsiTheme="majorHAnsi" w:cs="Times New Roman"/>
                <w:color w:val="000000" w:themeColor="text1"/>
              </w:rPr>
              <w:t>mėgini</w:t>
            </w:r>
            <w:r w:rsidR="00484A9C" w:rsidRPr="00342080">
              <w:rPr>
                <w:rFonts w:asciiTheme="majorHAnsi" w:hAnsiTheme="majorHAnsi" w:cs="Times New Roman"/>
                <w:color w:val="000000" w:themeColor="text1"/>
              </w:rPr>
              <w:t>ais</w:t>
            </w:r>
            <w:r w:rsidRPr="00342080">
              <w:rPr>
                <w:rFonts w:asciiTheme="majorHAnsi" w:hAnsiTheme="majorHAnsi" w:cs="Times New Roman"/>
                <w:color w:val="000000" w:themeColor="text1"/>
              </w:rPr>
              <w:t xml:space="preserve"> ir reagent</w:t>
            </w:r>
            <w:r w:rsidR="00484A9C" w:rsidRPr="00342080">
              <w:rPr>
                <w:rFonts w:asciiTheme="majorHAnsi" w:hAnsiTheme="majorHAnsi" w:cs="Times New Roman"/>
                <w:color w:val="000000" w:themeColor="text1"/>
              </w:rPr>
              <w:t>ais</w:t>
            </w:r>
            <w:r w:rsidRPr="00342080">
              <w:rPr>
                <w:rFonts w:asciiTheme="majorHAnsi" w:hAnsiTheme="majorHAnsi" w:cs="Times New Roman"/>
                <w:color w:val="000000" w:themeColor="text1"/>
              </w:rPr>
              <w:t>, nepertraukiant analizatoriaus darbo (nesutrikdant rutininių tyrimų).</w:t>
            </w:r>
          </w:p>
          <w:p w14:paraId="4CE710DF" w14:textId="77777777" w:rsidR="002607E9" w:rsidRPr="00342080" w:rsidRDefault="002607E9" w:rsidP="00597A64">
            <w:pPr>
              <w:pStyle w:val="Footer"/>
              <w:numPr>
                <w:ilvl w:val="0"/>
                <w:numId w:val="23"/>
              </w:numPr>
              <w:ind w:left="357" w:hanging="357"/>
              <w:contextualSpacing/>
              <w:mirrorIndents/>
              <w:rPr>
                <w:rFonts w:asciiTheme="majorHAnsi" w:hAnsiTheme="majorHAnsi" w:cs="Times New Roman"/>
              </w:rPr>
            </w:pPr>
            <w:r w:rsidRPr="00342080">
              <w:rPr>
                <w:rFonts w:asciiTheme="majorHAnsi" w:hAnsiTheme="majorHAnsi" w:cs="Times New Roman"/>
              </w:rPr>
              <w:t>Analizatorius turi turėti galimybę papildyti reagentus ir papildomas priemones bet kokia tvarka (reagentų buteliukai ar papildomos priemonės statomi į bet kurią laisvą poziciją) – analizatorius automatiškai turi atpažinti reagentus bei papildomas priemones, nuskaityti brūkšninį kodą, nustatyti reagentų bei papildomų priemonių galiojimo laiką, automatiškai surūšiuoti reagentus bei papildomas priemones pagal užsakytus tyrimus.</w:t>
            </w:r>
          </w:p>
          <w:p w14:paraId="577F240F" w14:textId="459983B7" w:rsidR="002607E9" w:rsidRPr="00342080" w:rsidRDefault="002607E9" w:rsidP="00597A64">
            <w:pPr>
              <w:pStyle w:val="Footer"/>
              <w:numPr>
                <w:ilvl w:val="0"/>
                <w:numId w:val="23"/>
              </w:numPr>
              <w:ind w:left="357" w:hanging="357"/>
              <w:contextualSpacing/>
              <w:mirrorIndents/>
              <w:rPr>
                <w:rFonts w:asciiTheme="majorHAnsi" w:hAnsiTheme="majorHAnsi" w:cs="Times New Roman"/>
              </w:rPr>
            </w:pPr>
            <w:r w:rsidRPr="00342080">
              <w:rPr>
                <w:rFonts w:asciiTheme="majorHAnsi" w:hAnsiTheme="majorHAnsi" w:cs="Times New Roman"/>
              </w:rPr>
              <w:t xml:space="preserve">Analizatorius turi atlikti tyrimus tiek iš pilnų, tiek ir iš dalinai panaudotų stulpelių </w:t>
            </w:r>
            <w:r w:rsidR="00364E79" w:rsidRPr="00342080">
              <w:rPr>
                <w:rFonts w:asciiTheme="majorHAnsi" w:hAnsiTheme="majorHAnsi" w:cs="Times New Roman"/>
              </w:rPr>
              <w:t>kor</w:t>
            </w:r>
            <w:r w:rsidRPr="00342080">
              <w:rPr>
                <w:rFonts w:asciiTheme="majorHAnsi" w:hAnsiTheme="majorHAnsi" w:cs="Times New Roman"/>
              </w:rPr>
              <w:t>telių, užtikrinant 100 proc. reagentų sunaudojimą.</w:t>
            </w:r>
          </w:p>
          <w:p w14:paraId="4397469D" w14:textId="77777777" w:rsidR="002607E9" w:rsidRPr="00342080" w:rsidRDefault="002607E9" w:rsidP="00597A64">
            <w:pPr>
              <w:pStyle w:val="Footer"/>
              <w:numPr>
                <w:ilvl w:val="0"/>
                <w:numId w:val="23"/>
              </w:numPr>
              <w:ind w:left="357" w:hanging="357"/>
              <w:contextualSpacing/>
              <w:mirrorIndents/>
              <w:rPr>
                <w:rFonts w:asciiTheme="majorHAnsi" w:hAnsiTheme="majorHAnsi" w:cs="Times New Roman"/>
              </w:rPr>
            </w:pPr>
            <w:r w:rsidRPr="00342080">
              <w:rPr>
                <w:rFonts w:asciiTheme="majorHAnsi" w:hAnsiTheme="majorHAnsi" w:cs="Times New Roman"/>
              </w:rPr>
              <w:t>Analizatorius turi turėti integruotą šaldymo (vėsinimo) įrenginį, kuris leistų laikyti reagentus analizatoriuje ne mažiau kaip 5 paras, užtikrinant jų stabilumą.</w:t>
            </w:r>
          </w:p>
          <w:p w14:paraId="1D7CD5D8" w14:textId="77777777" w:rsidR="002607E9" w:rsidRPr="00342080" w:rsidRDefault="002607E9" w:rsidP="00597A64">
            <w:pPr>
              <w:pStyle w:val="Footer"/>
              <w:numPr>
                <w:ilvl w:val="0"/>
                <w:numId w:val="23"/>
              </w:numPr>
              <w:ind w:left="357" w:hanging="357"/>
              <w:contextualSpacing/>
              <w:mirrorIndents/>
              <w:rPr>
                <w:rFonts w:asciiTheme="majorHAnsi" w:hAnsiTheme="majorHAnsi" w:cs="Times New Roman"/>
              </w:rPr>
            </w:pPr>
            <w:r w:rsidRPr="00342080">
              <w:rPr>
                <w:rFonts w:asciiTheme="majorHAnsi" w:hAnsiTheme="majorHAnsi" w:cs="Times New Roman"/>
              </w:rPr>
              <w:t>Analizatorius turi turėti reagentų ir mėginių talpų dangtelių aptikimo funkciją ir, aptikus nenuimtus dangtelius, apie tai žinute analizatoriaus ekrane informuoti vartotoją.</w:t>
            </w:r>
          </w:p>
          <w:p w14:paraId="4EBA53E7" w14:textId="77777777" w:rsidR="00C33E98" w:rsidRPr="00342080" w:rsidRDefault="00C33E98" w:rsidP="00597A64">
            <w:pPr>
              <w:pStyle w:val="Footer"/>
              <w:numPr>
                <w:ilvl w:val="0"/>
                <w:numId w:val="23"/>
              </w:numPr>
              <w:ind w:left="357" w:hanging="357"/>
              <w:contextualSpacing/>
              <w:mirrorIndents/>
              <w:rPr>
                <w:rFonts w:asciiTheme="majorHAnsi" w:hAnsiTheme="majorHAnsi" w:cs="Times New Roman"/>
              </w:rPr>
            </w:pPr>
            <w:r w:rsidRPr="00342080">
              <w:rPr>
                <w:rFonts w:asciiTheme="majorHAnsi" w:hAnsiTheme="majorHAnsi" w:cs="Times New Roman"/>
                <w:color w:val="000000" w:themeColor="text1"/>
              </w:rPr>
              <w:t>Garsinė ir vaizdinė aliarmo sistema įvykus klaidai (pasibaigus reagentui, aptikus reagentą su pasibaigusiu galiojimo laiku, nenuskaitant mėginio ar reagento brūkšninio kodo ir pan.).</w:t>
            </w:r>
          </w:p>
          <w:p w14:paraId="75E494BF" w14:textId="5BD77FC9" w:rsidR="00712564" w:rsidRPr="00342080" w:rsidRDefault="002607E9" w:rsidP="00597A64">
            <w:pPr>
              <w:pStyle w:val="Footer"/>
              <w:numPr>
                <w:ilvl w:val="0"/>
                <w:numId w:val="23"/>
              </w:numPr>
              <w:ind w:left="357" w:hanging="357"/>
              <w:contextualSpacing/>
              <w:mirrorIndents/>
              <w:rPr>
                <w:rFonts w:asciiTheme="majorHAnsi" w:hAnsiTheme="majorHAnsi" w:cs="Times New Roman"/>
              </w:rPr>
            </w:pPr>
            <w:r w:rsidRPr="00342080">
              <w:rPr>
                <w:rFonts w:asciiTheme="majorHAnsi" w:hAnsiTheme="majorHAnsi" w:cs="Times New Roman"/>
              </w:rPr>
              <w:t xml:space="preserve">Analizatorius turi turėti krešulio mėginyje aptikimo </w:t>
            </w:r>
            <w:r w:rsidR="00712564" w:rsidRPr="00342080">
              <w:rPr>
                <w:rFonts w:asciiTheme="majorHAnsi" w:hAnsiTheme="majorHAnsi" w:cs="Times New Roman"/>
              </w:rPr>
              <w:t>funkciją.</w:t>
            </w:r>
          </w:p>
          <w:p w14:paraId="6A42D294" w14:textId="3D2F3422" w:rsidR="002607E9" w:rsidRPr="00342080" w:rsidRDefault="002607E9" w:rsidP="00597A64">
            <w:pPr>
              <w:pStyle w:val="Footer"/>
              <w:numPr>
                <w:ilvl w:val="0"/>
                <w:numId w:val="23"/>
              </w:numPr>
              <w:ind w:left="357" w:hanging="357"/>
              <w:contextualSpacing/>
              <w:mirrorIndents/>
              <w:rPr>
                <w:rFonts w:asciiTheme="majorHAnsi" w:hAnsiTheme="majorHAnsi" w:cs="Times New Roman"/>
              </w:rPr>
            </w:pPr>
            <w:r w:rsidRPr="00342080">
              <w:rPr>
                <w:rFonts w:asciiTheme="majorHAnsi" w:hAnsiTheme="majorHAnsi" w:cs="Times New Roman"/>
              </w:rPr>
              <w:lastRenderedPageBreak/>
              <w:t>Analizatoriuje turi būti integruotas vidinis brūkšninių kodų skaitytuvas mėginiams</w:t>
            </w:r>
            <w:r w:rsidR="002B5CDF" w:rsidRPr="00342080">
              <w:rPr>
                <w:rFonts w:asciiTheme="majorHAnsi" w:hAnsiTheme="majorHAnsi" w:cs="Times New Roman"/>
              </w:rPr>
              <w:t xml:space="preserve"> ir reagentams</w:t>
            </w:r>
            <w:r w:rsidRPr="00342080">
              <w:rPr>
                <w:rFonts w:asciiTheme="majorHAnsi" w:hAnsiTheme="majorHAnsi" w:cs="Times New Roman"/>
              </w:rPr>
              <w:t>.</w:t>
            </w:r>
          </w:p>
          <w:p w14:paraId="1EE390E4" w14:textId="11AAF357" w:rsidR="002607E9" w:rsidRPr="00342080" w:rsidRDefault="002607E9" w:rsidP="00597A64">
            <w:pPr>
              <w:pStyle w:val="Footer"/>
              <w:numPr>
                <w:ilvl w:val="0"/>
                <w:numId w:val="23"/>
              </w:numPr>
              <w:ind w:left="357" w:hanging="357"/>
              <w:contextualSpacing/>
              <w:mirrorIndents/>
              <w:rPr>
                <w:rFonts w:asciiTheme="majorHAnsi" w:hAnsiTheme="majorHAnsi" w:cs="Times New Roman"/>
              </w:rPr>
            </w:pPr>
            <w:r w:rsidRPr="00342080">
              <w:rPr>
                <w:rFonts w:asciiTheme="majorHAnsi" w:hAnsiTheme="majorHAnsi" w:cs="Times New Roman"/>
              </w:rPr>
              <w:t xml:space="preserve">Turi būti </w:t>
            </w:r>
            <w:r w:rsidR="00BE56E6" w:rsidRPr="00342080">
              <w:rPr>
                <w:rFonts w:asciiTheme="majorHAnsi" w:hAnsiTheme="majorHAnsi" w:cs="Times New Roman"/>
              </w:rPr>
              <w:t>priemonė</w:t>
            </w:r>
            <w:r w:rsidR="008E0B8E" w:rsidRPr="00342080">
              <w:rPr>
                <w:rFonts w:asciiTheme="majorHAnsi" w:hAnsiTheme="majorHAnsi" w:cs="Times New Roman"/>
              </w:rPr>
              <w:t xml:space="preserve">s </w:t>
            </w:r>
            <w:r w:rsidRPr="00342080">
              <w:rPr>
                <w:rFonts w:asciiTheme="majorHAnsi" w:hAnsiTheme="majorHAnsi" w:cs="Times New Roman"/>
              </w:rPr>
              <w:t>leidžian</w:t>
            </w:r>
            <w:r w:rsidR="008E0B8E" w:rsidRPr="00342080">
              <w:rPr>
                <w:rFonts w:asciiTheme="majorHAnsi" w:hAnsiTheme="majorHAnsi" w:cs="Times New Roman"/>
              </w:rPr>
              <w:t>čio</w:t>
            </w:r>
            <w:r w:rsidR="00B652F9" w:rsidRPr="00342080">
              <w:rPr>
                <w:rFonts w:asciiTheme="majorHAnsi" w:hAnsiTheme="majorHAnsi" w:cs="Times New Roman"/>
              </w:rPr>
              <w:t>s</w:t>
            </w:r>
            <w:r w:rsidRPr="00342080">
              <w:rPr>
                <w:rFonts w:asciiTheme="majorHAnsi" w:hAnsiTheme="majorHAnsi" w:cs="Times New Roman"/>
              </w:rPr>
              <w:t xml:space="preserve"> naudoti skirtingo aukščio mėgintuvėlius.</w:t>
            </w:r>
          </w:p>
          <w:p w14:paraId="17443E82" w14:textId="080BAF36" w:rsidR="00A11C73" w:rsidRPr="00342080" w:rsidRDefault="00A11C73" w:rsidP="00597A64">
            <w:pPr>
              <w:pStyle w:val="Footer"/>
              <w:numPr>
                <w:ilvl w:val="0"/>
                <w:numId w:val="23"/>
              </w:numPr>
              <w:ind w:left="357" w:hanging="357"/>
              <w:contextualSpacing/>
              <w:mirrorIndents/>
              <w:rPr>
                <w:rFonts w:asciiTheme="majorHAnsi" w:hAnsiTheme="majorHAnsi" w:cs="Times New Roman"/>
              </w:rPr>
            </w:pPr>
            <w:r w:rsidRPr="00342080">
              <w:rPr>
                <w:rFonts w:asciiTheme="majorHAnsi" w:hAnsiTheme="majorHAnsi" w:cs="Times New Roman"/>
              </w:rPr>
              <w:t>Analizatorius turi turėti nuotolinės prieigos galimybę, kad būtų galima per atstumą įvertinti analizatoriaus būklę, atlikti gedimų diagnostiką.</w:t>
            </w:r>
          </w:p>
          <w:p w14:paraId="14B8F964" w14:textId="301EB826" w:rsidR="00A11C73" w:rsidRPr="00342080" w:rsidRDefault="00A11C73" w:rsidP="00597A64">
            <w:pPr>
              <w:pStyle w:val="Footer"/>
              <w:contextualSpacing/>
              <w:mirrorIndents/>
              <w:rPr>
                <w:rFonts w:asciiTheme="majorHAnsi" w:hAnsiTheme="majorHAnsi" w:cs="Times New Roman"/>
              </w:rPr>
            </w:pPr>
            <w:r w:rsidRPr="00342080">
              <w:rPr>
                <w:rFonts w:asciiTheme="majorHAnsi" w:hAnsiTheme="majorHAnsi" w:cs="Times New Roman"/>
                <w:b/>
                <w:i/>
              </w:rPr>
              <w:t xml:space="preserve">Pastaba: Reikalavimas taikomas vadovaujantis </w:t>
            </w:r>
            <w:r w:rsidRPr="00342080">
              <w:rPr>
                <w:rFonts w:asciiTheme="majorHAnsi" w:hAnsiTheme="majorHAnsi" w:cs="Times New Roman"/>
                <w:b/>
                <w:i/>
                <w:shd w:val="clear" w:color="auto" w:fill="FFFFFF"/>
              </w:rPr>
              <w:t>Lietuvos Respublikos aplinkos ministro 2022 m. gruodžio 13 d. įsakymu Nr. D1-401 patvirtinto aplinkos apsaugos kriterijų taikymo, vykdant žaliuosius pirkimus, tvarkos aprašo II skyriaus 4.4.4.1 punktu.</w:t>
            </w:r>
          </w:p>
          <w:p w14:paraId="24D6A181" w14:textId="452103BF" w:rsidR="00E20775" w:rsidRPr="00342080" w:rsidRDefault="00E20775" w:rsidP="00597A64">
            <w:pPr>
              <w:pStyle w:val="Footer"/>
              <w:numPr>
                <w:ilvl w:val="0"/>
                <w:numId w:val="23"/>
              </w:numPr>
              <w:ind w:left="357" w:hanging="357"/>
              <w:contextualSpacing/>
              <w:mirrorIndents/>
              <w:rPr>
                <w:rFonts w:asciiTheme="majorHAnsi" w:hAnsiTheme="majorHAnsi" w:cs="Times New Roman"/>
              </w:rPr>
            </w:pPr>
            <w:r w:rsidRPr="00342080">
              <w:rPr>
                <w:rFonts w:asciiTheme="majorHAnsi" w:hAnsiTheme="majorHAnsi" w:cs="Times New Roman"/>
                <w:color w:val="000000" w:themeColor="text1"/>
              </w:rPr>
              <w:t>Analizatori</w:t>
            </w:r>
            <w:r w:rsidR="00D34F8E" w:rsidRPr="00342080">
              <w:rPr>
                <w:rFonts w:asciiTheme="majorHAnsi" w:hAnsiTheme="majorHAnsi" w:cs="Times New Roman"/>
                <w:color w:val="000000" w:themeColor="text1"/>
              </w:rPr>
              <w:t>aus</w:t>
            </w:r>
            <w:r w:rsidRPr="00342080">
              <w:rPr>
                <w:rFonts w:asciiTheme="majorHAnsi" w:hAnsiTheme="majorHAnsi" w:cs="Times New Roman"/>
                <w:color w:val="000000" w:themeColor="text1"/>
              </w:rPr>
              <w:t xml:space="preserve"> atmintyje ir/arba su analizatoriumi naudojamoje programinėje įrangoje turi būti saugoma visa informacija apie atliktą tyrimą: naudotų reagentų informacija, stulpelių kortelės nuotrauka, interpretacija, paciento/donoro informacija, tyrimą atlikusio darbuotojo identifikacija.</w:t>
            </w:r>
          </w:p>
          <w:p w14:paraId="1B3A48AE" w14:textId="77777777" w:rsidR="002607E9" w:rsidRPr="00342080" w:rsidRDefault="002607E9" w:rsidP="006D1B5E">
            <w:pPr>
              <w:pStyle w:val="Footer"/>
              <w:ind w:left="284" w:hanging="284"/>
              <w:contextualSpacing/>
              <w:mirrorIndents/>
              <w:rPr>
                <w:rFonts w:asciiTheme="majorHAnsi" w:hAnsiTheme="majorHAnsi" w:cs="Times New Roman"/>
              </w:rPr>
            </w:pPr>
          </w:p>
        </w:tc>
        <w:tc>
          <w:tcPr>
            <w:tcW w:w="4930" w:type="dxa"/>
            <w:tcBorders>
              <w:top w:val="single" w:sz="4" w:space="0" w:color="auto"/>
              <w:left w:val="single" w:sz="4" w:space="0" w:color="auto"/>
              <w:bottom w:val="single" w:sz="4" w:space="0" w:color="auto"/>
              <w:right w:val="single" w:sz="4" w:space="0" w:color="auto"/>
            </w:tcBorders>
          </w:tcPr>
          <w:p w14:paraId="6D2ADCEA" w14:textId="1DAACD64" w:rsidR="002607E9" w:rsidRPr="00342080" w:rsidRDefault="00B8798E" w:rsidP="00226D7D">
            <w:pPr>
              <w:pStyle w:val="ListParagraph"/>
              <w:ind w:left="0"/>
              <w:mirrorIndents/>
              <w:rPr>
                <w:rFonts w:asciiTheme="majorHAnsi" w:hAnsiTheme="majorHAnsi" w:cs="Times New Roman"/>
              </w:rPr>
            </w:pPr>
            <w:r w:rsidRPr="00342080">
              <w:rPr>
                <w:rFonts w:asciiTheme="majorHAnsi" w:hAnsiTheme="majorHAnsi" w:cs="Times New Roman"/>
                <w:i/>
              </w:rPr>
              <w:lastRenderedPageBreak/>
              <w:t>įrašo tiekėjas</w:t>
            </w:r>
          </w:p>
        </w:tc>
      </w:tr>
      <w:tr w:rsidR="002607E9" w:rsidRPr="00342080" w14:paraId="0D2F243C" w14:textId="3E055469" w:rsidTr="00C227A7">
        <w:tc>
          <w:tcPr>
            <w:tcW w:w="806" w:type="dxa"/>
            <w:tcBorders>
              <w:top w:val="single" w:sz="4" w:space="0" w:color="auto"/>
              <w:left w:val="single" w:sz="4" w:space="0" w:color="auto"/>
              <w:bottom w:val="single" w:sz="4" w:space="0" w:color="auto"/>
              <w:right w:val="single" w:sz="4" w:space="0" w:color="auto"/>
            </w:tcBorders>
          </w:tcPr>
          <w:p w14:paraId="5DB617A1" w14:textId="77777777" w:rsidR="002607E9" w:rsidRPr="00342080" w:rsidRDefault="002607E9" w:rsidP="00226D7D">
            <w:pPr>
              <w:pStyle w:val="Footer"/>
              <w:tabs>
                <w:tab w:val="left" w:pos="1296"/>
              </w:tabs>
              <w:contextualSpacing/>
              <w:mirrorIndents/>
              <w:rPr>
                <w:rFonts w:asciiTheme="majorHAnsi" w:hAnsiTheme="majorHAnsi" w:cs="Times New Roman"/>
              </w:rPr>
            </w:pPr>
            <w:r w:rsidRPr="00342080">
              <w:rPr>
                <w:rFonts w:asciiTheme="majorHAnsi" w:hAnsiTheme="majorHAnsi" w:cs="Times New Roman"/>
              </w:rPr>
              <w:t>1.6</w:t>
            </w:r>
          </w:p>
        </w:tc>
        <w:tc>
          <w:tcPr>
            <w:tcW w:w="2270" w:type="dxa"/>
            <w:tcBorders>
              <w:top w:val="single" w:sz="4" w:space="0" w:color="auto"/>
              <w:left w:val="single" w:sz="4" w:space="0" w:color="auto"/>
              <w:bottom w:val="single" w:sz="4" w:space="0" w:color="auto"/>
              <w:right w:val="single" w:sz="4" w:space="0" w:color="auto"/>
            </w:tcBorders>
          </w:tcPr>
          <w:p w14:paraId="2DB55A80" w14:textId="32016F53" w:rsidR="002607E9" w:rsidRPr="00342080" w:rsidRDefault="002607E9" w:rsidP="00226D7D">
            <w:pPr>
              <w:pStyle w:val="Footer"/>
              <w:tabs>
                <w:tab w:val="left" w:pos="1296"/>
              </w:tabs>
              <w:contextualSpacing/>
              <w:mirrorIndents/>
              <w:rPr>
                <w:rFonts w:asciiTheme="majorHAnsi" w:hAnsiTheme="majorHAnsi" w:cs="Times New Roman"/>
              </w:rPr>
            </w:pPr>
            <w:r w:rsidRPr="00342080">
              <w:rPr>
                <w:rFonts w:asciiTheme="majorHAnsi" w:hAnsiTheme="majorHAnsi" w:cs="Times New Roman"/>
                <w:color w:val="000000" w:themeColor="text1"/>
              </w:rPr>
              <w:t>Tyrimo metoda</w:t>
            </w:r>
            <w:r w:rsidR="00240EA6" w:rsidRPr="00342080">
              <w:rPr>
                <w:rFonts w:asciiTheme="majorHAnsi" w:hAnsiTheme="majorHAnsi" w:cs="Times New Roman"/>
                <w:color w:val="000000" w:themeColor="text1"/>
              </w:rPr>
              <w:t>s</w:t>
            </w:r>
            <w:r w:rsidRPr="00342080">
              <w:rPr>
                <w:rFonts w:asciiTheme="majorHAnsi" w:hAnsiTheme="majorHAnsi" w:cs="Times New Roman"/>
                <w:color w:val="000000" w:themeColor="text1"/>
              </w:rPr>
              <w:t xml:space="preserve"> </w:t>
            </w:r>
          </w:p>
        </w:tc>
        <w:tc>
          <w:tcPr>
            <w:tcW w:w="6275" w:type="dxa"/>
            <w:tcBorders>
              <w:top w:val="single" w:sz="4" w:space="0" w:color="auto"/>
              <w:left w:val="single" w:sz="4" w:space="0" w:color="auto"/>
              <w:bottom w:val="single" w:sz="4" w:space="0" w:color="auto"/>
              <w:right w:val="single" w:sz="4" w:space="0" w:color="auto"/>
            </w:tcBorders>
          </w:tcPr>
          <w:p w14:paraId="215DA044" w14:textId="105604FC" w:rsidR="002607E9" w:rsidRPr="00342080" w:rsidRDefault="00364E79" w:rsidP="00226D7D">
            <w:pPr>
              <w:pStyle w:val="Footer"/>
              <w:tabs>
                <w:tab w:val="left" w:pos="1296"/>
              </w:tabs>
              <w:contextualSpacing/>
              <w:mirrorIndents/>
              <w:rPr>
                <w:rFonts w:asciiTheme="majorHAnsi" w:hAnsiTheme="majorHAnsi" w:cs="Times New Roman"/>
                <w:spacing w:val="-1"/>
              </w:rPr>
            </w:pPr>
            <w:proofErr w:type="spellStart"/>
            <w:r w:rsidRPr="00342080">
              <w:rPr>
                <w:rFonts w:asciiTheme="majorHAnsi" w:hAnsiTheme="majorHAnsi" w:cs="Times New Roman"/>
                <w:spacing w:val="-1"/>
              </w:rPr>
              <w:t>H</w:t>
            </w:r>
            <w:r w:rsidR="002607E9" w:rsidRPr="00342080">
              <w:rPr>
                <w:rFonts w:asciiTheme="majorHAnsi" w:hAnsiTheme="majorHAnsi" w:cs="Times New Roman"/>
                <w:spacing w:val="-1"/>
              </w:rPr>
              <w:t>emagliutinacijos</w:t>
            </w:r>
            <w:proofErr w:type="spellEnd"/>
            <w:r w:rsidR="002607E9" w:rsidRPr="00342080">
              <w:rPr>
                <w:rFonts w:asciiTheme="majorHAnsi" w:hAnsiTheme="majorHAnsi" w:cs="Times New Roman"/>
                <w:spacing w:val="-1"/>
              </w:rPr>
              <w:t xml:space="preserve"> reakcija stulpelyje</w:t>
            </w:r>
            <w:r w:rsidR="00D1096C" w:rsidRPr="00342080">
              <w:rPr>
                <w:rFonts w:asciiTheme="majorHAnsi" w:hAnsiTheme="majorHAnsi" w:cs="Times New Roman"/>
                <w:spacing w:val="-1"/>
              </w:rPr>
              <w:t xml:space="preserve"> </w:t>
            </w:r>
            <w:r w:rsidR="00240EA6" w:rsidRPr="00342080">
              <w:rPr>
                <w:rFonts w:asciiTheme="majorHAnsi" w:hAnsiTheme="majorHAnsi" w:cs="Times New Roman"/>
                <w:spacing w:val="-1"/>
              </w:rPr>
              <w:t>arba lygiavertis</w:t>
            </w:r>
          </w:p>
          <w:p w14:paraId="1FDA1A49" w14:textId="77777777" w:rsidR="002607E9" w:rsidRPr="00342080" w:rsidRDefault="002607E9" w:rsidP="00226D7D">
            <w:pPr>
              <w:pStyle w:val="Footer"/>
              <w:tabs>
                <w:tab w:val="left" w:pos="1296"/>
              </w:tabs>
              <w:contextualSpacing/>
              <w:mirrorIndents/>
              <w:rPr>
                <w:rFonts w:asciiTheme="majorHAnsi" w:hAnsiTheme="majorHAnsi" w:cs="Times New Roman"/>
              </w:rPr>
            </w:pPr>
          </w:p>
        </w:tc>
        <w:tc>
          <w:tcPr>
            <w:tcW w:w="4930" w:type="dxa"/>
            <w:tcBorders>
              <w:top w:val="single" w:sz="4" w:space="0" w:color="auto"/>
              <w:left w:val="single" w:sz="4" w:space="0" w:color="auto"/>
              <w:bottom w:val="single" w:sz="4" w:space="0" w:color="auto"/>
              <w:right w:val="single" w:sz="4" w:space="0" w:color="auto"/>
            </w:tcBorders>
          </w:tcPr>
          <w:p w14:paraId="6D842093" w14:textId="776CC35F" w:rsidR="002607E9" w:rsidRPr="00342080" w:rsidRDefault="00CB7147" w:rsidP="00226D7D">
            <w:pPr>
              <w:pStyle w:val="Footer"/>
              <w:tabs>
                <w:tab w:val="left" w:pos="1296"/>
              </w:tabs>
              <w:contextualSpacing/>
              <w:mirrorIndents/>
              <w:rPr>
                <w:rFonts w:asciiTheme="majorHAnsi" w:hAnsiTheme="majorHAnsi" w:cs="Times New Roman"/>
                <w:spacing w:val="-1"/>
              </w:rPr>
            </w:pPr>
            <w:r w:rsidRPr="00342080">
              <w:rPr>
                <w:rFonts w:asciiTheme="majorHAnsi" w:hAnsiTheme="majorHAnsi" w:cs="Times New Roman"/>
                <w:i/>
              </w:rPr>
              <w:t>įrašo tiekėjas</w:t>
            </w:r>
          </w:p>
        </w:tc>
      </w:tr>
      <w:tr w:rsidR="002607E9" w:rsidRPr="00342080" w14:paraId="08D7511D" w14:textId="0C3D214A" w:rsidTr="00C227A7">
        <w:tc>
          <w:tcPr>
            <w:tcW w:w="806" w:type="dxa"/>
            <w:tcBorders>
              <w:top w:val="single" w:sz="4" w:space="0" w:color="auto"/>
              <w:left w:val="single" w:sz="4" w:space="0" w:color="auto"/>
              <w:bottom w:val="single" w:sz="4" w:space="0" w:color="auto"/>
              <w:right w:val="single" w:sz="4" w:space="0" w:color="auto"/>
            </w:tcBorders>
          </w:tcPr>
          <w:p w14:paraId="68823C84" w14:textId="52432D26" w:rsidR="002607E9" w:rsidRPr="00342080" w:rsidRDefault="002607E9" w:rsidP="00226D7D">
            <w:pPr>
              <w:pStyle w:val="Footer"/>
              <w:tabs>
                <w:tab w:val="left" w:pos="1296"/>
              </w:tabs>
              <w:contextualSpacing/>
              <w:mirrorIndents/>
              <w:rPr>
                <w:rFonts w:asciiTheme="majorHAnsi" w:hAnsiTheme="majorHAnsi" w:cs="Times New Roman"/>
              </w:rPr>
            </w:pPr>
            <w:r w:rsidRPr="00342080">
              <w:rPr>
                <w:rFonts w:asciiTheme="majorHAnsi" w:hAnsiTheme="majorHAnsi" w:cs="Times New Roman"/>
              </w:rPr>
              <w:t>1.</w:t>
            </w:r>
            <w:r w:rsidR="00E67A50" w:rsidRPr="00342080">
              <w:rPr>
                <w:rFonts w:asciiTheme="majorHAnsi" w:hAnsiTheme="majorHAnsi" w:cs="Times New Roman"/>
              </w:rPr>
              <w:t>7</w:t>
            </w:r>
          </w:p>
        </w:tc>
        <w:tc>
          <w:tcPr>
            <w:tcW w:w="2270" w:type="dxa"/>
            <w:tcBorders>
              <w:top w:val="single" w:sz="4" w:space="0" w:color="auto"/>
              <w:left w:val="single" w:sz="4" w:space="0" w:color="auto"/>
              <w:bottom w:val="single" w:sz="4" w:space="0" w:color="auto"/>
              <w:right w:val="single" w:sz="4" w:space="0" w:color="auto"/>
            </w:tcBorders>
          </w:tcPr>
          <w:p w14:paraId="67588398" w14:textId="77777777" w:rsidR="002607E9" w:rsidRPr="00342080" w:rsidRDefault="002607E9" w:rsidP="00226D7D">
            <w:pPr>
              <w:pStyle w:val="Footer"/>
              <w:tabs>
                <w:tab w:val="left" w:pos="1296"/>
              </w:tabs>
              <w:contextualSpacing/>
              <w:mirrorIndents/>
              <w:rPr>
                <w:rFonts w:asciiTheme="majorHAnsi" w:hAnsiTheme="majorHAnsi" w:cs="Times New Roman"/>
                <w:color w:val="000000" w:themeColor="text1"/>
              </w:rPr>
            </w:pPr>
            <w:r w:rsidRPr="00342080">
              <w:rPr>
                <w:rFonts w:asciiTheme="majorHAnsi" w:hAnsiTheme="majorHAnsi" w:cs="Times New Roman"/>
                <w:color w:val="000000" w:themeColor="text1"/>
              </w:rPr>
              <w:t xml:space="preserve">Sistemos (analizatoriaus ir/ar programinės įrangos) </w:t>
            </w:r>
            <w:r w:rsidRPr="00342080">
              <w:rPr>
                <w:rFonts w:asciiTheme="majorHAnsi" w:hAnsiTheme="majorHAnsi" w:cs="Times New Roman"/>
              </w:rPr>
              <w:t>suderinamumas su LIS</w:t>
            </w:r>
            <w:r w:rsidRPr="00342080">
              <w:rPr>
                <w:rFonts w:asciiTheme="majorHAnsi" w:hAnsiTheme="majorHAnsi" w:cs="Times New Roman"/>
                <w:color w:val="000000" w:themeColor="text1"/>
              </w:rPr>
              <w:t xml:space="preserve"> </w:t>
            </w:r>
          </w:p>
        </w:tc>
        <w:tc>
          <w:tcPr>
            <w:tcW w:w="6275" w:type="dxa"/>
            <w:tcBorders>
              <w:top w:val="single" w:sz="4" w:space="0" w:color="auto"/>
              <w:left w:val="single" w:sz="4" w:space="0" w:color="auto"/>
              <w:bottom w:val="single" w:sz="4" w:space="0" w:color="auto"/>
              <w:right w:val="single" w:sz="4" w:space="0" w:color="auto"/>
            </w:tcBorders>
          </w:tcPr>
          <w:p w14:paraId="49BD50C9" w14:textId="77777777" w:rsidR="002607E9" w:rsidRPr="00342080" w:rsidRDefault="002607E9" w:rsidP="006D1B5E">
            <w:pPr>
              <w:pStyle w:val="Default"/>
              <w:ind w:left="284"/>
              <w:contextualSpacing/>
              <w:mirrorIndents/>
              <w:rPr>
                <w:rFonts w:asciiTheme="majorHAnsi" w:hAnsiTheme="majorHAnsi"/>
                <w:color w:val="auto"/>
                <w:sz w:val="22"/>
                <w:szCs w:val="22"/>
                <w:lang w:val="lt-LT"/>
              </w:rPr>
            </w:pPr>
            <w:r w:rsidRPr="00342080">
              <w:rPr>
                <w:rFonts w:asciiTheme="majorHAnsi" w:hAnsiTheme="majorHAnsi"/>
                <w:color w:val="auto"/>
                <w:spacing w:val="-1"/>
                <w:sz w:val="22"/>
                <w:szCs w:val="22"/>
                <w:lang w:val="lt-LT"/>
              </w:rPr>
              <w:t xml:space="preserve">Sistema turi būti tinkama (techniškai ir programiškai suderinama) integravimui į </w:t>
            </w:r>
            <w:r w:rsidRPr="00342080">
              <w:rPr>
                <w:rFonts w:asciiTheme="majorHAnsi" w:hAnsiTheme="majorHAnsi"/>
                <w:color w:val="auto"/>
                <w:sz w:val="22"/>
                <w:szCs w:val="22"/>
                <w:lang w:val="lt-LT"/>
              </w:rPr>
              <w:t xml:space="preserve">LSMU ligoninėje Kauno klinikose veikiančią </w:t>
            </w:r>
            <w:proofErr w:type="spellStart"/>
            <w:r w:rsidRPr="00342080">
              <w:rPr>
                <w:rFonts w:asciiTheme="majorHAnsi" w:hAnsiTheme="majorHAnsi"/>
                <w:color w:val="auto"/>
                <w:sz w:val="22"/>
                <w:szCs w:val="22"/>
                <w:lang w:val="lt-LT"/>
              </w:rPr>
              <w:t>eLab</w:t>
            </w:r>
            <w:proofErr w:type="spellEnd"/>
            <w:r w:rsidRPr="00342080">
              <w:rPr>
                <w:rFonts w:asciiTheme="majorHAnsi" w:hAnsiTheme="majorHAnsi"/>
                <w:color w:val="auto"/>
                <w:sz w:val="22"/>
                <w:szCs w:val="22"/>
                <w:lang w:val="lt-LT"/>
              </w:rPr>
              <w:t xml:space="preserve"> laboratorinę informacinę sistemą (toliau tekste - LIS):</w:t>
            </w:r>
          </w:p>
          <w:p w14:paraId="7ED0FE71" w14:textId="77777777" w:rsidR="002607E9" w:rsidRPr="00342080" w:rsidRDefault="002607E9" w:rsidP="006D1B5E">
            <w:pPr>
              <w:pStyle w:val="Footer"/>
              <w:numPr>
                <w:ilvl w:val="0"/>
                <w:numId w:val="25"/>
              </w:numPr>
              <w:ind w:left="284" w:hanging="283"/>
              <w:contextualSpacing/>
              <w:mirrorIndents/>
              <w:rPr>
                <w:rFonts w:asciiTheme="majorHAnsi" w:hAnsiTheme="majorHAnsi" w:cs="Times New Roman"/>
              </w:rPr>
            </w:pPr>
            <w:r w:rsidRPr="00342080">
              <w:rPr>
                <w:rFonts w:asciiTheme="majorHAnsi" w:hAnsiTheme="majorHAnsi" w:cs="Times New Roman"/>
              </w:rPr>
              <w:t>Tiekėjas privalo kartu su pasiūlymu konkursui pateikti Sistemos komunikacijos protokolą (angl. „</w:t>
            </w:r>
            <w:proofErr w:type="spellStart"/>
            <w:r w:rsidRPr="00342080">
              <w:rPr>
                <w:rFonts w:asciiTheme="majorHAnsi" w:hAnsiTheme="majorHAnsi" w:cs="Times New Roman"/>
              </w:rPr>
              <w:t>Interface</w:t>
            </w:r>
            <w:proofErr w:type="spellEnd"/>
            <w:r w:rsidRPr="00342080">
              <w:rPr>
                <w:rFonts w:asciiTheme="majorHAnsi" w:hAnsiTheme="majorHAnsi" w:cs="Times New Roman"/>
              </w:rPr>
              <w:t xml:space="preserve"> </w:t>
            </w:r>
            <w:proofErr w:type="spellStart"/>
            <w:r w:rsidRPr="00342080">
              <w:rPr>
                <w:rFonts w:asciiTheme="majorHAnsi" w:hAnsiTheme="majorHAnsi" w:cs="Times New Roman"/>
              </w:rPr>
              <w:t>manual</w:t>
            </w:r>
            <w:proofErr w:type="spellEnd"/>
            <w:r w:rsidRPr="00342080">
              <w:rPr>
                <w:rFonts w:asciiTheme="majorHAnsi" w:hAnsiTheme="majorHAnsi" w:cs="Times New Roman"/>
              </w:rPr>
              <w:t>“), kuriame detaliai pateikiama visa informacija, kaip siūloma Sistema gali būti sujungta su išorinėmis sistemomis.</w:t>
            </w:r>
          </w:p>
          <w:p w14:paraId="32BE2392" w14:textId="19842776" w:rsidR="002607E9" w:rsidRPr="00342080" w:rsidRDefault="002607E9" w:rsidP="006D1B5E">
            <w:pPr>
              <w:pStyle w:val="Footer"/>
              <w:numPr>
                <w:ilvl w:val="0"/>
                <w:numId w:val="25"/>
              </w:numPr>
              <w:ind w:left="284" w:hanging="283"/>
              <w:contextualSpacing/>
              <w:mirrorIndents/>
              <w:rPr>
                <w:rFonts w:asciiTheme="majorHAnsi" w:hAnsiTheme="majorHAnsi" w:cs="Times New Roman"/>
              </w:rPr>
            </w:pPr>
            <w:r w:rsidRPr="00342080">
              <w:rPr>
                <w:rFonts w:asciiTheme="majorHAnsi" w:hAnsiTheme="majorHAnsi" w:cs="Times New Roman"/>
              </w:rPr>
              <w:t>Siūloma Sistema turi turėti galimybę ASTM</w:t>
            </w:r>
            <w:r w:rsidR="008F4E4D" w:rsidRPr="00342080">
              <w:rPr>
                <w:rFonts w:asciiTheme="majorHAnsi" w:hAnsiTheme="majorHAnsi" w:cs="Times New Roman"/>
              </w:rPr>
              <w:t xml:space="preserve"> arba</w:t>
            </w:r>
            <w:r w:rsidRPr="00342080">
              <w:rPr>
                <w:rFonts w:asciiTheme="majorHAnsi" w:hAnsiTheme="majorHAnsi" w:cs="Times New Roman"/>
              </w:rPr>
              <w:t xml:space="preserve"> HL7, </w:t>
            </w:r>
            <w:r w:rsidR="008F4E4D" w:rsidRPr="00342080">
              <w:rPr>
                <w:rFonts w:asciiTheme="majorHAnsi" w:hAnsiTheme="majorHAnsi" w:cs="Times New Roman"/>
              </w:rPr>
              <w:t>s</w:t>
            </w:r>
            <w:r w:rsidRPr="00342080">
              <w:rPr>
                <w:rFonts w:asciiTheme="majorHAnsi" w:hAnsiTheme="majorHAnsi" w:cs="Times New Roman"/>
              </w:rPr>
              <w:t xml:space="preserve">tandarto protokolu keistis informacija su perkančiosios organizacijos LIS. Sistema turi automatiškai nuskaityti tyrimų užsakymus, o tyrimų atlikimo rezultatus automatiškai perduoti į LIS </w:t>
            </w:r>
            <w:proofErr w:type="spellStart"/>
            <w:r w:rsidRPr="00342080">
              <w:rPr>
                <w:rFonts w:asciiTheme="majorHAnsi" w:hAnsiTheme="majorHAnsi" w:cs="Times New Roman"/>
              </w:rPr>
              <w:t>Ethernet</w:t>
            </w:r>
            <w:proofErr w:type="spellEnd"/>
            <w:r w:rsidRPr="00342080">
              <w:rPr>
                <w:rFonts w:asciiTheme="majorHAnsi" w:hAnsiTheme="majorHAnsi" w:cs="Times New Roman"/>
              </w:rPr>
              <w:t xml:space="preserve"> tipo tinklu (10/100/1000BASE-T/TX), naudojant TCP/IP protokolą. </w:t>
            </w:r>
            <w:r w:rsidRPr="00342080">
              <w:rPr>
                <w:rFonts w:asciiTheme="majorHAnsi" w:hAnsiTheme="majorHAnsi" w:cs="Times New Roman"/>
              </w:rPr>
              <w:lastRenderedPageBreak/>
              <w:t xml:space="preserve">Jeigu tiekėjo siūloma Sistema turi tik RS232 (COM PORT) jungtį, tiekėjas kartu su Sistema pateikia (įskaičiuoja į Sistemos kainą) RS232&lt;-&gt;TCP/IP konverterį, kuris įgalina priimti tyrimų užsakymus ir perduoti tyrimų atlikimo rezultatus </w:t>
            </w:r>
            <w:proofErr w:type="spellStart"/>
            <w:r w:rsidRPr="00342080">
              <w:rPr>
                <w:rFonts w:asciiTheme="majorHAnsi" w:hAnsiTheme="majorHAnsi" w:cs="Times New Roman"/>
              </w:rPr>
              <w:t>Ethernet</w:t>
            </w:r>
            <w:proofErr w:type="spellEnd"/>
            <w:r w:rsidRPr="00342080">
              <w:rPr>
                <w:rFonts w:asciiTheme="majorHAnsi" w:hAnsiTheme="majorHAnsi" w:cs="Times New Roman"/>
              </w:rPr>
              <w:t xml:space="preserve"> tipo tinklu (10/100/1000BASE-T/TX), naudojant TCP/IP protokolą. Jeigu tiekėjo siūloma Sistema neturi galimybės keistis informacija ASTM</w:t>
            </w:r>
            <w:r w:rsidR="003F3615" w:rsidRPr="00342080">
              <w:rPr>
                <w:rFonts w:asciiTheme="majorHAnsi" w:hAnsiTheme="majorHAnsi" w:cs="Times New Roman"/>
              </w:rPr>
              <w:t xml:space="preserve"> ir/arba</w:t>
            </w:r>
            <w:r w:rsidRPr="00342080">
              <w:rPr>
                <w:rFonts w:asciiTheme="majorHAnsi" w:hAnsiTheme="majorHAnsi" w:cs="Times New Roman"/>
              </w:rPr>
              <w:t xml:space="preserve"> HL7 standarto protokolu</w:t>
            </w:r>
            <w:r w:rsidR="00FF18C1" w:rsidRPr="00342080">
              <w:rPr>
                <w:rFonts w:asciiTheme="majorHAnsi" w:hAnsiTheme="majorHAnsi" w:cs="Times New Roman"/>
              </w:rPr>
              <w:t xml:space="preserve"> (-</w:t>
            </w:r>
            <w:proofErr w:type="spellStart"/>
            <w:r w:rsidR="00FF18C1" w:rsidRPr="00342080">
              <w:rPr>
                <w:rFonts w:asciiTheme="majorHAnsi" w:hAnsiTheme="majorHAnsi" w:cs="Times New Roman"/>
              </w:rPr>
              <w:t>ais</w:t>
            </w:r>
            <w:proofErr w:type="spellEnd"/>
            <w:r w:rsidR="00FF18C1" w:rsidRPr="00342080">
              <w:rPr>
                <w:rFonts w:asciiTheme="majorHAnsi" w:hAnsiTheme="majorHAnsi" w:cs="Times New Roman"/>
              </w:rPr>
              <w:t>)</w:t>
            </w:r>
            <w:r w:rsidRPr="00342080">
              <w:rPr>
                <w:rFonts w:asciiTheme="majorHAnsi" w:hAnsiTheme="majorHAnsi" w:cs="Times New Roman"/>
              </w:rPr>
              <w:t xml:space="preserve">, kartu su Sistema turi būti pateiktas (įskaičiuotas į Sistemos kainą) kompiuteris su atitinkama programine įranga, įgalinančia keistis informacija su perkančiosios organizacijos LIS ASTM standarto protokolu, kurio pagalba tyrimų užsakymai ir tyrimų atlikimo rezultatai turi būti automatiškai nuskaitomi ir perduodami į LIS </w:t>
            </w:r>
            <w:proofErr w:type="spellStart"/>
            <w:r w:rsidRPr="00342080">
              <w:rPr>
                <w:rFonts w:asciiTheme="majorHAnsi" w:hAnsiTheme="majorHAnsi" w:cs="Times New Roman"/>
              </w:rPr>
              <w:t>Ethernet</w:t>
            </w:r>
            <w:proofErr w:type="spellEnd"/>
            <w:r w:rsidRPr="00342080">
              <w:rPr>
                <w:rFonts w:asciiTheme="majorHAnsi" w:hAnsiTheme="majorHAnsi" w:cs="Times New Roman"/>
              </w:rPr>
              <w:t xml:space="preserve"> tipo tinklu (10/100/1000BASE-T/TX), naudojant TCP/IP protokolą.</w:t>
            </w:r>
          </w:p>
          <w:p w14:paraId="43676EE2" w14:textId="77777777" w:rsidR="002607E9" w:rsidRPr="00342080" w:rsidRDefault="002607E9" w:rsidP="006D1B5E">
            <w:pPr>
              <w:pStyle w:val="Footer"/>
              <w:ind w:left="284" w:hanging="283"/>
              <w:contextualSpacing/>
              <w:mirrorIndents/>
              <w:rPr>
                <w:rFonts w:asciiTheme="majorHAnsi" w:hAnsiTheme="majorHAnsi" w:cs="Times New Roman"/>
                <w:b/>
                <w:bCs/>
                <w:i/>
                <w:iCs/>
              </w:rPr>
            </w:pPr>
            <w:r w:rsidRPr="00342080">
              <w:rPr>
                <w:rFonts w:asciiTheme="majorHAnsi" w:hAnsiTheme="majorHAnsi" w:cs="Times New Roman"/>
                <w:b/>
                <w:bCs/>
                <w:i/>
                <w:iCs/>
              </w:rPr>
              <w:t>Pastaba: 2. p. reikalavimų atitikimo pagrindimui būtina kartu su pasiūlymu konkursui pateikti atitinkamą tiekėjo ir/arba gamintojo patvirtinimą, nurodant konkrečius siūlomos Sistemos komunikavimo parametrus.</w:t>
            </w:r>
          </w:p>
          <w:p w14:paraId="72159B95" w14:textId="77777777" w:rsidR="002607E9" w:rsidRPr="00342080" w:rsidRDefault="002607E9" w:rsidP="006D1B5E">
            <w:pPr>
              <w:pStyle w:val="Default"/>
              <w:numPr>
                <w:ilvl w:val="0"/>
                <w:numId w:val="25"/>
              </w:numPr>
              <w:ind w:left="284" w:hanging="283"/>
              <w:contextualSpacing/>
              <w:mirrorIndents/>
              <w:rPr>
                <w:rFonts w:asciiTheme="majorHAnsi" w:hAnsiTheme="majorHAnsi"/>
                <w:color w:val="auto"/>
                <w:sz w:val="22"/>
                <w:szCs w:val="22"/>
                <w:lang w:val="lt-LT"/>
              </w:rPr>
            </w:pPr>
            <w:r w:rsidRPr="00342080">
              <w:rPr>
                <w:rFonts w:asciiTheme="majorHAnsi" w:hAnsiTheme="majorHAnsi"/>
                <w:color w:val="auto"/>
                <w:sz w:val="22"/>
                <w:szCs w:val="22"/>
                <w:lang w:val="lt-LT"/>
              </w:rPr>
              <w:t>Pagal analizatoriuje integruotu brūkšninių kodų skaitytuvu nuskenuotą mėginio kodą Sistema turi automatiškai nuskaityti arba pasirinkti iš tyrimų užsakymų informaciją apie konkrečius tyrimus, reikalingus padaryti iš mėginio, o atliktų tyrimų rezultatus su mėginio identifikaciniu kodu automatiškai nusiųsti į LIS.</w:t>
            </w:r>
          </w:p>
          <w:p w14:paraId="41FE87E8" w14:textId="77777777" w:rsidR="002607E9" w:rsidRPr="00342080" w:rsidRDefault="002607E9" w:rsidP="006D1B5E">
            <w:pPr>
              <w:pStyle w:val="Default"/>
              <w:ind w:left="284" w:hanging="283"/>
              <w:contextualSpacing/>
              <w:mirrorIndents/>
              <w:rPr>
                <w:rFonts w:asciiTheme="majorHAnsi" w:hAnsiTheme="majorHAnsi"/>
                <w:color w:val="auto"/>
                <w:sz w:val="22"/>
                <w:szCs w:val="22"/>
                <w:lang w:val="lt-LT"/>
              </w:rPr>
            </w:pPr>
            <w:r w:rsidRPr="00342080">
              <w:rPr>
                <w:rFonts w:asciiTheme="majorHAnsi" w:hAnsiTheme="majorHAnsi"/>
                <w:b/>
                <w:i/>
                <w:color w:val="auto"/>
                <w:sz w:val="22"/>
                <w:szCs w:val="22"/>
                <w:lang w:val="lt-LT"/>
              </w:rPr>
              <w:t>Pastaba: 3 p. reikalavimų atitikimo pagrindimui būtina kartu su pasiūlymu konkursui pateikti atitinkamą tiekėjo ir/arba gamintojo patvirtinimą</w:t>
            </w:r>
            <w:r w:rsidRPr="00342080">
              <w:rPr>
                <w:rFonts w:asciiTheme="majorHAnsi" w:hAnsiTheme="majorHAnsi"/>
                <w:color w:val="auto"/>
                <w:sz w:val="22"/>
                <w:szCs w:val="22"/>
                <w:lang w:val="lt-LT"/>
              </w:rPr>
              <w:t>).</w:t>
            </w:r>
          </w:p>
          <w:p w14:paraId="5CB0B4F5" w14:textId="77777777" w:rsidR="002607E9" w:rsidRPr="00342080" w:rsidRDefault="002607E9" w:rsidP="006D1B5E">
            <w:pPr>
              <w:pStyle w:val="Default"/>
              <w:numPr>
                <w:ilvl w:val="0"/>
                <w:numId w:val="25"/>
              </w:numPr>
              <w:ind w:left="284" w:hanging="283"/>
              <w:contextualSpacing/>
              <w:mirrorIndents/>
              <w:rPr>
                <w:rFonts w:asciiTheme="majorHAnsi" w:hAnsiTheme="majorHAnsi"/>
                <w:color w:val="auto"/>
                <w:sz w:val="22"/>
                <w:szCs w:val="22"/>
                <w:lang w:val="lt-LT"/>
              </w:rPr>
            </w:pPr>
            <w:r w:rsidRPr="00342080">
              <w:rPr>
                <w:rFonts w:asciiTheme="majorHAnsi" w:hAnsiTheme="majorHAnsi"/>
                <w:color w:val="auto"/>
                <w:sz w:val="22"/>
                <w:szCs w:val="22"/>
                <w:lang w:val="lt-LT"/>
              </w:rPr>
              <w:t>Pirkimo laimėjimo atveju Tiekėjas privalės savo jėgomis ir lėšomis:</w:t>
            </w:r>
          </w:p>
          <w:p w14:paraId="021B0781" w14:textId="09461ED4" w:rsidR="002607E9" w:rsidRPr="00342080" w:rsidRDefault="0022303A" w:rsidP="006D1B5E">
            <w:pPr>
              <w:pStyle w:val="Default"/>
              <w:numPr>
                <w:ilvl w:val="1"/>
                <w:numId w:val="27"/>
              </w:numPr>
              <w:ind w:left="499" w:hanging="499"/>
              <w:contextualSpacing/>
              <w:mirrorIndents/>
              <w:rPr>
                <w:rFonts w:asciiTheme="majorHAnsi" w:hAnsiTheme="majorHAnsi"/>
                <w:color w:val="auto"/>
                <w:sz w:val="22"/>
                <w:szCs w:val="22"/>
                <w:lang w:val="lt-LT"/>
              </w:rPr>
            </w:pPr>
            <w:r w:rsidRPr="00342080">
              <w:rPr>
                <w:rFonts w:asciiTheme="majorHAnsi" w:hAnsiTheme="majorHAnsi"/>
                <w:color w:val="auto"/>
                <w:sz w:val="22"/>
                <w:szCs w:val="22"/>
                <w:lang w:val="lt-LT"/>
              </w:rPr>
              <w:t>Teikti visokeriopą pagalbą konsultuojant pateiktos Sistemos integravimo į perkančiosios organizacijos LIS klausimais</w:t>
            </w:r>
            <w:r w:rsidR="002607E9" w:rsidRPr="00342080">
              <w:rPr>
                <w:rFonts w:asciiTheme="majorHAnsi" w:hAnsiTheme="majorHAnsi"/>
                <w:color w:val="auto"/>
                <w:sz w:val="22"/>
                <w:szCs w:val="22"/>
                <w:lang w:val="lt-LT"/>
              </w:rPr>
              <w:t>;</w:t>
            </w:r>
          </w:p>
          <w:p w14:paraId="61FB93F0" w14:textId="26A42922" w:rsidR="002607E9" w:rsidRPr="00342080" w:rsidRDefault="002607E9" w:rsidP="006D1B5E">
            <w:pPr>
              <w:pStyle w:val="Default"/>
              <w:numPr>
                <w:ilvl w:val="1"/>
                <w:numId w:val="27"/>
              </w:numPr>
              <w:ind w:left="499" w:hanging="499"/>
              <w:contextualSpacing/>
              <w:mirrorIndents/>
              <w:rPr>
                <w:rFonts w:asciiTheme="majorHAnsi" w:hAnsiTheme="majorHAnsi"/>
                <w:color w:val="auto"/>
                <w:sz w:val="22"/>
                <w:szCs w:val="22"/>
                <w:lang w:val="lt-LT"/>
              </w:rPr>
            </w:pPr>
            <w:r w:rsidRPr="00342080">
              <w:rPr>
                <w:rFonts w:asciiTheme="majorHAnsi" w:hAnsiTheme="majorHAnsi"/>
                <w:color w:val="auto"/>
                <w:sz w:val="22"/>
                <w:szCs w:val="22"/>
                <w:lang w:val="lt-LT"/>
              </w:rPr>
              <w:t xml:space="preserve">Pateikti detalų Sistemos atliekamų tyrimų sąrašą su nurodytais tyrimų  (jei tyrimai susideda iš daugiau nei </w:t>
            </w:r>
            <w:r w:rsidRPr="00342080">
              <w:rPr>
                <w:rFonts w:asciiTheme="majorHAnsi" w:hAnsiTheme="majorHAnsi"/>
                <w:color w:val="auto"/>
                <w:sz w:val="22"/>
                <w:szCs w:val="22"/>
                <w:lang w:val="lt-LT"/>
              </w:rPr>
              <w:lastRenderedPageBreak/>
              <w:t>vienos analitės, taip pat ir analičių) kodais, pavadinimais ir kitais duomenimis;</w:t>
            </w:r>
          </w:p>
          <w:p w14:paraId="0B674140" w14:textId="58CD36FC" w:rsidR="002607E9" w:rsidRPr="00342080" w:rsidRDefault="002607E9" w:rsidP="006D1B5E">
            <w:pPr>
              <w:pStyle w:val="Default"/>
              <w:numPr>
                <w:ilvl w:val="1"/>
                <w:numId w:val="27"/>
              </w:numPr>
              <w:ind w:left="499" w:hanging="499"/>
              <w:contextualSpacing/>
              <w:mirrorIndents/>
              <w:rPr>
                <w:rFonts w:asciiTheme="majorHAnsi" w:hAnsiTheme="majorHAnsi"/>
                <w:color w:val="auto"/>
                <w:sz w:val="22"/>
                <w:szCs w:val="22"/>
                <w:lang w:val="lt-LT"/>
              </w:rPr>
            </w:pPr>
            <w:r w:rsidRPr="00342080">
              <w:rPr>
                <w:rFonts w:asciiTheme="majorHAnsi" w:hAnsiTheme="majorHAnsi"/>
                <w:color w:val="auto"/>
                <w:sz w:val="22"/>
                <w:szCs w:val="22"/>
                <w:lang w:val="lt-LT"/>
              </w:rPr>
              <w:t xml:space="preserve">Dalyvauti Sistemos sąsajos su perkančiosios organizacijos LIS testavime ir/ar </w:t>
            </w:r>
            <w:proofErr w:type="spellStart"/>
            <w:r w:rsidRPr="00342080">
              <w:rPr>
                <w:rFonts w:asciiTheme="majorHAnsi" w:hAnsiTheme="majorHAnsi"/>
                <w:color w:val="auto"/>
                <w:sz w:val="22"/>
                <w:szCs w:val="22"/>
                <w:lang w:val="lt-LT"/>
              </w:rPr>
              <w:t>validavime</w:t>
            </w:r>
            <w:proofErr w:type="spellEnd"/>
            <w:r w:rsidRPr="00342080">
              <w:rPr>
                <w:rFonts w:asciiTheme="majorHAnsi" w:hAnsiTheme="majorHAnsi"/>
                <w:color w:val="auto"/>
                <w:sz w:val="22"/>
                <w:szCs w:val="22"/>
                <w:lang w:val="lt-LT"/>
              </w:rPr>
              <w:t>.</w:t>
            </w:r>
          </w:p>
          <w:p w14:paraId="133EDD50" w14:textId="77777777" w:rsidR="002607E9" w:rsidRPr="00342080" w:rsidRDefault="002607E9" w:rsidP="006D1B5E">
            <w:pPr>
              <w:pStyle w:val="Default"/>
              <w:ind w:left="284" w:hanging="283"/>
              <w:contextualSpacing/>
              <w:mirrorIndents/>
              <w:rPr>
                <w:rFonts w:asciiTheme="majorHAnsi" w:hAnsiTheme="majorHAnsi"/>
                <w:color w:val="auto"/>
                <w:sz w:val="22"/>
                <w:szCs w:val="22"/>
                <w:lang w:val="lt-LT"/>
              </w:rPr>
            </w:pPr>
            <w:r w:rsidRPr="00342080">
              <w:rPr>
                <w:rFonts w:asciiTheme="majorHAnsi" w:hAnsiTheme="majorHAnsi"/>
                <w:b/>
                <w:i/>
                <w:color w:val="auto"/>
                <w:sz w:val="22"/>
                <w:szCs w:val="22"/>
                <w:lang w:val="lt-LT"/>
              </w:rPr>
              <w:t>Pastaba: 4 p. reikalavimų atitikimo pagrindimui būtina kartu su pasiūlymu konkursui pateikti atitinkamą tiekėjo ir/arba gamintojo įsipareigojimą</w:t>
            </w:r>
            <w:r w:rsidRPr="00342080">
              <w:rPr>
                <w:rFonts w:asciiTheme="majorHAnsi" w:hAnsiTheme="majorHAnsi"/>
                <w:color w:val="auto"/>
                <w:sz w:val="22"/>
                <w:szCs w:val="22"/>
                <w:lang w:val="lt-LT"/>
              </w:rPr>
              <w:t xml:space="preserve">). </w:t>
            </w:r>
          </w:p>
          <w:p w14:paraId="6DBD0E37" w14:textId="77777777" w:rsidR="002607E9" w:rsidRPr="00342080" w:rsidRDefault="002607E9" w:rsidP="006D1B5E">
            <w:pPr>
              <w:pStyle w:val="Default"/>
              <w:ind w:left="284" w:hanging="425"/>
              <w:contextualSpacing/>
              <w:mirrorIndents/>
              <w:rPr>
                <w:rFonts w:asciiTheme="majorHAnsi" w:hAnsiTheme="majorHAnsi"/>
                <w:sz w:val="22"/>
                <w:szCs w:val="22"/>
                <w:lang w:val="lt-LT"/>
              </w:rPr>
            </w:pPr>
          </w:p>
        </w:tc>
        <w:tc>
          <w:tcPr>
            <w:tcW w:w="4930" w:type="dxa"/>
            <w:tcBorders>
              <w:top w:val="single" w:sz="4" w:space="0" w:color="auto"/>
              <w:left w:val="single" w:sz="4" w:space="0" w:color="auto"/>
              <w:bottom w:val="single" w:sz="4" w:space="0" w:color="auto"/>
              <w:right w:val="single" w:sz="4" w:space="0" w:color="auto"/>
            </w:tcBorders>
          </w:tcPr>
          <w:p w14:paraId="2032CDA8" w14:textId="2F3F539C" w:rsidR="002607E9" w:rsidRPr="00342080" w:rsidRDefault="006132B7" w:rsidP="00226D7D">
            <w:pPr>
              <w:pStyle w:val="Default"/>
              <w:contextualSpacing/>
              <w:mirrorIndents/>
              <w:rPr>
                <w:rFonts w:asciiTheme="majorHAnsi" w:hAnsiTheme="majorHAnsi"/>
                <w:color w:val="auto"/>
                <w:spacing w:val="-1"/>
                <w:sz w:val="22"/>
                <w:szCs w:val="22"/>
                <w:lang w:val="lt-LT"/>
              </w:rPr>
            </w:pPr>
            <w:r w:rsidRPr="00342080">
              <w:rPr>
                <w:rFonts w:asciiTheme="majorHAnsi" w:hAnsiTheme="majorHAnsi"/>
                <w:i/>
                <w:lang w:val="lt-LT"/>
              </w:rPr>
              <w:lastRenderedPageBreak/>
              <w:t>įrašo tiekėjas</w:t>
            </w:r>
          </w:p>
        </w:tc>
      </w:tr>
      <w:tr w:rsidR="002607E9" w:rsidRPr="00342080" w14:paraId="4A5A6017" w14:textId="58C9516E" w:rsidTr="00C227A7">
        <w:trPr>
          <w:trHeight w:val="316"/>
        </w:trPr>
        <w:tc>
          <w:tcPr>
            <w:tcW w:w="806" w:type="dxa"/>
            <w:tcBorders>
              <w:top w:val="single" w:sz="4" w:space="0" w:color="auto"/>
              <w:left w:val="single" w:sz="4" w:space="0" w:color="auto"/>
              <w:bottom w:val="single" w:sz="4" w:space="0" w:color="auto"/>
              <w:right w:val="single" w:sz="4" w:space="0" w:color="auto"/>
            </w:tcBorders>
          </w:tcPr>
          <w:p w14:paraId="474F8633" w14:textId="765B3E81" w:rsidR="002607E9" w:rsidRPr="00342080" w:rsidRDefault="002607E9" w:rsidP="00226D7D">
            <w:pPr>
              <w:pStyle w:val="Footer"/>
              <w:tabs>
                <w:tab w:val="left" w:pos="1296"/>
              </w:tabs>
              <w:contextualSpacing/>
              <w:mirrorIndents/>
              <w:rPr>
                <w:rFonts w:asciiTheme="majorHAnsi" w:hAnsiTheme="majorHAnsi" w:cs="Times New Roman"/>
              </w:rPr>
            </w:pPr>
            <w:r w:rsidRPr="00342080">
              <w:rPr>
                <w:rFonts w:asciiTheme="majorHAnsi" w:hAnsiTheme="majorHAnsi" w:cs="Times New Roman"/>
              </w:rPr>
              <w:lastRenderedPageBreak/>
              <w:t>1.</w:t>
            </w:r>
            <w:r w:rsidR="00E67A50" w:rsidRPr="00342080">
              <w:rPr>
                <w:rFonts w:asciiTheme="majorHAnsi" w:hAnsiTheme="majorHAnsi" w:cs="Times New Roman"/>
              </w:rPr>
              <w:t>8</w:t>
            </w:r>
          </w:p>
        </w:tc>
        <w:tc>
          <w:tcPr>
            <w:tcW w:w="2270" w:type="dxa"/>
            <w:tcBorders>
              <w:top w:val="single" w:sz="4" w:space="0" w:color="auto"/>
              <w:left w:val="single" w:sz="4" w:space="0" w:color="auto"/>
              <w:bottom w:val="single" w:sz="4" w:space="0" w:color="auto"/>
              <w:right w:val="single" w:sz="4" w:space="0" w:color="auto"/>
            </w:tcBorders>
          </w:tcPr>
          <w:p w14:paraId="50DC2300" w14:textId="77777777" w:rsidR="002607E9" w:rsidRPr="00342080" w:rsidRDefault="002607E9" w:rsidP="00226D7D">
            <w:pPr>
              <w:contextualSpacing/>
              <w:mirrorIndents/>
              <w:rPr>
                <w:rFonts w:asciiTheme="majorHAnsi" w:hAnsiTheme="majorHAnsi" w:cs="Times New Roman"/>
              </w:rPr>
            </w:pPr>
            <w:r w:rsidRPr="00342080">
              <w:rPr>
                <w:rFonts w:asciiTheme="majorHAnsi" w:hAnsiTheme="majorHAnsi" w:cs="Times New Roman"/>
              </w:rPr>
              <w:t>Naudojimo instrukcija</w:t>
            </w:r>
          </w:p>
        </w:tc>
        <w:tc>
          <w:tcPr>
            <w:tcW w:w="6275" w:type="dxa"/>
            <w:tcBorders>
              <w:top w:val="single" w:sz="4" w:space="0" w:color="auto"/>
              <w:left w:val="single" w:sz="4" w:space="0" w:color="auto"/>
              <w:bottom w:val="single" w:sz="4" w:space="0" w:color="auto"/>
              <w:right w:val="single" w:sz="4" w:space="0" w:color="auto"/>
            </w:tcBorders>
          </w:tcPr>
          <w:p w14:paraId="4D0C7566" w14:textId="609226F2" w:rsidR="00D2729E" w:rsidRPr="00342080" w:rsidRDefault="00D23DF3" w:rsidP="00226D7D">
            <w:pPr>
              <w:contextualSpacing/>
              <w:mirrorIndents/>
              <w:rPr>
                <w:rFonts w:asciiTheme="majorHAnsi" w:hAnsiTheme="majorHAnsi" w:cs="Times New Roman"/>
              </w:rPr>
            </w:pPr>
            <w:r w:rsidRPr="00342080">
              <w:rPr>
                <w:rFonts w:asciiTheme="majorHAnsi" w:hAnsiTheme="majorHAnsi" w:cs="Times New Roman"/>
              </w:rPr>
              <w:t>K</w:t>
            </w:r>
            <w:r w:rsidR="00B01C0B" w:rsidRPr="00342080">
              <w:rPr>
                <w:rFonts w:asciiTheme="majorHAnsi" w:hAnsiTheme="majorHAnsi" w:cs="Times New Roman"/>
              </w:rPr>
              <w:t xml:space="preserve">artu su pasiūlymu </w:t>
            </w:r>
            <w:r w:rsidRPr="00342080">
              <w:rPr>
                <w:rFonts w:asciiTheme="majorHAnsi" w:hAnsiTheme="majorHAnsi" w:cs="Times New Roman"/>
              </w:rPr>
              <w:t xml:space="preserve">pateikiama </w:t>
            </w:r>
            <w:r w:rsidR="00EF6D82" w:rsidRPr="00342080">
              <w:rPr>
                <w:rFonts w:asciiTheme="majorHAnsi" w:hAnsiTheme="majorHAnsi" w:cs="Times New Roman"/>
              </w:rPr>
              <w:t>anglų kalba</w:t>
            </w:r>
            <w:r w:rsidR="007E6CD1" w:rsidRPr="00342080">
              <w:rPr>
                <w:rFonts w:asciiTheme="majorHAnsi" w:hAnsiTheme="majorHAnsi" w:cs="Times New Roman"/>
              </w:rPr>
              <w:t xml:space="preserve"> (elektroninė versija). Kartu su prekėmis </w:t>
            </w:r>
            <w:r w:rsidRPr="00342080">
              <w:rPr>
                <w:rFonts w:asciiTheme="majorHAnsi" w:hAnsiTheme="majorHAnsi" w:cs="Times New Roman"/>
              </w:rPr>
              <w:t xml:space="preserve">pateikiama </w:t>
            </w:r>
            <w:r w:rsidR="00D2729E" w:rsidRPr="00342080">
              <w:rPr>
                <w:rFonts w:asciiTheme="majorHAnsi" w:hAnsiTheme="majorHAnsi" w:cs="Times New Roman"/>
              </w:rPr>
              <w:t>lietuvių ir anglų kalbomis (elektroninė versija).</w:t>
            </w:r>
          </w:p>
          <w:p w14:paraId="77351458" w14:textId="7200AEFB" w:rsidR="002607E9" w:rsidRPr="00342080" w:rsidRDefault="00D2729E" w:rsidP="00226D7D">
            <w:pPr>
              <w:contextualSpacing/>
              <w:mirrorIndents/>
              <w:rPr>
                <w:rFonts w:asciiTheme="majorHAnsi" w:hAnsiTheme="majorHAnsi" w:cs="Times New Roman"/>
                <w:highlight w:val="yellow"/>
              </w:rPr>
            </w:pPr>
            <w:r w:rsidRPr="00342080">
              <w:rPr>
                <w:rFonts w:asciiTheme="majorHAnsi" w:hAnsiTheme="majorHAnsi" w:cs="Times New Roman"/>
                <w:b/>
                <w:i/>
              </w:rPr>
              <w:t xml:space="preserve">Pastaba: Reikalavimas taikomas vadovaujantis </w:t>
            </w:r>
            <w:r w:rsidRPr="00342080">
              <w:rPr>
                <w:rFonts w:asciiTheme="majorHAnsi" w:hAnsiTheme="majorHAnsi" w:cs="Times New Roman"/>
                <w:b/>
                <w:i/>
                <w:shd w:val="clear" w:color="auto" w:fill="FFFFFF"/>
              </w:rPr>
              <w:t>Lietuvos Respublikos aplinkos ministro 2022 m. gruodžio 13 d. įsakymu Nr. D1-401 patvirtinto aplinkos apsaugos kriterijų taikymo, vykdant žaliuosius pirkimus, tvarkos aprašo II skyriaus 4.4.4.1 punktu.</w:t>
            </w:r>
          </w:p>
        </w:tc>
        <w:tc>
          <w:tcPr>
            <w:tcW w:w="4930" w:type="dxa"/>
            <w:tcBorders>
              <w:top w:val="single" w:sz="4" w:space="0" w:color="auto"/>
              <w:left w:val="single" w:sz="4" w:space="0" w:color="auto"/>
              <w:bottom w:val="single" w:sz="4" w:space="0" w:color="auto"/>
              <w:right w:val="single" w:sz="4" w:space="0" w:color="auto"/>
            </w:tcBorders>
          </w:tcPr>
          <w:p w14:paraId="3E45BFCE" w14:textId="2B774663" w:rsidR="002607E9" w:rsidRPr="00342080" w:rsidRDefault="006132B7" w:rsidP="00226D7D">
            <w:pPr>
              <w:contextualSpacing/>
              <w:mirrorIndents/>
              <w:rPr>
                <w:rFonts w:asciiTheme="majorHAnsi" w:hAnsiTheme="majorHAnsi" w:cs="Times New Roman"/>
              </w:rPr>
            </w:pPr>
            <w:r w:rsidRPr="00342080">
              <w:rPr>
                <w:rFonts w:asciiTheme="majorHAnsi" w:hAnsiTheme="majorHAnsi" w:cs="Times New Roman"/>
                <w:i/>
              </w:rPr>
              <w:t>įrašo tiekėjas</w:t>
            </w:r>
          </w:p>
        </w:tc>
      </w:tr>
      <w:tr w:rsidR="002607E9" w:rsidRPr="00342080" w14:paraId="7DE49E2E" w14:textId="34C4A97F" w:rsidTr="00C227A7">
        <w:trPr>
          <w:trHeight w:val="581"/>
        </w:trPr>
        <w:tc>
          <w:tcPr>
            <w:tcW w:w="806" w:type="dxa"/>
            <w:tcBorders>
              <w:top w:val="single" w:sz="4" w:space="0" w:color="auto"/>
              <w:left w:val="single" w:sz="4" w:space="0" w:color="auto"/>
              <w:bottom w:val="single" w:sz="4" w:space="0" w:color="auto"/>
              <w:right w:val="single" w:sz="4" w:space="0" w:color="auto"/>
            </w:tcBorders>
          </w:tcPr>
          <w:p w14:paraId="08253065" w14:textId="4BEA8E8C" w:rsidR="002607E9" w:rsidRPr="00342080" w:rsidRDefault="002607E9" w:rsidP="00226D7D">
            <w:pPr>
              <w:pStyle w:val="Footer"/>
              <w:tabs>
                <w:tab w:val="left" w:pos="1296"/>
              </w:tabs>
              <w:contextualSpacing/>
              <w:mirrorIndents/>
              <w:rPr>
                <w:rFonts w:asciiTheme="majorHAnsi" w:hAnsiTheme="majorHAnsi" w:cs="Times New Roman"/>
              </w:rPr>
            </w:pPr>
            <w:r w:rsidRPr="00342080">
              <w:rPr>
                <w:rFonts w:asciiTheme="majorHAnsi" w:hAnsiTheme="majorHAnsi" w:cs="Times New Roman"/>
              </w:rPr>
              <w:t>1.</w:t>
            </w:r>
            <w:r w:rsidR="00E67A50" w:rsidRPr="00342080">
              <w:rPr>
                <w:rFonts w:asciiTheme="majorHAnsi" w:hAnsiTheme="majorHAnsi" w:cs="Times New Roman"/>
              </w:rPr>
              <w:t>9</w:t>
            </w:r>
          </w:p>
        </w:tc>
        <w:tc>
          <w:tcPr>
            <w:tcW w:w="2270" w:type="dxa"/>
            <w:tcBorders>
              <w:top w:val="single" w:sz="4" w:space="0" w:color="auto"/>
              <w:left w:val="single" w:sz="4" w:space="0" w:color="auto"/>
              <w:bottom w:val="single" w:sz="4" w:space="0" w:color="auto"/>
              <w:right w:val="single" w:sz="4" w:space="0" w:color="auto"/>
            </w:tcBorders>
          </w:tcPr>
          <w:p w14:paraId="15BE4499" w14:textId="77777777" w:rsidR="002607E9" w:rsidRPr="00342080" w:rsidRDefault="002607E9" w:rsidP="00226D7D">
            <w:pPr>
              <w:contextualSpacing/>
              <w:mirrorIndents/>
              <w:rPr>
                <w:rFonts w:asciiTheme="majorHAnsi" w:hAnsiTheme="majorHAnsi" w:cs="Times New Roman"/>
                <w:strike/>
              </w:rPr>
            </w:pPr>
            <w:r w:rsidRPr="00342080">
              <w:rPr>
                <w:rFonts w:asciiTheme="majorHAnsi" w:hAnsiTheme="majorHAnsi" w:cs="Times New Roman"/>
              </w:rPr>
              <w:t>Įrangos CE ženklinimas</w:t>
            </w:r>
          </w:p>
        </w:tc>
        <w:tc>
          <w:tcPr>
            <w:tcW w:w="6275" w:type="dxa"/>
            <w:tcBorders>
              <w:top w:val="single" w:sz="4" w:space="0" w:color="auto"/>
              <w:left w:val="single" w:sz="4" w:space="0" w:color="auto"/>
              <w:bottom w:val="single" w:sz="4" w:space="0" w:color="auto"/>
              <w:right w:val="single" w:sz="4" w:space="0" w:color="auto"/>
            </w:tcBorders>
          </w:tcPr>
          <w:p w14:paraId="3F5A5402" w14:textId="3BCB7CC3" w:rsidR="002607E9" w:rsidRPr="00342080" w:rsidRDefault="002607E9" w:rsidP="00226D7D">
            <w:pPr>
              <w:contextualSpacing/>
              <w:mirrorIndents/>
              <w:rPr>
                <w:rFonts w:asciiTheme="majorHAnsi" w:hAnsiTheme="majorHAnsi" w:cs="Times New Roman"/>
              </w:rPr>
            </w:pPr>
            <w:r w:rsidRPr="00342080">
              <w:rPr>
                <w:rFonts w:asciiTheme="majorHAnsi" w:hAnsiTheme="majorHAnsi" w:cs="Times New Roman"/>
              </w:rPr>
              <w:t>Analizatoriai</w:t>
            </w:r>
            <w:r w:rsidRPr="00342080">
              <w:rPr>
                <w:rFonts w:asciiTheme="majorHAnsi" w:hAnsiTheme="majorHAnsi" w:cs="Times New Roman"/>
                <w:color w:val="000000" w:themeColor="text1"/>
              </w:rPr>
              <w:t xml:space="preserve">, išorinė centrifuga, </w:t>
            </w:r>
            <w:r w:rsidR="00364E79" w:rsidRPr="00342080">
              <w:rPr>
                <w:rFonts w:asciiTheme="majorHAnsi" w:hAnsiTheme="majorHAnsi" w:cs="Times New Roman"/>
                <w:color w:val="000000" w:themeColor="text1"/>
              </w:rPr>
              <w:t xml:space="preserve">išorinis </w:t>
            </w:r>
            <w:r w:rsidRPr="00342080">
              <w:rPr>
                <w:rFonts w:asciiTheme="majorHAnsi" w:hAnsiTheme="majorHAnsi" w:cs="Times New Roman"/>
                <w:color w:val="000000" w:themeColor="text1"/>
              </w:rPr>
              <w:t xml:space="preserve">inkubatorius stulpelių </w:t>
            </w:r>
            <w:r w:rsidR="00364E79" w:rsidRPr="00342080">
              <w:rPr>
                <w:rFonts w:asciiTheme="majorHAnsi" w:hAnsiTheme="majorHAnsi" w:cs="Times New Roman"/>
                <w:color w:val="000000" w:themeColor="text1"/>
              </w:rPr>
              <w:t>kor</w:t>
            </w:r>
            <w:r w:rsidRPr="00342080">
              <w:rPr>
                <w:rFonts w:asciiTheme="majorHAnsi" w:hAnsiTheme="majorHAnsi" w:cs="Times New Roman"/>
                <w:color w:val="000000" w:themeColor="text1"/>
              </w:rPr>
              <w:t>telėms</w:t>
            </w:r>
            <w:r w:rsidR="00A9385D" w:rsidRPr="00342080">
              <w:rPr>
                <w:rFonts w:asciiTheme="majorHAnsi" w:hAnsiTheme="majorHAnsi" w:cs="Times New Roman"/>
                <w:color w:val="000000" w:themeColor="text1"/>
              </w:rPr>
              <w:t xml:space="preserve">, </w:t>
            </w:r>
            <w:r w:rsidR="00A9385D" w:rsidRPr="00342080">
              <w:rPr>
                <w:rFonts w:asciiTheme="majorHAnsi" w:hAnsiTheme="majorHAnsi" w:cs="Times New Roman"/>
              </w:rPr>
              <w:t>centrifuga skirta centrifuguoti ėminius</w:t>
            </w:r>
            <w:r w:rsidRPr="00342080">
              <w:rPr>
                <w:rFonts w:asciiTheme="majorHAnsi" w:hAnsiTheme="majorHAnsi" w:cs="Times New Roman"/>
                <w:color w:val="000000" w:themeColor="text1"/>
              </w:rPr>
              <w:t xml:space="preserve"> turi turėti CE ženklinimą</w:t>
            </w:r>
            <w:r w:rsidRPr="00342080">
              <w:rPr>
                <w:rFonts w:asciiTheme="majorHAnsi" w:hAnsiTheme="majorHAnsi" w:cs="Times New Roman"/>
              </w:rPr>
              <w:t xml:space="preserve"> (</w:t>
            </w:r>
            <w:r w:rsidRPr="00342080">
              <w:rPr>
                <w:rFonts w:asciiTheme="majorHAnsi" w:hAnsiTheme="majorHAnsi" w:cs="Times New Roman"/>
                <w:b/>
                <w:bCs/>
                <w:i/>
                <w:iCs/>
              </w:rPr>
              <w:t>kartu su pasiūlymu konkursui būtina pateikti įrangos žymėjimą CE ženklu liudijančių dokumentų kopijas).</w:t>
            </w:r>
          </w:p>
          <w:p w14:paraId="0755B3EF" w14:textId="77777777" w:rsidR="002607E9" w:rsidRPr="00342080" w:rsidRDefault="002607E9" w:rsidP="00226D7D">
            <w:pPr>
              <w:contextualSpacing/>
              <w:mirrorIndents/>
              <w:rPr>
                <w:rFonts w:asciiTheme="majorHAnsi" w:hAnsiTheme="majorHAnsi" w:cs="Times New Roman"/>
              </w:rPr>
            </w:pPr>
          </w:p>
        </w:tc>
        <w:tc>
          <w:tcPr>
            <w:tcW w:w="4930" w:type="dxa"/>
            <w:tcBorders>
              <w:top w:val="single" w:sz="4" w:space="0" w:color="auto"/>
              <w:left w:val="single" w:sz="4" w:space="0" w:color="auto"/>
              <w:bottom w:val="single" w:sz="4" w:space="0" w:color="auto"/>
              <w:right w:val="single" w:sz="4" w:space="0" w:color="auto"/>
            </w:tcBorders>
          </w:tcPr>
          <w:p w14:paraId="77A72C4C" w14:textId="7B1CDF2D" w:rsidR="002607E9" w:rsidRPr="00342080" w:rsidRDefault="00B8798E" w:rsidP="00226D7D">
            <w:pPr>
              <w:contextualSpacing/>
              <w:mirrorIndents/>
              <w:rPr>
                <w:rFonts w:asciiTheme="majorHAnsi" w:hAnsiTheme="majorHAnsi" w:cs="Times New Roman"/>
              </w:rPr>
            </w:pPr>
            <w:r w:rsidRPr="00342080">
              <w:rPr>
                <w:rFonts w:asciiTheme="majorHAnsi" w:hAnsiTheme="majorHAnsi" w:cs="Times New Roman"/>
                <w:i/>
              </w:rPr>
              <w:t>įrašo tiekėjas</w:t>
            </w:r>
          </w:p>
        </w:tc>
      </w:tr>
      <w:tr w:rsidR="002607E9" w:rsidRPr="00342080" w14:paraId="24671C29" w14:textId="7DD92609" w:rsidTr="00C227A7">
        <w:trPr>
          <w:trHeight w:val="581"/>
        </w:trPr>
        <w:tc>
          <w:tcPr>
            <w:tcW w:w="806" w:type="dxa"/>
            <w:tcBorders>
              <w:top w:val="single" w:sz="4" w:space="0" w:color="auto"/>
              <w:left w:val="single" w:sz="4" w:space="0" w:color="auto"/>
              <w:bottom w:val="single" w:sz="4" w:space="0" w:color="auto"/>
              <w:right w:val="single" w:sz="4" w:space="0" w:color="auto"/>
            </w:tcBorders>
          </w:tcPr>
          <w:p w14:paraId="46953A0E" w14:textId="347BC01B" w:rsidR="002607E9" w:rsidRPr="00342080" w:rsidRDefault="002607E9" w:rsidP="00226D7D">
            <w:pPr>
              <w:pStyle w:val="Footer"/>
              <w:tabs>
                <w:tab w:val="left" w:pos="1296"/>
              </w:tabs>
              <w:contextualSpacing/>
              <w:mirrorIndents/>
              <w:rPr>
                <w:rFonts w:asciiTheme="majorHAnsi" w:hAnsiTheme="majorHAnsi" w:cs="Times New Roman"/>
              </w:rPr>
            </w:pPr>
            <w:r w:rsidRPr="00342080">
              <w:rPr>
                <w:rFonts w:asciiTheme="majorHAnsi" w:hAnsiTheme="majorHAnsi" w:cs="Times New Roman"/>
              </w:rPr>
              <w:t>1.1</w:t>
            </w:r>
            <w:r w:rsidR="00E67A50" w:rsidRPr="00342080">
              <w:rPr>
                <w:rFonts w:asciiTheme="majorHAnsi" w:hAnsiTheme="majorHAnsi" w:cs="Times New Roman"/>
              </w:rPr>
              <w:t>0</w:t>
            </w:r>
          </w:p>
        </w:tc>
        <w:tc>
          <w:tcPr>
            <w:tcW w:w="2270" w:type="dxa"/>
            <w:tcBorders>
              <w:top w:val="single" w:sz="4" w:space="0" w:color="auto"/>
              <w:left w:val="single" w:sz="4" w:space="0" w:color="auto"/>
              <w:bottom w:val="single" w:sz="4" w:space="0" w:color="auto"/>
              <w:right w:val="single" w:sz="4" w:space="0" w:color="auto"/>
            </w:tcBorders>
          </w:tcPr>
          <w:p w14:paraId="65E101ED" w14:textId="77777777" w:rsidR="002607E9" w:rsidRPr="00342080" w:rsidRDefault="002607E9" w:rsidP="00226D7D">
            <w:pPr>
              <w:contextualSpacing/>
              <w:mirrorIndents/>
              <w:rPr>
                <w:rFonts w:asciiTheme="majorHAnsi" w:hAnsiTheme="majorHAnsi" w:cs="Times New Roman"/>
                <w:color w:val="000000"/>
              </w:rPr>
            </w:pPr>
            <w:r w:rsidRPr="00342080">
              <w:rPr>
                <w:rFonts w:asciiTheme="majorHAnsi" w:hAnsiTheme="majorHAnsi" w:cs="Times New Roman"/>
                <w:color w:val="000000"/>
              </w:rPr>
              <w:t>Reagentai ir kitos priemonės</w:t>
            </w:r>
          </w:p>
        </w:tc>
        <w:tc>
          <w:tcPr>
            <w:tcW w:w="6275" w:type="dxa"/>
            <w:tcBorders>
              <w:top w:val="single" w:sz="4" w:space="0" w:color="auto"/>
              <w:left w:val="single" w:sz="4" w:space="0" w:color="auto"/>
              <w:bottom w:val="single" w:sz="4" w:space="0" w:color="auto"/>
              <w:right w:val="single" w:sz="4" w:space="0" w:color="auto"/>
            </w:tcBorders>
            <w:shd w:val="clear" w:color="auto" w:fill="FFFFFF" w:themeFill="background1"/>
          </w:tcPr>
          <w:p w14:paraId="0413CEF2" w14:textId="66991A71" w:rsidR="002607E9" w:rsidRPr="00342080" w:rsidRDefault="00567817" w:rsidP="00DC3227">
            <w:pPr>
              <w:pStyle w:val="Default"/>
              <w:numPr>
                <w:ilvl w:val="0"/>
                <w:numId w:val="26"/>
              </w:numPr>
              <w:ind w:left="357" w:hanging="357"/>
              <w:contextualSpacing/>
              <w:mirrorIndents/>
              <w:rPr>
                <w:rFonts w:asciiTheme="majorHAnsi" w:hAnsiTheme="majorHAnsi"/>
                <w:color w:val="auto"/>
                <w:sz w:val="22"/>
                <w:szCs w:val="22"/>
                <w:lang w:val="lt-LT"/>
              </w:rPr>
            </w:pPr>
            <w:r w:rsidRPr="00342080">
              <w:rPr>
                <w:rFonts w:asciiTheme="majorHAnsi" w:hAnsiTheme="majorHAnsi"/>
                <w:color w:val="000000" w:themeColor="text1"/>
                <w:sz w:val="22"/>
                <w:szCs w:val="22"/>
                <w:lang w:val="lt-LT"/>
              </w:rPr>
              <w:t>Tiekėjas kartu su pasiūlymu konkursui turi pateikti visų 1 priede nurodytų tyrimų atlikimui pagal gamintojo rekomendacijas reikalingų sudedamųjų priemonių (stulpelių kortelių, reagentų, reagentų ir mėginių skiediklių, kontrolinių medžiagų,</w:t>
            </w:r>
            <w:r w:rsidRPr="00342080">
              <w:rPr>
                <w:rFonts w:asciiTheme="majorHAnsi" w:hAnsiTheme="majorHAnsi"/>
                <w:color w:val="000000" w:themeColor="text1"/>
                <w:spacing w:val="-14"/>
                <w:sz w:val="22"/>
                <w:szCs w:val="22"/>
                <w:lang w:val="lt-LT"/>
              </w:rPr>
              <w:t xml:space="preserve"> </w:t>
            </w:r>
            <w:r w:rsidRPr="00342080">
              <w:rPr>
                <w:rFonts w:asciiTheme="majorHAnsi" w:hAnsiTheme="majorHAnsi"/>
                <w:color w:val="000000" w:themeColor="text1"/>
                <w:sz w:val="22"/>
                <w:szCs w:val="22"/>
                <w:lang w:val="lt-LT"/>
              </w:rPr>
              <w:t>mėgintuvėlių,</w:t>
            </w:r>
            <w:r w:rsidRPr="00342080">
              <w:rPr>
                <w:rFonts w:asciiTheme="majorHAnsi" w:hAnsiTheme="majorHAnsi"/>
                <w:color w:val="000000" w:themeColor="text1"/>
                <w:spacing w:val="-16"/>
                <w:sz w:val="22"/>
                <w:szCs w:val="22"/>
                <w:lang w:val="lt-LT"/>
              </w:rPr>
              <w:t xml:space="preserve"> </w:t>
            </w:r>
            <w:r w:rsidRPr="00342080">
              <w:rPr>
                <w:rFonts w:asciiTheme="majorHAnsi" w:hAnsiTheme="majorHAnsi"/>
                <w:color w:val="000000" w:themeColor="text1"/>
                <w:sz w:val="22"/>
                <w:szCs w:val="22"/>
                <w:lang w:val="lt-LT"/>
              </w:rPr>
              <w:t>ploviklių,</w:t>
            </w:r>
            <w:r w:rsidRPr="00342080">
              <w:rPr>
                <w:rFonts w:asciiTheme="majorHAnsi" w:hAnsiTheme="majorHAnsi"/>
                <w:color w:val="000000" w:themeColor="text1"/>
                <w:spacing w:val="-15"/>
                <w:sz w:val="22"/>
                <w:szCs w:val="22"/>
                <w:lang w:val="lt-LT"/>
              </w:rPr>
              <w:t xml:space="preserve"> </w:t>
            </w:r>
            <w:r w:rsidRPr="00342080">
              <w:rPr>
                <w:rFonts w:asciiTheme="majorHAnsi" w:hAnsiTheme="majorHAnsi"/>
                <w:color w:val="000000" w:themeColor="text1"/>
                <w:sz w:val="22"/>
                <w:szCs w:val="22"/>
                <w:lang w:val="lt-LT"/>
              </w:rPr>
              <w:t>specialių</w:t>
            </w:r>
            <w:r w:rsidRPr="00342080">
              <w:rPr>
                <w:rFonts w:asciiTheme="majorHAnsi" w:hAnsiTheme="majorHAnsi"/>
                <w:color w:val="000000" w:themeColor="text1"/>
                <w:spacing w:val="-16"/>
                <w:sz w:val="22"/>
                <w:szCs w:val="22"/>
                <w:lang w:val="lt-LT"/>
              </w:rPr>
              <w:t xml:space="preserve"> </w:t>
            </w:r>
            <w:r w:rsidRPr="00342080">
              <w:rPr>
                <w:rFonts w:asciiTheme="majorHAnsi" w:hAnsiTheme="majorHAnsi"/>
                <w:color w:val="000000" w:themeColor="text1"/>
                <w:sz w:val="22"/>
                <w:szCs w:val="22"/>
                <w:lang w:val="lt-LT"/>
              </w:rPr>
              <w:t>valiklių,</w:t>
            </w:r>
            <w:r w:rsidRPr="00342080">
              <w:rPr>
                <w:rFonts w:asciiTheme="majorHAnsi" w:hAnsiTheme="majorHAnsi"/>
                <w:color w:val="000000" w:themeColor="text1"/>
                <w:spacing w:val="-15"/>
                <w:sz w:val="22"/>
                <w:szCs w:val="22"/>
                <w:lang w:val="lt-LT"/>
              </w:rPr>
              <w:t xml:space="preserve"> </w:t>
            </w:r>
            <w:r w:rsidRPr="00342080">
              <w:rPr>
                <w:rFonts w:asciiTheme="majorHAnsi" w:hAnsiTheme="majorHAnsi"/>
                <w:color w:val="000000" w:themeColor="text1"/>
                <w:sz w:val="22"/>
                <w:szCs w:val="22"/>
                <w:lang w:val="lt-LT"/>
              </w:rPr>
              <w:t>specialių</w:t>
            </w:r>
            <w:r w:rsidRPr="00342080">
              <w:rPr>
                <w:rFonts w:asciiTheme="majorHAnsi" w:hAnsiTheme="majorHAnsi"/>
                <w:color w:val="000000" w:themeColor="text1"/>
                <w:spacing w:val="-16"/>
                <w:sz w:val="22"/>
                <w:szCs w:val="22"/>
                <w:lang w:val="lt-LT"/>
              </w:rPr>
              <w:t xml:space="preserve"> </w:t>
            </w:r>
            <w:r w:rsidRPr="00342080">
              <w:rPr>
                <w:rFonts w:asciiTheme="majorHAnsi" w:hAnsiTheme="majorHAnsi"/>
                <w:color w:val="000000" w:themeColor="text1"/>
                <w:sz w:val="22"/>
                <w:szCs w:val="22"/>
                <w:lang w:val="lt-LT"/>
              </w:rPr>
              <w:t>antgalių ir/ar kitų gamintojo nurodytų priemonių, reikalingų tyrimų atlikimui) sąrašą su nurodytu kiekiu</w:t>
            </w:r>
            <w:r w:rsidRPr="00342080">
              <w:rPr>
                <w:rFonts w:asciiTheme="majorHAnsi" w:hAnsiTheme="majorHAnsi"/>
                <w:color w:val="000000" w:themeColor="text1"/>
                <w:spacing w:val="-8"/>
                <w:sz w:val="22"/>
                <w:szCs w:val="22"/>
                <w:lang w:val="lt-LT"/>
              </w:rPr>
              <w:t xml:space="preserve"> </w:t>
            </w:r>
            <w:r w:rsidRPr="00342080">
              <w:rPr>
                <w:rFonts w:asciiTheme="majorHAnsi" w:hAnsiTheme="majorHAnsi"/>
                <w:color w:val="000000" w:themeColor="text1"/>
                <w:sz w:val="22"/>
                <w:szCs w:val="22"/>
                <w:lang w:val="lt-LT"/>
              </w:rPr>
              <w:t>pakuotėje.</w:t>
            </w:r>
          </w:p>
          <w:p w14:paraId="06F6D855" w14:textId="27E16868" w:rsidR="002607E9" w:rsidRPr="00342080" w:rsidRDefault="00892D16" w:rsidP="00DC3227">
            <w:pPr>
              <w:pStyle w:val="Default"/>
              <w:numPr>
                <w:ilvl w:val="0"/>
                <w:numId w:val="26"/>
              </w:numPr>
              <w:ind w:left="357" w:hanging="357"/>
              <w:contextualSpacing/>
              <w:mirrorIndents/>
              <w:rPr>
                <w:rFonts w:asciiTheme="majorHAnsi" w:hAnsiTheme="majorHAnsi"/>
                <w:color w:val="auto"/>
                <w:sz w:val="22"/>
                <w:szCs w:val="22"/>
                <w:lang w:val="lt-LT"/>
              </w:rPr>
            </w:pPr>
            <w:r w:rsidRPr="00342080">
              <w:rPr>
                <w:rFonts w:asciiTheme="majorHAnsi" w:hAnsiTheme="majorHAnsi"/>
                <w:color w:val="000000" w:themeColor="text1"/>
                <w:sz w:val="22"/>
                <w:szCs w:val="22"/>
                <w:lang w:val="lt-LT"/>
              </w:rPr>
              <w:t>Skaičiuojant tyrimų atlikimui reikalingų sudedamųjų priemonių kiekius, tiekėjas turi įvertinti tai, kad kontrolės, reagentai, kortelės ir kt. priemonės bus naudojamos atsižvelgiant į gamintojo nurodytus galiojimo bei stabilumo, atidarius rinkinį, terminus ir</w:t>
            </w:r>
            <w:r w:rsidR="0099267C" w:rsidRPr="00342080">
              <w:rPr>
                <w:rFonts w:asciiTheme="majorHAnsi" w:hAnsiTheme="majorHAnsi"/>
                <w:color w:val="000000" w:themeColor="text1"/>
                <w:sz w:val="22"/>
                <w:szCs w:val="22"/>
                <w:lang w:val="lt-LT"/>
              </w:rPr>
              <w:t>,</w:t>
            </w:r>
            <w:r w:rsidRPr="00342080">
              <w:rPr>
                <w:rFonts w:asciiTheme="majorHAnsi" w:hAnsiTheme="majorHAnsi"/>
                <w:color w:val="000000" w:themeColor="text1"/>
                <w:sz w:val="22"/>
                <w:szCs w:val="22"/>
                <w:lang w:val="lt-LT"/>
              </w:rPr>
              <w:t xml:space="preserve"> kad bus atliekama kasdieninė </w:t>
            </w:r>
            <w:r w:rsidRPr="00342080">
              <w:rPr>
                <w:rFonts w:asciiTheme="majorHAnsi" w:hAnsiTheme="majorHAnsi"/>
                <w:color w:val="000000" w:themeColor="text1"/>
                <w:spacing w:val="-3"/>
                <w:sz w:val="22"/>
                <w:szCs w:val="22"/>
                <w:lang w:val="lt-LT"/>
              </w:rPr>
              <w:t>kokybės</w:t>
            </w:r>
            <w:r w:rsidRPr="00342080">
              <w:rPr>
                <w:rFonts w:asciiTheme="majorHAnsi" w:hAnsiTheme="majorHAnsi"/>
                <w:color w:val="000000" w:themeColor="text1"/>
                <w:spacing w:val="-1"/>
                <w:sz w:val="22"/>
                <w:szCs w:val="22"/>
                <w:lang w:val="lt-LT"/>
              </w:rPr>
              <w:t xml:space="preserve"> </w:t>
            </w:r>
            <w:r w:rsidRPr="00342080">
              <w:rPr>
                <w:rFonts w:asciiTheme="majorHAnsi" w:hAnsiTheme="majorHAnsi"/>
                <w:color w:val="000000" w:themeColor="text1"/>
                <w:spacing w:val="-3"/>
                <w:sz w:val="22"/>
                <w:szCs w:val="22"/>
                <w:lang w:val="lt-LT"/>
              </w:rPr>
              <w:t>kontrolė.</w:t>
            </w:r>
          </w:p>
          <w:p w14:paraId="46D5F41E" w14:textId="682FD316" w:rsidR="002607E9" w:rsidRPr="00342080" w:rsidRDefault="002607E9" w:rsidP="00DC3227">
            <w:pPr>
              <w:pStyle w:val="Default"/>
              <w:numPr>
                <w:ilvl w:val="0"/>
                <w:numId w:val="26"/>
              </w:numPr>
              <w:ind w:left="357" w:hanging="357"/>
              <w:contextualSpacing/>
              <w:mirrorIndents/>
              <w:rPr>
                <w:rFonts w:asciiTheme="majorHAnsi" w:hAnsiTheme="majorHAnsi"/>
                <w:color w:val="auto"/>
                <w:sz w:val="22"/>
                <w:szCs w:val="22"/>
                <w:lang w:val="lt-LT"/>
              </w:rPr>
            </w:pPr>
            <w:r w:rsidRPr="00342080">
              <w:rPr>
                <w:rFonts w:asciiTheme="majorHAnsi" w:hAnsiTheme="majorHAnsi"/>
                <w:color w:val="auto"/>
                <w:sz w:val="22"/>
                <w:szCs w:val="22"/>
                <w:lang w:val="lt-LT"/>
              </w:rPr>
              <w:lastRenderedPageBreak/>
              <w:t xml:space="preserve">Tiekiami reagentai </w:t>
            </w:r>
            <w:r w:rsidR="003B2324" w:rsidRPr="00342080">
              <w:rPr>
                <w:rFonts w:asciiTheme="majorHAnsi" w:hAnsiTheme="majorHAnsi"/>
                <w:color w:val="auto"/>
                <w:sz w:val="22"/>
                <w:szCs w:val="22"/>
                <w:lang w:val="lt-LT"/>
              </w:rPr>
              <w:t xml:space="preserve">(skirti automatizuotiems tyrimams), </w:t>
            </w:r>
            <w:r w:rsidRPr="00342080">
              <w:rPr>
                <w:rFonts w:asciiTheme="majorHAnsi" w:hAnsiTheme="majorHAnsi"/>
                <w:color w:val="auto"/>
                <w:sz w:val="22"/>
                <w:szCs w:val="22"/>
                <w:lang w:val="lt-LT"/>
              </w:rPr>
              <w:t>turi būti paruošti naudojimui, sufasuoti į buteliukus, dedamus tiesiai į analizatorių</w:t>
            </w:r>
            <w:r w:rsidR="00142448" w:rsidRPr="00342080">
              <w:rPr>
                <w:rFonts w:asciiTheme="majorHAnsi" w:hAnsiTheme="majorHAnsi"/>
                <w:color w:val="auto"/>
                <w:sz w:val="22"/>
                <w:szCs w:val="22"/>
                <w:lang w:val="lt-LT"/>
              </w:rPr>
              <w:t xml:space="preserve"> </w:t>
            </w:r>
            <w:r w:rsidRPr="00342080">
              <w:rPr>
                <w:rFonts w:asciiTheme="majorHAnsi" w:hAnsiTheme="majorHAnsi"/>
                <w:color w:val="auto"/>
                <w:sz w:val="22"/>
                <w:szCs w:val="22"/>
                <w:lang w:val="lt-LT"/>
              </w:rPr>
              <w:t>su brūkšniniais kodais.</w:t>
            </w:r>
          </w:p>
          <w:p w14:paraId="1903086E" w14:textId="72DC19D4" w:rsidR="002607E9" w:rsidRPr="00342080" w:rsidRDefault="000036DE" w:rsidP="00DC3227">
            <w:pPr>
              <w:pStyle w:val="Default"/>
              <w:numPr>
                <w:ilvl w:val="0"/>
                <w:numId w:val="26"/>
              </w:numPr>
              <w:ind w:left="357" w:hanging="357"/>
              <w:contextualSpacing/>
              <w:mirrorIndents/>
              <w:rPr>
                <w:rFonts w:asciiTheme="majorHAnsi" w:hAnsiTheme="majorHAnsi"/>
                <w:color w:val="auto"/>
                <w:sz w:val="22"/>
                <w:szCs w:val="22"/>
                <w:lang w:val="lt-LT"/>
              </w:rPr>
            </w:pPr>
            <w:r w:rsidRPr="00342080">
              <w:rPr>
                <w:rFonts w:asciiTheme="majorHAnsi" w:hAnsiTheme="majorHAnsi"/>
                <w:spacing w:val="-2"/>
                <w:sz w:val="22"/>
                <w:szCs w:val="22"/>
                <w:lang w:val="lt-LT"/>
              </w:rPr>
              <w:t>Reagentų galiojimo laikas turi būti ne trumpesnis nei 3 mėnesiai</w:t>
            </w:r>
            <w:r w:rsidR="005009C8" w:rsidRPr="00342080">
              <w:rPr>
                <w:rFonts w:asciiTheme="majorHAnsi" w:hAnsiTheme="majorHAnsi"/>
                <w:spacing w:val="-2"/>
                <w:sz w:val="22"/>
                <w:szCs w:val="22"/>
                <w:lang w:val="lt-LT"/>
              </w:rPr>
              <w:t xml:space="preserve"> nuo pri</w:t>
            </w:r>
            <w:r w:rsidR="004E6DD5" w:rsidRPr="00342080">
              <w:rPr>
                <w:rFonts w:asciiTheme="majorHAnsi" w:hAnsiTheme="majorHAnsi"/>
                <w:spacing w:val="-2"/>
                <w:sz w:val="22"/>
                <w:szCs w:val="22"/>
                <w:lang w:val="lt-LT"/>
              </w:rPr>
              <w:t>s</w:t>
            </w:r>
            <w:r w:rsidR="005009C8" w:rsidRPr="00342080">
              <w:rPr>
                <w:rFonts w:asciiTheme="majorHAnsi" w:hAnsiTheme="majorHAnsi"/>
                <w:spacing w:val="-2"/>
                <w:sz w:val="22"/>
                <w:szCs w:val="22"/>
                <w:lang w:val="lt-LT"/>
              </w:rPr>
              <w:t>tatymo dienos</w:t>
            </w:r>
            <w:r w:rsidRPr="00342080">
              <w:rPr>
                <w:rFonts w:asciiTheme="majorHAnsi" w:hAnsiTheme="majorHAnsi"/>
                <w:spacing w:val="-2"/>
                <w:sz w:val="22"/>
                <w:szCs w:val="22"/>
                <w:lang w:val="lt-LT"/>
              </w:rPr>
              <w:t xml:space="preserve">, kontrolinių medžiagų </w:t>
            </w:r>
            <w:r w:rsidR="00BD5B17" w:rsidRPr="00342080">
              <w:rPr>
                <w:rFonts w:asciiTheme="majorHAnsi" w:hAnsiTheme="majorHAnsi"/>
                <w:spacing w:val="-2"/>
                <w:sz w:val="22"/>
                <w:szCs w:val="22"/>
                <w:lang w:val="lt-LT"/>
              </w:rPr>
              <w:t>ir standartinių eritrocitų galiojimo laikas turi būti ne trumpesnis nei 1 mėnuo nuo pristatymo dienos</w:t>
            </w:r>
            <w:r w:rsidRPr="00342080">
              <w:rPr>
                <w:rFonts w:asciiTheme="majorHAnsi" w:hAnsiTheme="majorHAnsi"/>
                <w:spacing w:val="-2"/>
                <w:sz w:val="22"/>
                <w:szCs w:val="22"/>
                <w:lang w:val="lt-LT"/>
              </w:rPr>
              <w:t xml:space="preserve"> (</w:t>
            </w:r>
            <w:r w:rsidRPr="00342080">
              <w:rPr>
                <w:rFonts w:asciiTheme="majorHAnsi" w:hAnsiTheme="majorHAnsi"/>
                <w:b/>
                <w:i/>
                <w:spacing w:val="-2"/>
                <w:sz w:val="22"/>
                <w:szCs w:val="22"/>
                <w:lang w:val="lt-LT"/>
              </w:rPr>
              <w:t>būtinas atitinkamas tiekėjo patvirtinimas</w:t>
            </w:r>
            <w:r w:rsidRPr="00342080">
              <w:rPr>
                <w:rFonts w:asciiTheme="majorHAnsi" w:hAnsiTheme="majorHAnsi"/>
                <w:spacing w:val="-2"/>
                <w:sz w:val="22"/>
                <w:szCs w:val="22"/>
                <w:lang w:val="lt-LT"/>
              </w:rPr>
              <w:t>).</w:t>
            </w:r>
          </w:p>
        </w:tc>
        <w:tc>
          <w:tcPr>
            <w:tcW w:w="4930" w:type="dxa"/>
            <w:tcBorders>
              <w:top w:val="single" w:sz="4" w:space="0" w:color="auto"/>
              <w:left w:val="single" w:sz="4" w:space="0" w:color="auto"/>
              <w:bottom w:val="single" w:sz="4" w:space="0" w:color="auto"/>
              <w:right w:val="single" w:sz="4" w:space="0" w:color="auto"/>
            </w:tcBorders>
            <w:shd w:val="clear" w:color="auto" w:fill="FFFFFF" w:themeFill="background1"/>
          </w:tcPr>
          <w:p w14:paraId="0E952B39" w14:textId="19D41F15" w:rsidR="002607E9" w:rsidRPr="00342080" w:rsidRDefault="006132B7" w:rsidP="006132B7">
            <w:pPr>
              <w:pStyle w:val="ListParagraph"/>
              <w:ind w:left="0"/>
              <w:mirrorIndents/>
              <w:rPr>
                <w:rFonts w:asciiTheme="majorHAnsi" w:hAnsiTheme="majorHAnsi" w:cs="Times New Roman"/>
              </w:rPr>
            </w:pPr>
            <w:r w:rsidRPr="00342080">
              <w:rPr>
                <w:rFonts w:asciiTheme="majorHAnsi" w:hAnsiTheme="majorHAnsi" w:cs="Times New Roman"/>
                <w:i/>
              </w:rPr>
              <w:lastRenderedPageBreak/>
              <w:t>įrašo tiekėjas</w:t>
            </w:r>
          </w:p>
        </w:tc>
      </w:tr>
      <w:tr w:rsidR="002607E9" w:rsidRPr="00342080" w14:paraId="1A818162" w14:textId="6DD69CFD" w:rsidTr="00C227A7">
        <w:trPr>
          <w:trHeight w:val="581"/>
        </w:trPr>
        <w:tc>
          <w:tcPr>
            <w:tcW w:w="806" w:type="dxa"/>
            <w:tcBorders>
              <w:top w:val="single" w:sz="4" w:space="0" w:color="auto"/>
              <w:left w:val="single" w:sz="4" w:space="0" w:color="auto"/>
              <w:bottom w:val="single" w:sz="4" w:space="0" w:color="auto"/>
              <w:right w:val="single" w:sz="4" w:space="0" w:color="auto"/>
            </w:tcBorders>
          </w:tcPr>
          <w:p w14:paraId="22B00D37" w14:textId="415F2EF0" w:rsidR="002607E9" w:rsidRPr="00342080" w:rsidRDefault="002607E9" w:rsidP="00226D7D">
            <w:pPr>
              <w:pStyle w:val="Footer"/>
              <w:tabs>
                <w:tab w:val="left" w:pos="1296"/>
              </w:tabs>
              <w:contextualSpacing/>
              <w:mirrorIndents/>
              <w:rPr>
                <w:rFonts w:asciiTheme="majorHAnsi" w:hAnsiTheme="majorHAnsi" w:cs="Times New Roman"/>
              </w:rPr>
            </w:pPr>
            <w:r w:rsidRPr="00342080">
              <w:rPr>
                <w:rFonts w:asciiTheme="majorHAnsi" w:hAnsiTheme="majorHAnsi" w:cs="Times New Roman"/>
              </w:rPr>
              <w:t>1.1</w:t>
            </w:r>
            <w:r w:rsidR="00E67A50" w:rsidRPr="00342080">
              <w:rPr>
                <w:rFonts w:asciiTheme="majorHAnsi" w:hAnsiTheme="majorHAnsi" w:cs="Times New Roman"/>
              </w:rPr>
              <w:t>1</w:t>
            </w:r>
          </w:p>
        </w:tc>
        <w:tc>
          <w:tcPr>
            <w:tcW w:w="2270" w:type="dxa"/>
            <w:tcBorders>
              <w:top w:val="single" w:sz="4" w:space="0" w:color="auto"/>
              <w:left w:val="single" w:sz="4" w:space="0" w:color="auto"/>
              <w:bottom w:val="single" w:sz="4" w:space="0" w:color="auto"/>
              <w:right w:val="single" w:sz="4" w:space="0" w:color="auto"/>
            </w:tcBorders>
          </w:tcPr>
          <w:p w14:paraId="56F7B2EC" w14:textId="77777777" w:rsidR="002607E9" w:rsidRPr="00342080" w:rsidRDefault="002607E9" w:rsidP="00226D7D">
            <w:pPr>
              <w:contextualSpacing/>
              <w:mirrorIndents/>
              <w:rPr>
                <w:rFonts w:asciiTheme="majorHAnsi" w:hAnsiTheme="majorHAnsi" w:cs="Times New Roman"/>
              </w:rPr>
            </w:pPr>
            <w:r w:rsidRPr="00342080">
              <w:rPr>
                <w:rFonts w:asciiTheme="majorHAnsi" w:hAnsiTheme="majorHAnsi" w:cs="Times New Roman"/>
              </w:rPr>
              <w:t>Reagentų žymėjimas</w:t>
            </w:r>
          </w:p>
        </w:tc>
        <w:tc>
          <w:tcPr>
            <w:tcW w:w="6275" w:type="dxa"/>
            <w:tcBorders>
              <w:top w:val="single" w:sz="4" w:space="0" w:color="auto"/>
              <w:left w:val="single" w:sz="4" w:space="0" w:color="auto"/>
              <w:bottom w:val="single" w:sz="4" w:space="0" w:color="auto"/>
              <w:right w:val="single" w:sz="4" w:space="0" w:color="auto"/>
            </w:tcBorders>
          </w:tcPr>
          <w:p w14:paraId="7797ED8F" w14:textId="18660ECE" w:rsidR="002607E9" w:rsidRPr="00342080" w:rsidRDefault="00205204" w:rsidP="00226D7D">
            <w:pPr>
              <w:contextualSpacing/>
              <w:mirrorIndents/>
              <w:rPr>
                <w:rFonts w:asciiTheme="majorHAnsi" w:hAnsiTheme="majorHAnsi" w:cs="Times New Roman"/>
              </w:rPr>
            </w:pPr>
            <w:r w:rsidRPr="00342080">
              <w:rPr>
                <w:rFonts w:asciiTheme="majorHAnsi" w:hAnsiTheme="majorHAnsi" w:cs="Times New Roman"/>
                <w:shd w:val="clear" w:color="auto" w:fill="FFFFFF"/>
              </w:rPr>
              <w:t>Reagentai, (tame tarpe kontrolinės medžiagos) turi turėti CE ir IVD ženklinimus  (</w:t>
            </w:r>
            <w:r w:rsidRPr="00342080">
              <w:rPr>
                <w:rFonts w:asciiTheme="majorHAnsi" w:hAnsiTheme="majorHAnsi" w:cs="Times New Roman"/>
                <w:b/>
                <w:i/>
                <w:shd w:val="clear" w:color="auto" w:fill="FFFFFF"/>
              </w:rPr>
              <w:t xml:space="preserve">kartu su pasiūlymu konkursui privaloma pateikti galiojančių dokumentų, liudijančių reagentų CE sertifikavimą </w:t>
            </w:r>
            <w:r w:rsidRPr="00342080">
              <w:rPr>
                <w:rFonts w:asciiTheme="majorHAnsi" w:eastAsia="Times New Roman" w:hAnsiTheme="majorHAnsi" w:cs="Times New Roman"/>
                <w:b/>
                <w:i/>
              </w:rPr>
              <w:t xml:space="preserve">pagal Europos Parlamento ir Tarybos reglamento (ES) 2017/746 dėl </w:t>
            </w:r>
            <w:proofErr w:type="spellStart"/>
            <w:r w:rsidRPr="00342080">
              <w:rPr>
                <w:rFonts w:asciiTheme="majorHAnsi" w:eastAsia="Times New Roman" w:hAnsiTheme="majorHAnsi" w:cs="Times New Roman"/>
                <w:b/>
                <w:i/>
              </w:rPr>
              <w:t>in</w:t>
            </w:r>
            <w:proofErr w:type="spellEnd"/>
            <w:r w:rsidRPr="00342080">
              <w:rPr>
                <w:rFonts w:asciiTheme="majorHAnsi" w:eastAsia="Times New Roman" w:hAnsiTheme="majorHAnsi" w:cs="Times New Roman"/>
                <w:b/>
                <w:i/>
              </w:rPr>
              <w:t xml:space="preserve"> </w:t>
            </w:r>
            <w:proofErr w:type="spellStart"/>
            <w:r w:rsidRPr="00342080">
              <w:rPr>
                <w:rFonts w:asciiTheme="majorHAnsi" w:eastAsia="Times New Roman" w:hAnsiTheme="majorHAnsi" w:cs="Times New Roman"/>
                <w:b/>
                <w:i/>
              </w:rPr>
              <w:t>vitro</w:t>
            </w:r>
            <w:proofErr w:type="spellEnd"/>
            <w:r w:rsidRPr="00342080">
              <w:rPr>
                <w:rFonts w:asciiTheme="majorHAnsi" w:eastAsia="Times New Roman" w:hAnsiTheme="majorHAnsi" w:cs="Times New Roman"/>
                <w:b/>
                <w:i/>
              </w:rPr>
              <w:t xml:space="preserve"> diagnostikos medicinos priemonių</w:t>
            </w:r>
            <w:r w:rsidRPr="00342080">
              <w:rPr>
                <w:rFonts w:asciiTheme="majorHAnsi" w:hAnsiTheme="majorHAnsi" w:cs="Times New Roman"/>
                <w:b/>
                <w:i/>
                <w:shd w:val="clear" w:color="auto" w:fill="FFFFFF"/>
              </w:rPr>
              <w:t xml:space="preserve"> reikalavimus arba pagal </w:t>
            </w:r>
            <w:proofErr w:type="spellStart"/>
            <w:r w:rsidRPr="00342080">
              <w:rPr>
                <w:rFonts w:asciiTheme="majorHAnsi" w:hAnsiTheme="majorHAnsi" w:cs="Times New Roman"/>
                <w:b/>
                <w:i/>
                <w:shd w:val="clear" w:color="auto" w:fill="FFFFFF"/>
              </w:rPr>
              <w:t>In</w:t>
            </w:r>
            <w:proofErr w:type="spellEnd"/>
            <w:r w:rsidRPr="00342080">
              <w:rPr>
                <w:rFonts w:asciiTheme="majorHAnsi" w:hAnsiTheme="majorHAnsi" w:cs="Times New Roman"/>
                <w:b/>
                <w:i/>
                <w:shd w:val="clear" w:color="auto" w:fill="FFFFFF"/>
              </w:rPr>
              <w:t xml:space="preserve"> </w:t>
            </w:r>
            <w:proofErr w:type="spellStart"/>
            <w:r w:rsidRPr="00342080">
              <w:rPr>
                <w:rFonts w:asciiTheme="majorHAnsi" w:hAnsiTheme="majorHAnsi" w:cs="Times New Roman"/>
                <w:b/>
                <w:i/>
                <w:shd w:val="clear" w:color="auto" w:fill="FFFFFF"/>
              </w:rPr>
              <w:t>vitro</w:t>
            </w:r>
            <w:proofErr w:type="spellEnd"/>
            <w:r w:rsidRPr="00342080">
              <w:rPr>
                <w:rFonts w:asciiTheme="majorHAnsi" w:hAnsiTheme="majorHAnsi" w:cs="Times New Roman"/>
                <w:b/>
                <w:i/>
                <w:shd w:val="clear" w:color="auto" w:fill="FFFFFF"/>
              </w:rPr>
              <w:t xml:space="preserve"> diagnostikos medicinos prietaisų direktyvos 98/79/EC reikalavimus, kopijas</w:t>
            </w:r>
            <w:r w:rsidRPr="00342080">
              <w:rPr>
                <w:rFonts w:asciiTheme="majorHAnsi" w:hAnsiTheme="majorHAnsi" w:cs="Times New Roman"/>
                <w:shd w:val="clear" w:color="auto" w:fill="FFFFFF"/>
              </w:rPr>
              <w:t>).</w:t>
            </w:r>
          </w:p>
        </w:tc>
        <w:tc>
          <w:tcPr>
            <w:tcW w:w="4930" w:type="dxa"/>
            <w:tcBorders>
              <w:top w:val="single" w:sz="4" w:space="0" w:color="auto"/>
              <w:left w:val="single" w:sz="4" w:space="0" w:color="auto"/>
              <w:bottom w:val="single" w:sz="4" w:space="0" w:color="auto"/>
              <w:right w:val="single" w:sz="4" w:space="0" w:color="auto"/>
            </w:tcBorders>
          </w:tcPr>
          <w:p w14:paraId="5D519822" w14:textId="77E18A15" w:rsidR="002607E9" w:rsidRPr="00342080" w:rsidRDefault="006132B7" w:rsidP="00226D7D">
            <w:pPr>
              <w:contextualSpacing/>
              <w:mirrorIndents/>
              <w:rPr>
                <w:rFonts w:asciiTheme="majorHAnsi" w:hAnsiTheme="majorHAnsi" w:cs="Times New Roman"/>
              </w:rPr>
            </w:pPr>
            <w:r w:rsidRPr="00342080">
              <w:rPr>
                <w:rFonts w:asciiTheme="majorHAnsi" w:hAnsiTheme="majorHAnsi" w:cs="Times New Roman"/>
                <w:i/>
              </w:rPr>
              <w:t>įrašo tiekėjas</w:t>
            </w:r>
          </w:p>
        </w:tc>
      </w:tr>
      <w:tr w:rsidR="002607E9" w:rsidRPr="00342080" w14:paraId="6D151AD5" w14:textId="318C1B6C" w:rsidTr="00C227A7">
        <w:trPr>
          <w:trHeight w:val="581"/>
        </w:trPr>
        <w:tc>
          <w:tcPr>
            <w:tcW w:w="806" w:type="dxa"/>
            <w:tcBorders>
              <w:top w:val="single" w:sz="4" w:space="0" w:color="auto"/>
              <w:left w:val="single" w:sz="4" w:space="0" w:color="auto"/>
              <w:bottom w:val="single" w:sz="4" w:space="0" w:color="auto"/>
              <w:right w:val="single" w:sz="4" w:space="0" w:color="auto"/>
            </w:tcBorders>
          </w:tcPr>
          <w:p w14:paraId="754D5EF2" w14:textId="276B0321" w:rsidR="002607E9" w:rsidRPr="00342080" w:rsidRDefault="002607E9" w:rsidP="00226D7D">
            <w:pPr>
              <w:contextualSpacing/>
              <w:mirrorIndents/>
              <w:rPr>
                <w:rFonts w:asciiTheme="majorHAnsi" w:hAnsiTheme="majorHAnsi" w:cs="Times New Roman"/>
              </w:rPr>
            </w:pPr>
            <w:r w:rsidRPr="00342080">
              <w:rPr>
                <w:rFonts w:asciiTheme="majorHAnsi" w:hAnsiTheme="majorHAnsi" w:cs="Times New Roman"/>
              </w:rPr>
              <w:t>1.1</w:t>
            </w:r>
            <w:r w:rsidR="00E67A50" w:rsidRPr="00342080">
              <w:rPr>
                <w:rFonts w:asciiTheme="majorHAnsi" w:hAnsiTheme="majorHAnsi" w:cs="Times New Roman"/>
              </w:rPr>
              <w:t>2</w:t>
            </w:r>
          </w:p>
        </w:tc>
        <w:tc>
          <w:tcPr>
            <w:tcW w:w="2270" w:type="dxa"/>
            <w:tcBorders>
              <w:top w:val="single" w:sz="4" w:space="0" w:color="auto"/>
              <w:left w:val="single" w:sz="4" w:space="0" w:color="auto"/>
              <w:bottom w:val="single" w:sz="4" w:space="0" w:color="auto"/>
              <w:right w:val="single" w:sz="4" w:space="0" w:color="auto"/>
            </w:tcBorders>
          </w:tcPr>
          <w:p w14:paraId="34405BA8" w14:textId="77777777" w:rsidR="002607E9" w:rsidRPr="00342080" w:rsidRDefault="002607E9" w:rsidP="00226D7D">
            <w:pPr>
              <w:contextualSpacing/>
              <w:mirrorIndents/>
              <w:rPr>
                <w:rFonts w:asciiTheme="majorHAnsi" w:hAnsiTheme="majorHAnsi" w:cs="Times New Roman"/>
                <w:highlight w:val="yellow"/>
              </w:rPr>
            </w:pPr>
            <w:r w:rsidRPr="00342080">
              <w:rPr>
                <w:rFonts w:asciiTheme="majorHAnsi" w:hAnsiTheme="majorHAnsi" w:cs="Times New Roman"/>
              </w:rPr>
              <w:t>Įrangos techninis aptarnavimas</w:t>
            </w:r>
          </w:p>
        </w:tc>
        <w:tc>
          <w:tcPr>
            <w:tcW w:w="6275" w:type="dxa"/>
            <w:tcBorders>
              <w:top w:val="single" w:sz="4" w:space="0" w:color="auto"/>
              <w:left w:val="single" w:sz="4" w:space="0" w:color="auto"/>
              <w:bottom w:val="single" w:sz="4" w:space="0" w:color="auto"/>
              <w:right w:val="single" w:sz="4" w:space="0" w:color="auto"/>
            </w:tcBorders>
          </w:tcPr>
          <w:p w14:paraId="0A11EF47" w14:textId="4210BA34" w:rsidR="002607E9" w:rsidRPr="00342080" w:rsidRDefault="00597156" w:rsidP="00226D7D">
            <w:pPr>
              <w:pStyle w:val="TableParagraph"/>
              <w:spacing w:before="0"/>
              <w:ind w:left="0"/>
              <w:contextualSpacing/>
              <w:mirrorIndents/>
              <w:rPr>
                <w:rFonts w:asciiTheme="majorHAnsi" w:hAnsiTheme="majorHAnsi"/>
              </w:rPr>
            </w:pPr>
            <w:r w:rsidRPr="00342080">
              <w:rPr>
                <w:rFonts w:asciiTheme="majorHAnsi" w:hAnsiTheme="majorHAnsi"/>
                <w:color w:val="000000" w:themeColor="text1"/>
              </w:rPr>
              <w:t>Tiekėjas turi užtikrinti įrangos aparatūrinės ir programinės dalies (nemokamą nepertraukiamą techninį aptarnavimą 7 dienas per savaitę, 24 val. per parą sutarties galiojimo laikotarpiu. Tiekėjui gavus pranešimą apie įrangos gedimą, į Kauno klinikas ne vėliau kaip per 12 val. turi atvykti reikiamą kvalifikaciją turintis darbuotojas ir pašalinti gedimą arba kitaip užtikrinti įrangos darbą ne vėliau kaip per 24 val. Visiškai pašalinti gedimą turi per 48 valandas, o nesant galimybės pašalinti gedimą per 48 valandas, tiekėjas privalo sugedusią (netinkamai veikiančią) įrangą laikinai pakeisti lygiaverte.</w:t>
            </w:r>
          </w:p>
        </w:tc>
        <w:tc>
          <w:tcPr>
            <w:tcW w:w="4930" w:type="dxa"/>
            <w:tcBorders>
              <w:top w:val="single" w:sz="4" w:space="0" w:color="auto"/>
              <w:left w:val="single" w:sz="4" w:space="0" w:color="auto"/>
              <w:bottom w:val="single" w:sz="4" w:space="0" w:color="auto"/>
              <w:right w:val="single" w:sz="4" w:space="0" w:color="auto"/>
            </w:tcBorders>
          </w:tcPr>
          <w:p w14:paraId="6704DEBD" w14:textId="227B31A8" w:rsidR="002607E9" w:rsidRPr="00342080" w:rsidRDefault="006132B7" w:rsidP="00226D7D">
            <w:pPr>
              <w:contextualSpacing/>
              <w:mirrorIndents/>
              <w:rPr>
                <w:rFonts w:asciiTheme="majorHAnsi" w:hAnsiTheme="majorHAnsi" w:cs="Times New Roman"/>
              </w:rPr>
            </w:pPr>
            <w:r w:rsidRPr="00342080">
              <w:rPr>
                <w:rFonts w:asciiTheme="majorHAnsi" w:hAnsiTheme="majorHAnsi" w:cs="Times New Roman"/>
                <w:i/>
              </w:rPr>
              <w:t>įrašo tiekėjas</w:t>
            </w:r>
          </w:p>
        </w:tc>
      </w:tr>
    </w:tbl>
    <w:p w14:paraId="5DB34561" w14:textId="77777777" w:rsidR="006441F6" w:rsidRPr="00342080" w:rsidRDefault="006441F6" w:rsidP="009B2B27">
      <w:pPr>
        <w:pStyle w:val="Default"/>
        <w:spacing w:before="100" w:beforeAutospacing="1"/>
        <w:ind w:left="284" w:right="284"/>
        <w:contextualSpacing/>
        <w:mirrorIndents/>
        <w:rPr>
          <w:rFonts w:asciiTheme="majorHAnsi" w:hAnsiTheme="majorHAnsi"/>
          <w:b/>
          <w:sz w:val="22"/>
          <w:szCs w:val="22"/>
          <w:lang w:val="lt-LT"/>
        </w:rPr>
      </w:pPr>
    </w:p>
    <w:p w14:paraId="41797893" w14:textId="77777777" w:rsidR="00B67276" w:rsidRPr="00342080" w:rsidRDefault="00B67276" w:rsidP="009B2B27">
      <w:pPr>
        <w:pStyle w:val="Default"/>
        <w:spacing w:before="100" w:beforeAutospacing="1"/>
        <w:ind w:left="284" w:right="284"/>
        <w:contextualSpacing/>
        <w:mirrorIndents/>
        <w:rPr>
          <w:rFonts w:asciiTheme="majorHAnsi" w:hAnsiTheme="majorHAnsi"/>
          <w:b/>
          <w:sz w:val="22"/>
          <w:szCs w:val="22"/>
          <w:lang w:val="lt-LT"/>
        </w:rPr>
      </w:pPr>
    </w:p>
    <w:p w14:paraId="68070C03" w14:textId="5B327116" w:rsidR="005D78D7" w:rsidRPr="00342080" w:rsidRDefault="002E4F43" w:rsidP="00BA3487">
      <w:pPr>
        <w:pStyle w:val="Default"/>
        <w:tabs>
          <w:tab w:val="left" w:pos="1985"/>
        </w:tabs>
        <w:spacing w:before="100" w:beforeAutospacing="1"/>
        <w:ind w:left="284" w:right="284"/>
        <w:contextualSpacing/>
        <w:mirrorIndents/>
        <w:rPr>
          <w:rFonts w:asciiTheme="majorHAnsi" w:eastAsia="Times New Roman" w:hAnsiTheme="majorHAnsi"/>
        </w:rPr>
      </w:pPr>
      <w:bookmarkStart w:id="0" w:name="_GoBack"/>
      <w:bookmarkEnd w:id="0"/>
      <w:r w:rsidRPr="00342080">
        <w:rPr>
          <w:rFonts w:asciiTheme="majorHAnsi" w:hAnsiTheme="majorHAnsi"/>
          <w:color w:val="auto"/>
          <w:sz w:val="22"/>
          <w:szCs w:val="22"/>
        </w:rPr>
        <w:tab/>
      </w:r>
      <w:r w:rsidR="005D78D7" w:rsidRPr="00342080">
        <w:rPr>
          <w:rFonts w:asciiTheme="majorHAnsi" w:eastAsia="Times New Roman" w:hAnsiTheme="majorHAnsi"/>
        </w:rPr>
        <w:br w:type="page"/>
      </w:r>
    </w:p>
    <w:p w14:paraId="1DF02B85" w14:textId="77777777" w:rsidR="0074058A" w:rsidRPr="00342080" w:rsidRDefault="0074058A" w:rsidP="006132B7">
      <w:pPr>
        <w:spacing w:before="100" w:beforeAutospacing="1"/>
        <w:ind w:left="284" w:right="284"/>
        <w:contextualSpacing/>
        <w:mirrorIndents/>
        <w:jc w:val="right"/>
        <w:rPr>
          <w:rFonts w:asciiTheme="majorHAnsi" w:hAnsiTheme="majorHAnsi" w:cs="Times New Roman"/>
        </w:rPr>
      </w:pPr>
      <w:r w:rsidRPr="00342080">
        <w:rPr>
          <w:rFonts w:asciiTheme="majorHAnsi" w:hAnsiTheme="majorHAnsi" w:cs="Times New Roman"/>
        </w:rPr>
        <w:lastRenderedPageBreak/>
        <w:tab/>
      </w:r>
      <w:r w:rsidRPr="00342080">
        <w:rPr>
          <w:rFonts w:asciiTheme="majorHAnsi" w:hAnsiTheme="majorHAnsi" w:cs="Times New Roman"/>
        </w:rPr>
        <w:tab/>
      </w:r>
      <w:r w:rsidRPr="00342080">
        <w:rPr>
          <w:rFonts w:asciiTheme="majorHAnsi" w:hAnsiTheme="majorHAnsi" w:cs="Times New Roman"/>
        </w:rPr>
        <w:tab/>
      </w:r>
      <w:r w:rsidRPr="00342080">
        <w:rPr>
          <w:rFonts w:asciiTheme="majorHAnsi" w:hAnsiTheme="majorHAnsi" w:cs="Times New Roman"/>
        </w:rPr>
        <w:tab/>
      </w:r>
      <w:r w:rsidRPr="00342080">
        <w:rPr>
          <w:rFonts w:asciiTheme="majorHAnsi" w:hAnsiTheme="majorHAnsi" w:cs="Times New Roman"/>
        </w:rPr>
        <w:tab/>
        <w:t>1 priedas</w:t>
      </w:r>
    </w:p>
    <w:tbl>
      <w:tblPr>
        <w:tblpPr w:leftFromText="180" w:rightFromText="180" w:vertAnchor="text" w:horzAnchor="margin" w:tblpY="149"/>
        <w:tblW w:w="14467" w:type="dxa"/>
        <w:tblLook w:val="04A0" w:firstRow="1" w:lastRow="0" w:firstColumn="1" w:lastColumn="0" w:noHBand="0" w:noVBand="1"/>
      </w:tblPr>
      <w:tblGrid>
        <w:gridCol w:w="909"/>
        <w:gridCol w:w="3372"/>
        <w:gridCol w:w="1547"/>
        <w:gridCol w:w="4949"/>
        <w:gridCol w:w="3690"/>
      </w:tblGrid>
      <w:tr w:rsidR="0074058A" w:rsidRPr="00342080" w14:paraId="08540DED" w14:textId="77777777" w:rsidTr="006061F8">
        <w:trPr>
          <w:trHeight w:val="983"/>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4BC73" w14:textId="77777777" w:rsidR="0074058A" w:rsidRPr="00342080" w:rsidRDefault="0074058A" w:rsidP="006061F8">
            <w:pPr>
              <w:ind w:hanging="11"/>
              <w:contextualSpacing/>
              <w:mirrorIndents/>
              <w:jc w:val="center"/>
              <w:rPr>
                <w:rFonts w:asciiTheme="majorHAnsi" w:hAnsiTheme="majorHAnsi" w:cs="Times New Roman"/>
                <w:b/>
              </w:rPr>
            </w:pPr>
            <w:r w:rsidRPr="00342080">
              <w:rPr>
                <w:rFonts w:asciiTheme="majorHAnsi" w:hAnsiTheme="majorHAnsi" w:cs="Times New Roman"/>
                <w:b/>
              </w:rPr>
              <w:t>Eil.</w:t>
            </w:r>
          </w:p>
          <w:p w14:paraId="077E50C3" w14:textId="77777777" w:rsidR="0074058A" w:rsidRPr="00342080" w:rsidRDefault="0074058A" w:rsidP="006061F8">
            <w:pPr>
              <w:ind w:hanging="11"/>
              <w:contextualSpacing/>
              <w:mirrorIndents/>
              <w:jc w:val="center"/>
              <w:rPr>
                <w:rFonts w:asciiTheme="majorHAnsi" w:hAnsiTheme="majorHAnsi" w:cs="Times New Roman"/>
                <w:b/>
                <w:bCs/>
                <w:color w:val="000000"/>
              </w:rPr>
            </w:pPr>
            <w:r w:rsidRPr="00342080">
              <w:rPr>
                <w:rFonts w:asciiTheme="majorHAnsi" w:hAnsiTheme="majorHAnsi" w:cs="Times New Roman"/>
                <w:b/>
              </w:rPr>
              <w:t>Nr.</w:t>
            </w:r>
          </w:p>
        </w:tc>
        <w:tc>
          <w:tcPr>
            <w:tcW w:w="3376" w:type="dxa"/>
            <w:tcBorders>
              <w:top w:val="single" w:sz="4" w:space="0" w:color="auto"/>
              <w:left w:val="nil"/>
              <w:bottom w:val="single" w:sz="4" w:space="0" w:color="auto"/>
              <w:right w:val="single" w:sz="4" w:space="0" w:color="auto"/>
            </w:tcBorders>
            <w:shd w:val="clear" w:color="auto" w:fill="auto"/>
            <w:vAlign w:val="center"/>
            <w:hideMark/>
          </w:tcPr>
          <w:p w14:paraId="13ECF92C" w14:textId="08211492" w:rsidR="0074058A" w:rsidRPr="00342080" w:rsidRDefault="0074058A" w:rsidP="006061F8">
            <w:pPr>
              <w:contextualSpacing/>
              <w:mirrorIndents/>
              <w:jc w:val="center"/>
              <w:rPr>
                <w:rFonts w:asciiTheme="majorHAnsi" w:hAnsiTheme="majorHAnsi" w:cs="Times New Roman"/>
                <w:b/>
                <w:bCs/>
                <w:color w:val="000000"/>
              </w:rPr>
            </w:pPr>
            <w:proofErr w:type="spellStart"/>
            <w:r w:rsidRPr="00342080">
              <w:rPr>
                <w:rFonts w:asciiTheme="majorHAnsi" w:hAnsiTheme="majorHAnsi" w:cs="Times New Roman"/>
                <w:b/>
                <w:bCs/>
              </w:rPr>
              <w:t>Imunohematologiniai</w:t>
            </w:r>
            <w:proofErr w:type="spellEnd"/>
            <w:r w:rsidRPr="00342080">
              <w:rPr>
                <w:rFonts w:asciiTheme="majorHAnsi" w:hAnsiTheme="majorHAnsi" w:cs="Times New Roman"/>
                <w:b/>
                <w:bCs/>
              </w:rPr>
              <w:t xml:space="preserve"> tyrimai</w:t>
            </w:r>
          </w:p>
        </w:tc>
        <w:tc>
          <w:tcPr>
            <w:tcW w:w="1549" w:type="dxa"/>
            <w:tcBorders>
              <w:top w:val="single" w:sz="4" w:space="0" w:color="auto"/>
              <w:left w:val="nil"/>
              <w:bottom w:val="single" w:sz="4" w:space="0" w:color="auto"/>
              <w:right w:val="single" w:sz="4" w:space="0" w:color="auto"/>
            </w:tcBorders>
            <w:shd w:val="clear" w:color="auto" w:fill="auto"/>
            <w:vAlign w:val="center"/>
            <w:hideMark/>
          </w:tcPr>
          <w:p w14:paraId="051FC689" w14:textId="0A31B297" w:rsidR="0074058A" w:rsidRPr="00342080" w:rsidRDefault="0074058A" w:rsidP="006061F8">
            <w:pPr>
              <w:contextualSpacing/>
              <w:mirrorIndents/>
              <w:jc w:val="center"/>
              <w:rPr>
                <w:rFonts w:asciiTheme="majorHAnsi" w:hAnsiTheme="majorHAnsi" w:cs="Times New Roman"/>
                <w:b/>
                <w:bCs/>
                <w:color w:val="000000"/>
              </w:rPr>
            </w:pPr>
            <w:r w:rsidRPr="00342080">
              <w:rPr>
                <w:rFonts w:asciiTheme="majorHAnsi" w:hAnsiTheme="majorHAnsi" w:cs="Times New Roman"/>
                <w:b/>
                <w:bCs/>
                <w:color w:val="000000"/>
              </w:rPr>
              <w:t>Tyrimų poreikis per</w:t>
            </w:r>
          </w:p>
          <w:p w14:paraId="2F101611" w14:textId="77777777" w:rsidR="0074058A" w:rsidRPr="00342080" w:rsidRDefault="0074058A" w:rsidP="006061F8">
            <w:pPr>
              <w:contextualSpacing/>
              <w:mirrorIndents/>
              <w:jc w:val="center"/>
              <w:rPr>
                <w:rFonts w:asciiTheme="majorHAnsi" w:hAnsiTheme="majorHAnsi" w:cs="Times New Roman"/>
                <w:b/>
                <w:bCs/>
                <w:color w:val="000000"/>
              </w:rPr>
            </w:pPr>
            <w:r w:rsidRPr="00342080">
              <w:rPr>
                <w:rFonts w:asciiTheme="majorHAnsi" w:hAnsiTheme="majorHAnsi" w:cs="Times New Roman"/>
                <w:b/>
                <w:bCs/>
                <w:color w:val="000000"/>
              </w:rPr>
              <w:t>60 mėn.</w:t>
            </w:r>
          </w:p>
        </w:tc>
        <w:tc>
          <w:tcPr>
            <w:tcW w:w="4961" w:type="dxa"/>
            <w:tcBorders>
              <w:top w:val="single" w:sz="4" w:space="0" w:color="auto"/>
              <w:left w:val="nil"/>
              <w:bottom w:val="single" w:sz="4" w:space="0" w:color="auto"/>
              <w:right w:val="single" w:sz="4" w:space="0" w:color="auto"/>
            </w:tcBorders>
            <w:shd w:val="clear" w:color="auto" w:fill="auto"/>
            <w:vAlign w:val="center"/>
          </w:tcPr>
          <w:p w14:paraId="172B48AB" w14:textId="77777777" w:rsidR="0074058A" w:rsidRPr="00342080" w:rsidRDefault="0074058A" w:rsidP="006061F8">
            <w:pPr>
              <w:contextualSpacing/>
              <w:mirrorIndents/>
              <w:jc w:val="center"/>
              <w:rPr>
                <w:rFonts w:asciiTheme="majorHAnsi" w:hAnsiTheme="majorHAnsi" w:cs="Times New Roman"/>
                <w:b/>
                <w:bCs/>
                <w:color w:val="000000"/>
              </w:rPr>
            </w:pPr>
            <w:r w:rsidRPr="00342080">
              <w:rPr>
                <w:rFonts w:asciiTheme="majorHAnsi" w:hAnsiTheme="majorHAnsi" w:cs="Times New Roman"/>
                <w:b/>
                <w:bCs/>
                <w:color w:val="000000"/>
              </w:rPr>
              <w:t>Specialieji reikalavimai tyrimui</w:t>
            </w:r>
          </w:p>
        </w:tc>
        <w:tc>
          <w:tcPr>
            <w:tcW w:w="3699" w:type="dxa"/>
            <w:tcBorders>
              <w:top w:val="single" w:sz="4" w:space="0" w:color="auto"/>
              <w:left w:val="nil"/>
              <w:bottom w:val="single" w:sz="4" w:space="0" w:color="auto"/>
              <w:right w:val="single" w:sz="4" w:space="0" w:color="auto"/>
            </w:tcBorders>
            <w:vAlign w:val="center"/>
          </w:tcPr>
          <w:p w14:paraId="728F8E53" w14:textId="77777777" w:rsidR="0074058A" w:rsidRPr="00342080" w:rsidRDefault="0074058A" w:rsidP="006061F8">
            <w:pPr>
              <w:contextualSpacing/>
              <w:mirrorIndents/>
              <w:jc w:val="center"/>
              <w:rPr>
                <w:rFonts w:asciiTheme="majorHAnsi" w:hAnsiTheme="majorHAnsi" w:cs="Times New Roman"/>
                <w:b/>
                <w:bCs/>
                <w:color w:val="000000"/>
              </w:rPr>
            </w:pPr>
            <w:r w:rsidRPr="00342080">
              <w:rPr>
                <w:rFonts w:asciiTheme="majorHAnsi" w:hAnsiTheme="majorHAnsi" w:cs="Times New Roman"/>
                <w:b/>
                <w:bCs/>
                <w:color w:val="000000"/>
              </w:rPr>
              <w:t>Siūlomi parametrai</w:t>
            </w:r>
          </w:p>
        </w:tc>
      </w:tr>
      <w:tr w:rsidR="00DE2FF6" w:rsidRPr="00342080" w14:paraId="1CD43572" w14:textId="77777777" w:rsidTr="00194FC8">
        <w:trPr>
          <w:trHeight w:val="144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14:paraId="6E7D3F59" w14:textId="552AA192" w:rsidR="00DE2FF6" w:rsidRPr="00342080" w:rsidRDefault="0088073B" w:rsidP="00655158">
            <w:pPr>
              <w:ind w:hanging="11"/>
              <w:contextualSpacing/>
              <w:mirrorIndents/>
              <w:rPr>
                <w:rFonts w:asciiTheme="majorHAnsi" w:hAnsiTheme="majorHAnsi" w:cs="Times New Roman"/>
                <w:b/>
              </w:rPr>
            </w:pPr>
            <w:r w:rsidRPr="00342080">
              <w:rPr>
                <w:rFonts w:asciiTheme="majorHAnsi" w:hAnsiTheme="majorHAnsi" w:cs="Times New Roman"/>
                <w:b/>
              </w:rPr>
              <w:t>1.</w:t>
            </w:r>
          </w:p>
        </w:tc>
        <w:tc>
          <w:tcPr>
            <w:tcW w:w="3376" w:type="dxa"/>
            <w:tcBorders>
              <w:top w:val="single" w:sz="4" w:space="0" w:color="auto"/>
              <w:left w:val="nil"/>
              <w:bottom w:val="single" w:sz="4" w:space="0" w:color="auto"/>
              <w:right w:val="single" w:sz="4" w:space="0" w:color="auto"/>
            </w:tcBorders>
            <w:shd w:val="clear" w:color="auto" w:fill="auto"/>
            <w:vAlign w:val="center"/>
          </w:tcPr>
          <w:p w14:paraId="55F43304" w14:textId="77E66855" w:rsidR="00DE2FF6" w:rsidRPr="00342080" w:rsidRDefault="00DE2FF6" w:rsidP="00655158">
            <w:pPr>
              <w:contextualSpacing/>
              <w:mirrorIndents/>
              <w:rPr>
                <w:rFonts w:asciiTheme="majorHAnsi" w:hAnsiTheme="majorHAnsi" w:cs="Times New Roman"/>
                <w:b/>
                <w:bCs/>
              </w:rPr>
            </w:pPr>
            <w:proofErr w:type="spellStart"/>
            <w:r w:rsidRPr="00342080">
              <w:rPr>
                <w:rFonts w:asciiTheme="majorHAnsi" w:hAnsiTheme="majorHAnsi" w:cs="Times New Roman"/>
                <w:b/>
                <w:bCs/>
              </w:rPr>
              <w:t>Imunohematologiniai</w:t>
            </w:r>
            <w:proofErr w:type="spellEnd"/>
            <w:r w:rsidRPr="00342080">
              <w:rPr>
                <w:rFonts w:asciiTheme="majorHAnsi" w:hAnsiTheme="majorHAnsi" w:cs="Times New Roman"/>
                <w:b/>
                <w:bCs/>
              </w:rPr>
              <w:t xml:space="preserve"> tyrimai, atliekami </w:t>
            </w:r>
            <w:r w:rsidRPr="00342080">
              <w:rPr>
                <w:rFonts w:asciiTheme="majorHAnsi" w:hAnsiTheme="majorHAnsi" w:cs="Times New Roman"/>
                <w:b/>
                <w:bCs/>
                <w:u w:val="single"/>
              </w:rPr>
              <w:t>automatizuotu</w:t>
            </w:r>
            <w:r w:rsidRPr="00342080">
              <w:rPr>
                <w:rFonts w:asciiTheme="majorHAnsi" w:hAnsiTheme="majorHAnsi" w:cs="Times New Roman"/>
                <w:b/>
                <w:bCs/>
              </w:rPr>
              <w:t xml:space="preserve"> būdu (</w:t>
            </w:r>
            <w:proofErr w:type="spellStart"/>
            <w:r w:rsidRPr="00342080">
              <w:rPr>
                <w:rFonts w:asciiTheme="majorHAnsi" w:hAnsiTheme="majorHAnsi" w:cs="Times New Roman"/>
                <w:b/>
                <w:bCs/>
              </w:rPr>
              <w:t>hemagliutinacijos</w:t>
            </w:r>
            <w:proofErr w:type="spellEnd"/>
            <w:r w:rsidRPr="00342080">
              <w:rPr>
                <w:rFonts w:asciiTheme="majorHAnsi" w:hAnsiTheme="majorHAnsi" w:cs="Times New Roman"/>
                <w:b/>
                <w:bCs/>
              </w:rPr>
              <w:t xml:space="preserve"> reakcija stulpelyje)</w:t>
            </w:r>
          </w:p>
        </w:tc>
        <w:tc>
          <w:tcPr>
            <w:tcW w:w="1549" w:type="dxa"/>
            <w:tcBorders>
              <w:top w:val="single" w:sz="4" w:space="0" w:color="auto"/>
              <w:left w:val="nil"/>
              <w:bottom w:val="single" w:sz="4" w:space="0" w:color="auto"/>
              <w:right w:val="single" w:sz="4" w:space="0" w:color="auto"/>
            </w:tcBorders>
            <w:shd w:val="clear" w:color="auto" w:fill="auto"/>
            <w:vAlign w:val="center"/>
          </w:tcPr>
          <w:p w14:paraId="1455F9B2" w14:textId="77777777" w:rsidR="00DE2FF6" w:rsidRPr="00342080" w:rsidRDefault="00DE2FF6" w:rsidP="00655158">
            <w:pPr>
              <w:contextualSpacing/>
              <w:mirrorIndents/>
              <w:rPr>
                <w:rFonts w:asciiTheme="majorHAnsi" w:hAnsiTheme="majorHAnsi" w:cs="Times New Roman"/>
                <w:b/>
                <w:bCs/>
                <w:color w:val="000000"/>
              </w:rPr>
            </w:pPr>
          </w:p>
        </w:tc>
        <w:tc>
          <w:tcPr>
            <w:tcW w:w="4961" w:type="dxa"/>
            <w:tcBorders>
              <w:top w:val="single" w:sz="4" w:space="0" w:color="auto"/>
              <w:left w:val="nil"/>
              <w:bottom w:val="single" w:sz="4" w:space="0" w:color="auto"/>
              <w:right w:val="single" w:sz="4" w:space="0" w:color="auto"/>
            </w:tcBorders>
            <w:shd w:val="clear" w:color="auto" w:fill="auto"/>
            <w:vAlign w:val="center"/>
          </w:tcPr>
          <w:p w14:paraId="4158E1F4" w14:textId="77777777" w:rsidR="00DE2FF6" w:rsidRPr="00342080" w:rsidRDefault="00DE2FF6" w:rsidP="00655158">
            <w:pPr>
              <w:contextualSpacing/>
              <w:mirrorIndents/>
              <w:rPr>
                <w:rFonts w:asciiTheme="majorHAnsi" w:hAnsiTheme="majorHAnsi" w:cs="Times New Roman"/>
                <w:b/>
                <w:bCs/>
                <w:color w:val="000000"/>
              </w:rPr>
            </w:pPr>
          </w:p>
        </w:tc>
        <w:tc>
          <w:tcPr>
            <w:tcW w:w="3699" w:type="dxa"/>
            <w:tcBorders>
              <w:top w:val="single" w:sz="4" w:space="0" w:color="auto"/>
              <w:left w:val="nil"/>
              <w:bottom w:val="single" w:sz="4" w:space="0" w:color="auto"/>
              <w:right w:val="single" w:sz="4" w:space="0" w:color="auto"/>
            </w:tcBorders>
          </w:tcPr>
          <w:p w14:paraId="09E121A4" w14:textId="77777777" w:rsidR="00DE2FF6" w:rsidRPr="00342080" w:rsidRDefault="00DE2FF6" w:rsidP="00655158">
            <w:pPr>
              <w:contextualSpacing/>
              <w:mirrorIndents/>
              <w:rPr>
                <w:rFonts w:asciiTheme="majorHAnsi" w:hAnsiTheme="majorHAnsi" w:cs="Times New Roman"/>
                <w:b/>
                <w:bCs/>
                <w:color w:val="000000"/>
              </w:rPr>
            </w:pPr>
          </w:p>
        </w:tc>
      </w:tr>
      <w:tr w:rsidR="00142706" w:rsidRPr="00342080" w14:paraId="0FF1B07F"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1BA6F5AC" w14:textId="5F854B35"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rPr>
              <w:t>1.1</w:t>
            </w:r>
          </w:p>
        </w:tc>
        <w:tc>
          <w:tcPr>
            <w:tcW w:w="3376" w:type="dxa"/>
            <w:tcBorders>
              <w:top w:val="single" w:sz="4" w:space="0" w:color="auto"/>
              <w:left w:val="nil"/>
              <w:bottom w:val="single" w:sz="4" w:space="0" w:color="auto"/>
              <w:right w:val="single" w:sz="4" w:space="0" w:color="auto"/>
            </w:tcBorders>
            <w:shd w:val="clear" w:color="auto" w:fill="auto"/>
          </w:tcPr>
          <w:p w14:paraId="6F2B8047" w14:textId="7336CBF6"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color w:val="000000" w:themeColor="text1"/>
              </w:rPr>
              <w:t xml:space="preserve">ABO </w:t>
            </w:r>
            <w:proofErr w:type="spellStart"/>
            <w:r w:rsidRPr="00342080">
              <w:rPr>
                <w:rFonts w:asciiTheme="majorHAnsi" w:hAnsiTheme="majorHAnsi" w:cs="Times New Roman"/>
                <w:color w:val="000000" w:themeColor="text1"/>
              </w:rPr>
              <w:t>RhD</w:t>
            </w:r>
            <w:proofErr w:type="spellEnd"/>
            <w:r w:rsidRPr="00342080">
              <w:rPr>
                <w:rFonts w:asciiTheme="majorHAnsi" w:hAnsiTheme="majorHAnsi" w:cs="Times New Roman"/>
                <w:color w:val="000000" w:themeColor="text1"/>
              </w:rPr>
              <w:t xml:space="preserve"> nustatymas kraujyje tiesioginiu ir atvirkštiniu būdu</w:t>
            </w:r>
          </w:p>
        </w:tc>
        <w:tc>
          <w:tcPr>
            <w:tcW w:w="1549" w:type="dxa"/>
            <w:tcBorders>
              <w:top w:val="single" w:sz="4" w:space="0" w:color="auto"/>
              <w:left w:val="nil"/>
              <w:bottom w:val="single" w:sz="4" w:space="0" w:color="auto"/>
              <w:right w:val="single" w:sz="4" w:space="0" w:color="auto"/>
            </w:tcBorders>
            <w:shd w:val="clear" w:color="auto" w:fill="auto"/>
          </w:tcPr>
          <w:p w14:paraId="72E517DB" w14:textId="77777777" w:rsidR="00142706" w:rsidRPr="00342080" w:rsidRDefault="00142706" w:rsidP="00142706">
            <w:pPr>
              <w:shd w:val="clear" w:color="auto" w:fill="FFFFFF"/>
              <w:contextualSpacing/>
              <w:mirrorIndents/>
              <w:rPr>
                <w:rFonts w:asciiTheme="majorHAnsi" w:hAnsiTheme="majorHAnsi" w:cs="Times New Roman"/>
              </w:rPr>
            </w:pPr>
            <w:r w:rsidRPr="00342080">
              <w:rPr>
                <w:rFonts w:asciiTheme="majorHAnsi" w:hAnsiTheme="majorHAnsi" w:cs="Times New Roman"/>
              </w:rPr>
              <w:t>66 000</w:t>
            </w:r>
          </w:p>
        </w:tc>
        <w:tc>
          <w:tcPr>
            <w:tcW w:w="4961" w:type="dxa"/>
            <w:tcBorders>
              <w:top w:val="single" w:sz="4" w:space="0" w:color="auto"/>
              <w:left w:val="nil"/>
              <w:bottom w:val="single" w:sz="4" w:space="0" w:color="auto"/>
              <w:right w:val="single" w:sz="4" w:space="0" w:color="auto"/>
            </w:tcBorders>
            <w:shd w:val="clear" w:color="auto" w:fill="auto"/>
          </w:tcPr>
          <w:p w14:paraId="59D11455" w14:textId="77777777" w:rsidR="00142706" w:rsidRPr="00342080" w:rsidRDefault="00142706" w:rsidP="00142706">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rPr>
              <w:t xml:space="preserve">ABO kraujo grupė nustatoma tiesioginiu (2 stulpeliai su </w:t>
            </w:r>
            <w:proofErr w:type="spellStart"/>
            <w:r w:rsidRPr="00342080">
              <w:rPr>
                <w:rFonts w:asciiTheme="majorHAnsi" w:hAnsiTheme="majorHAnsi" w:cs="Times New Roman"/>
              </w:rPr>
              <w:t>monokloninias</w:t>
            </w:r>
            <w:proofErr w:type="spellEnd"/>
            <w:r w:rsidRPr="00342080">
              <w:rPr>
                <w:rFonts w:asciiTheme="majorHAnsi" w:hAnsiTheme="majorHAnsi" w:cs="Times New Roman"/>
              </w:rPr>
              <w:t xml:space="preserve"> </w:t>
            </w:r>
            <w:proofErr w:type="spellStart"/>
            <w:r w:rsidRPr="00342080">
              <w:rPr>
                <w:rFonts w:asciiTheme="majorHAnsi" w:hAnsiTheme="majorHAnsi" w:cs="Times New Roman"/>
              </w:rPr>
              <w:t>anti</w:t>
            </w:r>
            <w:proofErr w:type="spellEnd"/>
            <w:r w:rsidRPr="00342080">
              <w:rPr>
                <w:rFonts w:asciiTheme="majorHAnsi" w:hAnsiTheme="majorHAnsi" w:cs="Times New Roman"/>
              </w:rPr>
              <w:t xml:space="preserve">-A ir </w:t>
            </w:r>
            <w:proofErr w:type="spellStart"/>
            <w:r w:rsidRPr="00342080">
              <w:rPr>
                <w:rFonts w:asciiTheme="majorHAnsi" w:hAnsiTheme="majorHAnsi" w:cs="Times New Roman"/>
              </w:rPr>
              <w:t>anti</w:t>
            </w:r>
            <w:proofErr w:type="spellEnd"/>
            <w:r w:rsidRPr="00342080">
              <w:rPr>
                <w:rFonts w:asciiTheme="majorHAnsi" w:hAnsiTheme="majorHAnsi" w:cs="Times New Roman"/>
              </w:rPr>
              <w:t xml:space="preserve">-B) ir atvirkštiniu metodais, atvirkštiniam metodui naudojama 0,8 proc. standartinių eritrocitų A1 ir B </w:t>
            </w:r>
            <w:proofErr w:type="spellStart"/>
            <w:r w:rsidRPr="00342080">
              <w:rPr>
                <w:rFonts w:asciiTheme="majorHAnsi" w:hAnsiTheme="majorHAnsi" w:cs="Times New Roman"/>
              </w:rPr>
              <w:t>suspencijos</w:t>
            </w:r>
            <w:proofErr w:type="spellEnd"/>
            <w:r w:rsidRPr="00342080">
              <w:rPr>
                <w:rFonts w:asciiTheme="majorHAnsi" w:hAnsiTheme="majorHAnsi" w:cs="Times New Roman"/>
              </w:rPr>
              <w:t xml:space="preserve"> (skiriami 2 stulpeliai), </w:t>
            </w:r>
            <w:proofErr w:type="spellStart"/>
            <w:r w:rsidRPr="00342080">
              <w:rPr>
                <w:rFonts w:asciiTheme="majorHAnsi" w:hAnsiTheme="majorHAnsi" w:cs="Times New Roman"/>
              </w:rPr>
              <w:t>RhD</w:t>
            </w:r>
            <w:proofErr w:type="spellEnd"/>
            <w:r w:rsidRPr="00342080">
              <w:rPr>
                <w:rFonts w:asciiTheme="majorHAnsi" w:hAnsiTheme="majorHAnsi" w:cs="Times New Roman"/>
              </w:rPr>
              <w:t xml:space="preserve"> nustatyti naudojami </w:t>
            </w:r>
            <w:proofErr w:type="spellStart"/>
            <w:r w:rsidRPr="00342080">
              <w:rPr>
                <w:rFonts w:asciiTheme="majorHAnsi" w:hAnsiTheme="majorHAnsi" w:cs="Times New Roman"/>
              </w:rPr>
              <w:t>anti</w:t>
            </w:r>
            <w:proofErr w:type="spellEnd"/>
            <w:r w:rsidRPr="00342080">
              <w:rPr>
                <w:rFonts w:asciiTheme="majorHAnsi" w:hAnsiTheme="majorHAnsi" w:cs="Times New Roman"/>
              </w:rPr>
              <w:t>-DVI–. Vienas stulpelis skiriamas kontrolei.</w:t>
            </w:r>
          </w:p>
        </w:tc>
        <w:tc>
          <w:tcPr>
            <w:tcW w:w="3699" w:type="dxa"/>
            <w:tcBorders>
              <w:top w:val="single" w:sz="4" w:space="0" w:color="auto"/>
              <w:left w:val="nil"/>
              <w:bottom w:val="single" w:sz="4" w:space="0" w:color="auto"/>
              <w:right w:val="single" w:sz="4" w:space="0" w:color="auto"/>
            </w:tcBorders>
          </w:tcPr>
          <w:p w14:paraId="4505F0BF" w14:textId="36A57533" w:rsidR="00142706" w:rsidRPr="00342080" w:rsidRDefault="00142706" w:rsidP="00142706">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i/>
              </w:rPr>
              <w:t>įrašo tiekėjas</w:t>
            </w:r>
          </w:p>
        </w:tc>
      </w:tr>
      <w:tr w:rsidR="00142706" w:rsidRPr="00342080" w14:paraId="4830E7C8"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460CBB33" w14:textId="4F63D2F1"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rPr>
              <w:t>1.2</w:t>
            </w:r>
          </w:p>
        </w:tc>
        <w:tc>
          <w:tcPr>
            <w:tcW w:w="3376" w:type="dxa"/>
            <w:tcBorders>
              <w:top w:val="single" w:sz="4" w:space="0" w:color="auto"/>
              <w:left w:val="nil"/>
              <w:bottom w:val="single" w:sz="4" w:space="0" w:color="auto"/>
              <w:right w:val="single" w:sz="4" w:space="0" w:color="auto"/>
            </w:tcBorders>
            <w:shd w:val="clear" w:color="auto" w:fill="auto"/>
          </w:tcPr>
          <w:p w14:paraId="71765CCE" w14:textId="249AC864"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color w:val="000000" w:themeColor="text1"/>
              </w:rPr>
              <w:t xml:space="preserve">ABO </w:t>
            </w:r>
            <w:proofErr w:type="spellStart"/>
            <w:r w:rsidRPr="00342080">
              <w:rPr>
                <w:rFonts w:asciiTheme="majorHAnsi" w:hAnsiTheme="majorHAnsi" w:cs="Times New Roman"/>
                <w:color w:val="000000" w:themeColor="text1"/>
              </w:rPr>
              <w:t>RhD</w:t>
            </w:r>
            <w:proofErr w:type="spellEnd"/>
            <w:r w:rsidRPr="00342080">
              <w:rPr>
                <w:rFonts w:asciiTheme="majorHAnsi" w:hAnsiTheme="majorHAnsi" w:cs="Times New Roman"/>
                <w:color w:val="000000" w:themeColor="text1"/>
              </w:rPr>
              <w:t xml:space="preserve"> nustatymas donoro kraujyje tiesioginiu ir atvirkštiniu būdu</w:t>
            </w:r>
          </w:p>
        </w:tc>
        <w:tc>
          <w:tcPr>
            <w:tcW w:w="1549" w:type="dxa"/>
            <w:tcBorders>
              <w:top w:val="single" w:sz="4" w:space="0" w:color="auto"/>
              <w:left w:val="nil"/>
              <w:bottom w:val="single" w:sz="4" w:space="0" w:color="auto"/>
              <w:right w:val="single" w:sz="4" w:space="0" w:color="auto"/>
            </w:tcBorders>
            <w:shd w:val="clear" w:color="auto" w:fill="auto"/>
          </w:tcPr>
          <w:p w14:paraId="64D33D66" w14:textId="77777777" w:rsidR="00142706" w:rsidRPr="00342080" w:rsidRDefault="00142706" w:rsidP="00142706">
            <w:pPr>
              <w:shd w:val="clear" w:color="auto" w:fill="FFFFFF"/>
              <w:contextualSpacing/>
              <w:mirrorIndents/>
              <w:rPr>
                <w:rFonts w:asciiTheme="majorHAnsi" w:hAnsiTheme="majorHAnsi" w:cs="Times New Roman"/>
              </w:rPr>
            </w:pPr>
            <w:r w:rsidRPr="00342080">
              <w:rPr>
                <w:rFonts w:asciiTheme="majorHAnsi" w:hAnsiTheme="majorHAnsi" w:cs="Times New Roman"/>
              </w:rPr>
              <w:t>72 000</w:t>
            </w:r>
          </w:p>
        </w:tc>
        <w:tc>
          <w:tcPr>
            <w:tcW w:w="4961" w:type="dxa"/>
            <w:tcBorders>
              <w:top w:val="single" w:sz="4" w:space="0" w:color="auto"/>
              <w:left w:val="nil"/>
              <w:bottom w:val="single" w:sz="4" w:space="0" w:color="auto"/>
              <w:right w:val="single" w:sz="4" w:space="0" w:color="auto"/>
            </w:tcBorders>
            <w:shd w:val="clear" w:color="auto" w:fill="auto"/>
          </w:tcPr>
          <w:p w14:paraId="16E767EB" w14:textId="77777777" w:rsidR="00142706" w:rsidRPr="00342080" w:rsidRDefault="00142706" w:rsidP="00142706">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rPr>
              <w:t xml:space="preserve">ABO kraujo grupė nustatoma tiesioginiu (2 stulpeliai su </w:t>
            </w:r>
            <w:proofErr w:type="spellStart"/>
            <w:r w:rsidRPr="00342080">
              <w:rPr>
                <w:rFonts w:asciiTheme="majorHAnsi" w:hAnsiTheme="majorHAnsi" w:cs="Times New Roman"/>
              </w:rPr>
              <w:t>monokloninias</w:t>
            </w:r>
            <w:proofErr w:type="spellEnd"/>
            <w:r w:rsidRPr="00342080">
              <w:rPr>
                <w:rFonts w:asciiTheme="majorHAnsi" w:hAnsiTheme="majorHAnsi" w:cs="Times New Roman"/>
              </w:rPr>
              <w:t xml:space="preserve"> </w:t>
            </w:r>
            <w:proofErr w:type="spellStart"/>
            <w:r w:rsidRPr="00342080">
              <w:rPr>
                <w:rFonts w:asciiTheme="majorHAnsi" w:hAnsiTheme="majorHAnsi" w:cs="Times New Roman"/>
              </w:rPr>
              <w:t>anti</w:t>
            </w:r>
            <w:proofErr w:type="spellEnd"/>
            <w:r w:rsidRPr="00342080">
              <w:rPr>
                <w:rFonts w:asciiTheme="majorHAnsi" w:hAnsiTheme="majorHAnsi" w:cs="Times New Roman"/>
              </w:rPr>
              <w:t xml:space="preserve">-A ir </w:t>
            </w:r>
            <w:proofErr w:type="spellStart"/>
            <w:r w:rsidRPr="00342080">
              <w:rPr>
                <w:rFonts w:asciiTheme="majorHAnsi" w:hAnsiTheme="majorHAnsi" w:cs="Times New Roman"/>
              </w:rPr>
              <w:t>anti</w:t>
            </w:r>
            <w:proofErr w:type="spellEnd"/>
            <w:r w:rsidRPr="00342080">
              <w:rPr>
                <w:rFonts w:asciiTheme="majorHAnsi" w:hAnsiTheme="majorHAnsi" w:cs="Times New Roman"/>
              </w:rPr>
              <w:t xml:space="preserve">-B) ir atvirkštiniu metodais, atvirkštiniam metodui naudojama 0,8 proc. standartinių eritrocitų A1 ir B </w:t>
            </w:r>
            <w:proofErr w:type="spellStart"/>
            <w:r w:rsidRPr="00342080">
              <w:rPr>
                <w:rFonts w:asciiTheme="majorHAnsi" w:hAnsiTheme="majorHAnsi" w:cs="Times New Roman"/>
              </w:rPr>
              <w:t>suspencijos</w:t>
            </w:r>
            <w:proofErr w:type="spellEnd"/>
            <w:r w:rsidRPr="00342080">
              <w:rPr>
                <w:rFonts w:asciiTheme="majorHAnsi" w:hAnsiTheme="majorHAnsi" w:cs="Times New Roman"/>
              </w:rPr>
              <w:t xml:space="preserve"> (skiriami 2 stulpeliai), </w:t>
            </w:r>
            <w:proofErr w:type="spellStart"/>
            <w:r w:rsidRPr="00342080">
              <w:rPr>
                <w:rFonts w:asciiTheme="majorHAnsi" w:hAnsiTheme="majorHAnsi" w:cs="Times New Roman"/>
              </w:rPr>
              <w:t>RhD</w:t>
            </w:r>
            <w:proofErr w:type="spellEnd"/>
            <w:r w:rsidRPr="00342080">
              <w:rPr>
                <w:rFonts w:asciiTheme="majorHAnsi" w:hAnsiTheme="majorHAnsi" w:cs="Times New Roman"/>
              </w:rPr>
              <w:t xml:space="preserve"> nustatyti naudojami </w:t>
            </w:r>
            <w:proofErr w:type="spellStart"/>
            <w:r w:rsidRPr="00342080">
              <w:rPr>
                <w:rFonts w:asciiTheme="majorHAnsi" w:hAnsiTheme="majorHAnsi" w:cs="Times New Roman"/>
              </w:rPr>
              <w:t>monokloniniai</w:t>
            </w:r>
            <w:proofErr w:type="spellEnd"/>
            <w:r w:rsidRPr="00342080">
              <w:rPr>
                <w:rFonts w:asciiTheme="majorHAnsi" w:hAnsiTheme="majorHAnsi" w:cs="Times New Roman"/>
              </w:rPr>
              <w:t xml:space="preserve"> </w:t>
            </w:r>
            <w:proofErr w:type="spellStart"/>
            <w:r w:rsidRPr="00342080">
              <w:rPr>
                <w:rFonts w:asciiTheme="majorHAnsi" w:hAnsiTheme="majorHAnsi" w:cs="Times New Roman"/>
              </w:rPr>
              <w:t>anti</w:t>
            </w:r>
            <w:proofErr w:type="spellEnd"/>
            <w:r w:rsidRPr="00342080">
              <w:rPr>
                <w:rFonts w:asciiTheme="majorHAnsi" w:hAnsiTheme="majorHAnsi" w:cs="Times New Roman"/>
              </w:rPr>
              <w:t>-DVI+. Vienas stulpelis skiriamas kontrolei.</w:t>
            </w:r>
          </w:p>
        </w:tc>
        <w:tc>
          <w:tcPr>
            <w:tcW w:w="3699" w:type="dxa"/>
            <w:tcBorders>
              <w:top w:val="single" w:sz="4" w:space="0" w:color="auto"/>
              <w:left w:val="nil"/>
              <w:bottom w:val="single" w:sz="4" w:space="0" w:color="auto"/>
              <w:right w:val="single" w:sz="4" w:space="0" w:color="auto"/>
            </w:tcBorders>
          </w:tcPr>
          <w:p w14:paraId="468A717F" w14:textId="048E01C5" w:rsidR="00142706" w:rsidRPr="00342080" w:rsidRDefault="00142706" w:rsidP="00142706">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i/>
              </w:rPr>
              <w:t>įrašo tiekėjas</w:t>
            </w:r>
          </w:p>
        </w:tc>
      </w:tr>
      <w:tr w:rsidR="00142706" w:rsidRPr="00342080" w14:paraId="32E24FB4"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1738CAE9" w14:textId="43A04C1B"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rPr>
              <w:t>1.3</w:t>
            </w:r>
          </w:p>
        </w:tc>
        <w:tc>
          <w:tcPr>
            <w:tcW w:w="3376" w:type="dxa"/>
            <w:tcBorders>
              <w:top w:val="single" w:sz="4" w:space="0" w:color="auto"/>
              <w:left w:val="nil"/>
              <w:bottom w:val="single" w:sz="4" w:space="0" w:color="auto"/>
              <w:right w:val="single" w:sz="4" w:space="0" w:color="auto"/>
            </w:tcBorders>
            <w:shd w:val="clear" w:color="auto" w:fill="auto"/>
          </w:tcPr>
          <w:p w14:paraId="78CD0BA8" w14:textId="35E46AFE"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color w:val="000000" w:themeColor="text1"/>
              </w:rPr>
              <w:t xml:space="preserve">ABO </w:t>
            </w:r>
            <w:proofErr w:type="spellStart"/>
            <w:r w:rsidRPr="00342080">
              <w:rPr>
                <w:rFonts w:asciiTheme="majorHAnsi" w:hAnsiTheme="majorHAnsi" w:cs="Times New Roman"/>
                <w:color w:val="000000" w:themeColor="text1"/>
              </w:rPr>
              <w:t>RhD</w:t>
            </w:r>
            <w:proofErr w:type="spellEnd"/>
            <w:r w:rsidRPr="00342080">
              <w:rPr>
                <w:rFonts w:asciiTheme="majorHAnsi" w:hAnsiTheme="majorHAnsi" w:cs="Times New Roman"/>
                <w:color w:val="000000" w:themeColor="text1"/>
              </w:rPr>
              <w:t xml:space="preserve"> ir tiesioginis </w:t>
            </w:r>
            <w:proofErr w:type="spellStart"/>
            <w:r w:rsidRPr="00342080">
              <w:rPr>
                <w:rFonts w:asciiTheme="majorHAnsi" w:hAnsiTheme="majorHAnsi" w:cs="Times New Roman"/>
                <w:color w:val="000000" w:themeColor="text1"/>
              </w:rPr>
              <w:t>antiglobulino</w:t>
            </w:r>
            <w:proofErr w:type="spellEnd"/>
            <w:r w:rsidRPr="00342080">
              <w:rPr>
                <w:rFonts w:asciiTheme="majorHAnsi" w:hAnsiTheme="majorHAnsi" w:cs="Times New Roman"/>
                <w:color w:val="000000" w:themeColor="text1"/>
              </w:rPr>
              <w:t xml:space="preserve"> tyrimas naujagimio kraujyje</w:t>
            </w:r>
          </w:p>
        </w:tc>
        <w:tc>
          <w:tcPr>
            <w:tcW w:w="1549" w:type="dxa"/>
            <w:tcBorders>
              <w:top w:val="single" w:sz="4" w:space="0" w:color="auto"/>
              <w:left w:val="nil"/>
              <w:bottom w:val="single" w:sz="4" w:space="0" w:color="auto"/>
              <w:right w:val="single" w:sz="4" w:space="0" w:color="auto"/>
            </w:tcBorders>
            <w:shd w:val="clear" w:color="auto" w:fill="auto"/>
          </w:tcPr>
          <w:p w14:paraId="6D452304" w14:textId="77777777" w:rsidR="00142706" w:rsidRPr="00342080" w:rsidRDefault="00142706" w:rsidP="00142706">
            <w:pPr>
              <w:shd w:val="clear" w:color="auto" w:fill="FFFFFF"/>
              <w:contextualSpacing/>
              <w:mirrorIndents/>
              <w:rPr>
                <w:rFonts w:asciiTheme="majorHAnsi" w:hAnsiTheme="majorHAnsi" w:cs="Times New Roman"/>
                <w:highlight w:val="yellow"/>
              </w:rPr>
            </w:pPr>
            <w:r w:rsidRPr="00342080">
              <w:rPr>
                <w:rFonts w:asciiTheme="majorHAnsi" w:hAnsiTheme="majorHAnsi" w:cs="Times New Roman"/>
              </w:rPr>
              <w:t>650</w:t>
            </w:r>
          </w:p>
        </w:tc>
        <w:tc>
          <w:tcPr>
            <w:tcW w:w="4961" w:type="dxa"/>
            <w:tcBorders>
              <w:top w:val="single" w:sz="4" w:space="0" w:color="auto"/>
              <w:left w:val="nil"/>
              <w:bottom w:val="single" w:sz="4" w:space="0" w:color="auto"/>
              <w:right w:val="single" w:sz="4" w:space="0" w:color="auto"/>
            </w:tcBorders>
            <w:shd w:val="clear" w:color="auto" w:fill="auto"/>
          </w:tcPr>
          <w:p w14:paraId="105D3B61" w14:textId="738F3684" w:rsidR="00142706" w:rsidRPr="00342080" w:rsidRDefault="00142706" w:rsidP="00142706">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rPr>
              <w:t xml:space="preserve">ABO kraujo grupė nustatoma tiesioginiu (2 stulpeliai su </w:t>
            </w:r>
            <w:proofErr w:type="spellStart"/>
            <w:r w:rsidRPr="00342080">
              <w:rPr>
                <w:rFonts w:asciiTheme="majorHAnsi" w:hAnsiTheme="majorHAnsi" w:cs="Times New Roman"/>
              </w:rPr>
              <w:t>monokloninias</w:t>
            </w:r>
            <w:proofErr w:type="spellEnd"/>
            <w:r w:rsidRPr="00342080">
              <w:rPr>
                <w:rFonts w:asciiTheme="majorHAnsi" w:hAnsiTheme="majorHAnsi" w:cs="Times New Roman"/>
              </w:rPr>
              <w:t xml:space="preserve"> </w:t>
            </w:r>
            <w:proofErr w:type="spellStart"/>
            <w:r w:rsidRPr="00342080">
              <w:rPr>
                <w:rFonts w:asciiTheme="majorHAnsi" w:hAnsiTheme="majorHAnsi" w:cs="Times New Roman"/>
              </w:rPr>
              <w:t>anti</w:t>
            </w:r>
            <w:proofErr w:type="spellEnd"/>
            <w:r w:rsidRPr="00342080">
              <w:rPr>
                <w:rFonts w:asciiTheme="majorHAnsi" w:hAnsiTheme="majorHAnsi" w:cs="Times New Roman"/>
              </w:rPr>
              <w:t xml:space="preserve">-A ir </w:t>
            </w:r>
            <w:proofErr w:type="spellStart"/>
            <w:r w:rsidRPr="00342080">
              <w:rPr>
                <w:rFonts w:asciiTheme="majorHAnsi" w:hAnsiTheme="majorHAnsi" w:cs="Times New Roman"/>
              </w:rPr>
              <w:t>anti</w:t>
            </w:r>
            <w:proofErr w:type="spellEnd"/>
            <w:r w:rsidRPr="00342080">
              <w:rPr>
                <w:rFonts w:asciiTheme="majorHAnsi" w:hAnsiTheme="majorHAnsi" w:cs="Times New Roman"/>
              </w:rPr>
              <w:t xml:space="preserve">-B) metodu. </w:t>
            </w:r>
            <w:proofErr w:type="spellStart"/>
            <w:r w:rsidRPr="00342080">
              <w:rPr>
                <w:rFonts w:asciiTheme="majorHAnsi" w:hAnsiTheme="majorHAnsi" w:cs="Times New Roman"/>
              </w:rPr>
              <w:t>RhD</w:t>
            </w:r>
            <w:proofErr w:type="spellEnd"/>
            <w:r w:rsidRPr="00342080">
              <w:rPr>
                <w:rFonts w:asciiTheme="majorHAnsi" w:hAnsiTheme="majorHAnsi" w:cs="Times New Roman"/>
              </w:rPr>
              <w:t xml:space="preserve"> nustatyti naudojami </w:t>
            </w:r>
            <w:proofErr w:type="spellStart"/>
            <w:r w:rsidRPr="00342080">
              <w:rPr>
                <w:rFonts w:asciiTheme="majorHAnsi" w:hAnsiTheme="majorHAnsi" w:cs="Times New Roman"/>
              </w:rPr>
              <w:t>anti</w:t>
            </w:r>
            <w:proofErr w:type="spellEnd"/>
            <w:r w:rsidRPr="00342080">
              <w:rPr>
                <w:rFonts w:asciiTheme="majorHAnsi" w:hAnsiTheme="majorHAnsi" w:cs="Times New Roman"/>
              </w:rPr>
              <w:t xml:space="preserve">-DVI+. Tiesioginiam </w:t>
            </w:r>
            <w:proofErr w:type="spellStart"/>
            <w:r w:rsidRPr="00342080">
              <w:rPr>
                <w:rFonts w:asciiTheme="majorHAnsi" w:hAnsiTheme="majorHAnsi" w:cs="Times New Roman"/>
              </w:rPr>
              <w:t>antiglobulino</w:t>
            </w:r>
            <w:proofErr w:type="spellEnd"/>
            <w:r w:rsidRPr="00342080">
              <w:rPr>
                <w:rFonts w:asciiTheme="majorHAnsi" w:hAnsiTheme="majorHAnsi" w:cs="Times New Roman"/>
              </w:rPr>
              <w:t xml:space="preserve"> tyrimui naudojamas stulpelis su </w:t>
            </w:r>
            <w:proofErr w:type="spellStart"/>
            <w:r w:rsidRPr="00342080">
              <w:rPr>
                <w:rFonts w:asciiTheme="majorHAnsi" w:hAnsiTheme="majorHAnsi" w:cs="Times New Roman"/>
              </w:rPr>
              <w:t>polispecifiniu</w:t>
            </w:r>
            <w:proofErr w:type="spellEnd"/>
            <w:r w:rsidRPr="00342080">
              <w:rPr>
                <w:rFonts w:asciiTheme="majorHAnsi" w:hAnsiTheme="majorHAnsi" w:cs="Times New Roman"/>
              </w:rPr>
              <w:t xml:space="preserve"> žmogaus </w:t>
            </w:r>
            <w:proofErr w:type="spellStart"/>
            <w:r w:rsidRPr="00342080">
              <w:rPr>
                <w:rFonts w:asciiTheme="majorHAnsi" w:hAnsiTheme="majorHAnsi" w:cs="Times New Roman"/>
              </w:rPr>
              <w:t>antiglobulinu</w:t>
            </w:r>
            <w:proofErr w:type="spellEnd"/>
            <w:r w:rsidRPr="00342080">
              <w:rPr>
                <w:rFonts w:asciiTheme="majorHAnsi" w:hAnsiTheme="majorHAnsi" w:cs="Times New Roman"/>
              </w:rPr>
              <w:t xml:space="preserve"> (</w:t>
            </w:r>
            <w:proofErr w:type="spellStart"/>
            <w:r w:rsidRPr="00342080">
              <w:rPr>
                <w:rFonts w:asciiTheme="majorHAnsi" w:hAnsiTheme="majorHAnsi" w:cs="Times New Roman"/>
              </w:rPr>
              <w:t>anti-IgG</w:t>
            </w:r>
            <w:proofErr w:type="spellEnd"/>
            <w:r w:rsidRPr="00342080">
              <w:rPr>
                <w:rFonts w:asciiTheme="majorHAnsi" w:hAnsiTheme="majorHAnsi" w:cs="Times New Roman"/>
              </w:rPr>
              <w:t xml:space="preserve"> ir anti-C3d). Vienas stulpelis skiriamas neigiamai kontrolei.</w:t>
            </w:r>
          </w:p>
        </w:tc>
        <w:tc>
          <w:tcPr>
            <w:tcW w:w="3699" w:type="dxa"/>
            <w:tcBorders>
              <w:top w:val="single" w:sz="4" w:space="0" w:color="auto"/>
              <w:left w:val="nil"/>
              <w:bottom w:val="single" w:sz="4" w:space="0" w:color="auto"/>
              <w:right w:val="single" w:sz="4" w:space="0" w:color="auto"/>
            </w:tcBorders>
          </w:tcPr>
          <w:p w14:paraId="63BBB381" w14:textId="56E686AE" w:rsidR="00142706" w:rsidRPr="00342080" w:rsidRDefault="00142706" w:rsidP="00142706">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i/>
              </w:rPr>
              <w:t>įrašo tiekėjas</w:t>
            </w:r>
          </w:p>
        </w:tc>
      </w:tr>
      <w:tr w:rsidR="0074058A" w:rsidRPr="00342080" w14:paraId="1B30FC6C" w14:textId="77777777" w:rsidTr="00194FC8">
        <w:trPr>
          <w:trHeight w:val="286"/>
        </w:trPr>
        <w:tc>
          <w:tcPr>
            <w:tcW w:w="882" w:type="dxa"/>
            <w:tcBorders>
              <w:top w:val="single" w:sz="4" w:space="0" w:color="auto"/>
              <w:left w:val="single" w:sz="4" w:space="0" w:color="auto"/>
              <w:bottom w:val="single" w:sz="4" w:space="0" w:color="auto"/>
              <w:right w:val="single" w:sz="4" w:space="0" w:color="auto"/>
            </w:tcBorders>
            <w:shd w:val="clear" w:color="auto" w:fill="auto"/>
          </w:tcPr>
          <w:p w14:paraId="2F187F30" w14:textId="77947881" w:rsidR="0074058A" w:rsidRPr="00342080" w:rsidRDefault="0088073B" w:rsidP="00655158">
            <w:pPr>
              <w:contextualSpacing/>
              <w:mirrorIndents/>
              <w:rPr>
                <w:rFonts w:asciiTheme="majorHAnsi" w:hAnsiTheme="majorHAnsi" w:cs="Times New Roman"/>
              </w:rPr>
            </w:pPr>
            <w:r w:rsidRPr="00342080">
              <w:rPr>
                <w:rFonts w:asciiTheme="majorHAnsi" w:hAnsiTheme="majorHAnsi" w:cs="Times New Roman"/>
              </w:rPr>
              <w:t>1.</w:t>
            </w:r>
            <w:r w:rsidR="0074058A" w:rsidRPr="00342080">
              <w:rPr>
                <w:rFonts w:asciiTheme="majorHAnsi" w:hAnsiTheme="majorHAnsi" w:cs="Times New Roman"/>
              </w:rPr>
              <w:t>4</w:t>
            </w:r>
          </w:p>
        </w:tc>
        <w:tc>
          <w:tcPr>
            <w:tcW w:w="3376" w:type="dxa"/>
            <w:tcBorders>
              <w:top w:val="single" w:sz="4" w:space="0" w:color="auto"/>
              <w:left w:val="nil"/>
              <w:bottom w:val="single" w:sz="4" w:space="0" w:color="auto"/>
              <w:right w:val="single" w:sz="4" w:space="0" w:color="auto"/>
            </w:tcBorders>
            <w:shd w:val="clear" w:color="auto" w:fill="auto"/>
          </w:tcPr>
          <w:p w14:paraId="59D42343" w14:textId="4D14D5DE" w:rsidR="0074058A" w:rsidRPr="00342080" w:rsidRDefault="0052067A" w:rsidP="00655158">
            <w:pPr>
              <w:contextualSpacing/>
              <w:mirrorIndents/>
              <w:rPr>
                <w:rFonts w:asciiTheme="majorHAnsi" w:hAnsiTheme="majorHAnsi" w:cs="Times New Roman"/>
              </w:rPr>
            </w:pPr>
            <w:r w:rsidRPr="00342080">
              <w:rPr>
                <w:rFonts w:asciiTheme="majorHAnsi" w:hAnsiTheme="majorHAnsi" w:cs="Times New Roman"/>
              </w:rPr>
              <w:t>D silpno antigeno nustatymas  eritrocituose</w:t>
            </w:r>
          </w:p>
        </w:tc>
        <w:tc>
          <w:tcPr>
            <w:tcW w:w="1549" w:type="dxa"/>
            <w:tcBorders>
              <w:top w:val="single" w:sz="4" w:space="0" w:color="auto"/>
              <w:left w:val="nil"/>
              <w:bottom w:val="single" w:sz="4" w:space="0" w:color="auto"/>
              <w:right w:val="single" w:sz="4" w:space="0" w:color="auto"/>
            </w:tcBorders>
            <w:shd w:val="clear" w:color="auto" w:fill="auto"/>
          </w:tcPr>
          <w:p w14:paraId="3A599E7A" w14:textId="77777777" w:rsidR="0074058A" w:rsidRPr="00342080" w:rsidRDefault="0074058A" w:rsidP="00655158">
            <w:pPr>
              <w:shd w:val="clear" w:color="auto" w:fill="FFFFFF"/>
              <w:contextualSpacing/>
              <w:mirrorIndents/>
              <w:rPr>
                <w:rFonts w:asciiTheme="majorHAnsi" w:hAnsiTheme="majorHAnsi" w:cs="Times New Roman"/>
              </w:rPr>
            </w:pPr>
            <w:r w:rsidRPr="00342080">
              <w:rPr>
                <w:rFonts w:asciiTheme="majorHAnsi" w:hAnsiTheme="majorHAnsi" w:cs="Times New Roman"/>
              </w:rPr>
              <w:t>15 000</w:t>
            </w:r>
          </w:p>
        </w:tc>
        <w:tc>
          <w:tcPr>
            <w:tcW w:w="4961" w:type="dxa"/>
            <w:tcBorders>
              <w:top w:val="single" w:sz="4" w:space="0" w:color="auto"/>
              <w:left w:val="nil"/>
              <w:bottom w:val="single" w:sz="4" w:space="0" w:color="auto"/>
              <w:right w:val="single" w:sz="4" w:space="0" w:color="auto"/>
            </w:tcBorders>
            <w:shd w:val="clear" w:color="auto" w:fill="auto"/>
          </w:tcPr>
          <w:p w14:paraId="1B217FB2" w14:textId="10BF184E" w:rsidR="0074058A" w:rsidRPr="00342080" w:rsidRDefault="0074058A" w:rsidP="00655158">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rPr>
              <w:t xml:space="preserve">Tyrimas atliekamas, naudojant stulpelių </w:t>
            </w:r>
            <w:r w:rsidR="00364E79" w:rsidRPr="00342080">
              <w:rPr>
                <w:rFonts w:asciiTheme="majorHAnsi" w:hAnsiTheme="majorHAnsi" w:cs="Times New Roman"/>
              </w:rPr>
              <w:t>kor</w:t>
            </w:r>
            <w:r w:rsidRPr="00342080">
              <w:rPr>
                <w:rFonts w:asciiTheme="majorHAnsi" w:hAnsiTheme="majorHAnsi" w:cs="Times New Roman"/>
              </w:rPr>
              <w:t xml:space="preserve">teles su </w:t>
            </w:r>
            <w:proofErr w:type="spellStart"/>
            <w:r w:rsidRPr="00342080">
              <w:rPr>
                <w:rFonts w:asciiTheme="majorHAnsi" w:hAnsiTheme="majorHAnsi" w:cs="Times New Roman"/>
              </w:rPr>
              <w:t>polispecifiniu</w:t>
            </w:r>
            <w:proofErr w:type="spellEnd"/>
            <w:r w:rsidRPr="00342080">
              <w:rPr>
                <w:rFonts w:asciiTheme="majorHAnsi" w:hAnsiTheme="majorHAnsi" w:cs="Times New Roman"/>
              </w:rPr>
              <w:t xml:space="preserve"> žmogaus </w:t>
            </w:r>
            <w:proofErr w:type="spellStart"/>
            <w:r w:rsidRPr="00342080">
              <w:rPr>
                <w:rFonts w:asciiTheme="majorHAnsi" w:hAnsiTheme="majorHAnsi" w:cs="Times New Roman"/>
              </w:rPr>
              <w:t>antiglobulinu</w:t>
            </w:r>
            <w:proofErr w:type="spellEnd"/>
            <w:r w:rsidRPr="00342080">
              <w:rPr>
                <w:rFonts w:asciiTheme="majorHAnsi" w:hAnsiTheme="majorHAnsi" w:cs="Times New Roman"/>
              </w:rPr>
              <w:t xml:space="preserve"> (</w:t>
            </w:r>
            <w:proofErr w:type="spellStart"/>
            <w:r w:rsidRPr="00342080">
              <w:rPr>
                <w:rFonts w:asciiTheme="majorHAnsi" w:hAnsiTheme="majorHAnsi" w:cs="Times New Roman"/>
              </w:rPr>
              <w:t>anti-IgG</w:t>
            </w:r>
            <w:proofErr w:type="spellEnd"/>
            <w:r w:rsidRPr="00342080">
              <w:rPr>
                <w:rFonts w:asciiTheme="majorHAnsi" w:hAnsiTheme="majorHAnsi" w:cs="Times New Roman"/>
              </w:rPr>
              <w:t xml:space="preserve"> </w:t>
            </w:r>
            <w:r w:rsidRPr="00342080">
              <w:rPr>
                <w:rFonts w:asciiTheme="majorHAnsi" w:hAnsiTheme="majorHAnsi" w:cs="Times New Roman"/>
              </w:rPr>
              <w:lastRenderedPageBreak/>
              <w:t xml:space="preserve">ir anti-C3d) ir </w:t>
            </w:r>
            <w:proofErr w:type="spellStart"/>
            <w:r w:rsidRPr="00342080">
              <w:rPr>
                <w:rFonts w:asciiTheme="majorHAnsi" w:hAnsiTheme="majorHAnsi" w:cs="Times New Roman"/>
              </w:rPr>
              <w:t>monokloniniai</w:t>
            </w:r>
            <w:proofErr w:type="spellEnd"/>
            <w:r w:rsidRPr="00342080">
              <w:rPr>
                <w:rFonts w:asciiTheme="majorHAnsi" w:hAnsiTheme="majorHAnsi" w:cs="Times New Roman"/>
              </w:rPr>
              <w:t xml:space="preserve"> </w:t>
            </w:r>
            <w:proofErr w:type="spellStart"/>
            <w:r w:rsidRPr="00342080">
              <w:rPr>
                <w:rFonts w:asciiTheme="majorHAnsi" w:hAnsiTheme="majorHAnsi" w:cs="Times New Roman"/>
              </w:rPr>
              <w:t>anti</w:t>
            </w:r>
            <w:proofErr w:type="spellEnd"/>
            <w:r w:rsidRPr="00342080">
              <w:rPr>
                <w:rFonts w:asciiTheme="majorHAnsi" w:hAnsiTheme="majorHAnsi" w:cs="Times New Roman"/>
              </w:rPr>
              <w:t xml:space="preserve">-D </w:t>
            </w:r>
            <w:proofErr w:type="spellStart"/>
            <w:r w:rsidRPr="00342080">
              <w:rPr>
                <w:rFonts w:asciiTheme="majorHAnsi" w:hAnsiTheme="majorHAnsi" w:cs="Times New Roman"/>
              </w:rPr>
              <w:t>IgG</w:t>
            </w:r>
            <w:proofErr w:type="spellEnd"/>
            <w:r w:rsidRPr="00342080">
              <w:rPr>
                <w:rFonts w:asciiTheme="majorHAnsi" w:hAnsiTheme="majorHAnsi" w:cs="Times New Roman"/>
              </w:rPr>
              <w:t xml:space="preserve"> antikūnai.</w:t>
            </w:r>
          </w:p>
        </w:tc>
        <w:tc>
          <w:tcPr>
            <w:tcW w:w="3699" w:type="dxa"/>
            <w:tcBorders>
              <w:top w:val="single" w:sz="4" w:space="0" w:color="auto"/>
              <w:left w:val="nil"/>
              <w:bottom w:val="single" w:sz="4" w:space="0" w:color="auto"/>
              <w:right w:val="single" w:sz="4" w:space="0" w:color="auto"/>
            </w:tcBorders>
          </w:tcPr>
          <w:p w14:paraId="6F2C8D2D" w14:textId="420CF920" w:rsidR="0074058A" w:rsidRPr="00342080" w:rsidRDefault="00142706" w:rsidP="00655158">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i/>
              </w:rPr>
              <w:lastRenderedPageBreak/>
              <w:t>įrašo tiekėjas</w:t>
            </w:r>
          </w:p>
        </w:tc>
      </w:tr>
      <w:tr w:rsidR="00142706" w:rsidRPr="00342080" w14:paraId="55438F0E" w14:textId="77777777" w:rsidTr="00194FC8">
        <w:trPr>
          <w:trHeight w:val="286"/>
        </w:trPr>
        <w:tc>
          <w:tcPr>
            <w:tcW w:w="882" w:type="dxa"/>
            <w:tcBorders>
              <w:top w:val="single" w:sz="4" w:space="0" w:color="auto"/>
              <w:left w:val="single" w:sz="4" w:space="0" w:color="auto"/>
              <w:bottom w:val="single" w:sz="4" w:space="0" w:color="auto"/>
              <w:right w:val="single" w:sz="4" w:space="0" w:color="auto"/>
            </w:tcBorders>
            <w:shd w:val="clear" w:color="auto" w:fill="auto"/>
          </w:tcPr>
          <w:p w14:paraId="4150857D" w14:textId="21D158C5"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rPr>
              <w:t>1.5</w:t>
            </w:r>
          </w:p>
        </w:tc>
        <w:tc>
          <w:tcPr>
            <w:tcW w:w="3376" w:type="dxa"/>
            <w:tcBorders>
              <w:top w:val="single" w:sz="4" w:space="0" w:color="auto"/>
              <w:left w:val="nil"/>
              <w:bottom w:val="single" w:sz="4" w:space="0" w:color="auto"/>
              <w:right w:val="single" w:sz="4" w:space="0" w:color="auto"/>
            </w:tcBorders>
            <w:shd w:val="clear" w:color="auto" w:fill="auto"/>
          </w:tcPr>
          <w:p w14:paraId="491DE679" w14:textId="78F76C68"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rPr>
              <w:t>Antigeno A pogrupių nustatymas eritrocituose</w:t>
            </w:r>
          </w:p>
        </w:tc>
        <w:tc>
          <w:tcPr>
            <w:tcW w:w="1549" w:type="dxa"/>
            <w:tcBorders>
              <w:top w:val="single" w:sz="4" w:space="0" w:color="auto"/>
              <w:left w:val="nil"/>
              <w:bottom w:val="single" w:sz="4" w:space="0" w:color="auto"/>
              <w:right w:val="single" w:sz="4" w:space="0" w:color="auto"/>
            </w:tcBorders>
            <w:shd w:val="clear" w:color="auto" w:fill="auto"/>
          </w:tcPr>
          <w:p w14:paraId="1B1F9689" w14:textId="30AF6B8E" w:rsidR="00142706" w:rsidRPr="00342080" w:rsidRDefault="00142706" w:rsidP="00142706">
            <w:pPr>
              <w:shd w:val="clear" w:color="auto" w:fill="FFFFFF" w:themeFill="background1"/>
              <w:contextualSpacing/>
              <w:mirrorIndents/>
              <w:rPr>
                <w:rFonts w:asciiTheme="majorHAnsi" w:hAnsiTheme="majorHAnsi" w:cs="Times New Roman"/>
                <w:highlight w:val="yellow"/>
              </w:rPr>
            </w:pPr>
            <w:r w:rsidRPr="00342080">
              <w:rPr>
                <w:rFonts w:asciiTheme="majorHAnsi" w:hAnsiTheme="majorHAnsi" w:cs="Times New Roman"/>
              </w:rPr>
              <w:t>60</w:t>
            </w:r>
          </w:p>
        </w:tc>
        <w:tc>
          <w:tcPr>
            <w:tcW w:w="4961" w:type="dxa"/>
            <w:tcBorders>
              <w:top w:val="single" w:sz="4" w:space="0" w:color="auto"/>
              <w:left w:val="nil"/>
              <w:bottom w:val="single" w:sz="4" w:space="0" w:color="auto"/>
              <w:right w:val="single" w:sz="4" w:space="0" w:color="auto"/>
            </w:tcBorders>
            <w:shd w:val="clear" w:color="auto" w:fill="auto"/>
          </w:tcPr>
          <w:p w14:paraId="25DED2CC" w14:textId="39F0B962" w:rsidR="00142706" w:rsidRPr="00342080" w:rsidRDefault="00142706" w:rsidP="00142706">
            <w:pPr>
              <w:shd w:val="clear" w:color="auto" w:fill="FFFFFF" w:themeFill="background1"/>
              <w:contextualSpacing/>
              <w:mirrorIndents/>
              <w:rPr>
                <w:rFonts w:asciiTheme="majorHAnsi" w:hAnsiTheme="majorHAnsi" w:cs="Times New Roman"/>
                <w:highlight w:val="yellow"/>
              </w:rPr>
            </w:pPr>
            <w:r w:rsidRPr="00342080">
              <w:rPr>
                <w:rFonts w:asciiTheme="majorHAnsi" w:hAnsiTheme="majorHAnsi" w:cs="Times New Roman"/>
              </w:rPr>
              <w:t xml:space="preserve">Tyrimas atliekamas, naudojant stulpelių korteles su antikūnais anti-A1 ir </w:t>
            </w:r>
            <w:proofErr w:type="spellStart"/>
            <w:r w:rsidRPr="00342080">
              <w:rPr>
                <w:rFonts w:asciiTheme="majorHAnsi" w:hAnsiTheme="majorHAnsi" w:cs="Times New Roman"/>
              </w:rPr>
              <w:t>anti</w:t>
            </w:r>
            <w:proofErr w:type="spellEnd"/>
            <w:r w:rsidRPr="00342080">
              <w:rPr>
                <w:rFonts w:asciiTheme="majorHAnsi" w:hAnsiTheme="majorHAnsi" w:cs="Times New Roman"/>
              </w:rPr>
              <w:t>-H.</w:t>
            </w:r>
          </w:p>
        </w:tc>
        <w:tc>
          <w:tcPr>
            <w:tcW w:w="3699" w:type="dxa"/>
            <w:tcBorders>
              <w:top w:val="single" w:sz="4" w:space="0" w:color="auto"/>
              <w:left w:val="nil"/>
              <w:bottom w:val="single" w:sz="4" w:space="0" w:color="auto"/>
              <w:right w:val="single" w:sz="4" w:space="0" w:color="auto"/>
            </w:tcBorders>
          </w:tcPr>
          <w:p w14:paraId="7049AB75" w14:textId="0F9D4F4B" w:rsidR="00142706" w:rsidRPr="00342080" w:rsidRDefault="00142706" w:rsidP="00142706">
            <w:pPr>
              <w:shd w:val="clear" w:color="auto" w:fill="FFFFFF" w:themeFill="background1"/>
              <w:contextualSpacing/>
              <w:mirrorIndents/>
              <w:rPr>
                <w:rFonts w:asciiTheme="majorHAnsi" w:hAnsiTheme="majorHAnsi" w:cs="Times New Roman"/>
                <w:highlight w:val="yellow"/>
              </w:rPr>
            </w:pPr>
            <w:r w:rsidRPr="00342080">
              <w:rPr>
                <w:rFonts w:asciiTheme="majorHAnsi" w:hAnsiTheme="majorHAnsi" w:cs="Times New Roman"/>
                <w:i/>
              </w:rPr>
              <w:t>įrašo tiekėjas</w:t>
            </w:r>
          </w:p>
        </w:tc>
      </w:tr>
      <w:tr w:rsidR="00142706" w:rsidRPr="00342080" w14:paraId="37DC0BEB" w14:textId="77777777" w:rsidTr="00194FC8">
        <w:trPr>
          <w:trHeight w:val="575"/>
        </w:trPr>
        <w:tc>
          <w:tcPr>
            <w:tcW w:w="882" w:type="dxa"/>
            <w:tcBorders>
              <w:top w:val="single" w:sz="4" w:space="0" w:color="auto"/>
              <w:left w:val="single" w:sz="4" w:space="0" w:color="auto"/>
              <w:bottom w:val="single" w:sz="4" w:space="0" w:color="auto"/>
              <w:right w:val="single" w:sz="4" w:space="0" w:color="auto"/>
            </w:tcBorders>
            <w:shd w:val="clear" w:color="auto" w:fill="auto"/>
          </w:tcPr>
          <w:p w14:paraId="1BD3E720" w14:textId="15DFDEC2"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rPr>
              <w:t>1.6</w:t>
            </w:r>
          </w:p>
        </w:tc>
        <w:tc>
          <w:tcPr>
            <w:tcW w:w="3376" w:type="dxa"/>
            <w:tcBorders>
              <w:top w:val="single" w:sz="4" w:space="0" w:color="auto"/>
              <w:left w:val="nil"/>
              <w:bottom w:val="single" w:sz="4" w:space="0" w:color="auto"/>
              <w:right w:val="single" w:sz="4" w:space="0" w:color="auto"/>
            </w:tcBorders>
            <w:shd w:val="clear" w:color="auto" w:fill="auto"/>
          </w:tcPr>
          <w:p w14:paraId="2B5684B4" w14:textId="1F339317" w:rsidR="00142706" w:rsidRPr="00342080" w:rsidRDefault="00142706" w:rsidP="00142706">
            <w:pPr>
              <w:contextualSpacing/>
              <w:mirrorIndents/>
              <w:rPr>
                <w:rFonts w:asciiTheme="majorHAnsi" w:hAnsiTheme="majorHAnsi" w:cs="Times New Roman"/>
              </w:rPr>
            </w:pPr>
            <w:proofErr w:type="spellStart"/>
            <w:r w:rsidRPr="00342080">
              <w:rPr>
                <w:rFonts w:asciiTheme="majorHAnsi" w:hAnsiTheme="majorHAnsi" w:cs="Times New Roman"/>
              </w:rPr>
              <w:t>Rh</w:t>
            </w:r>
            <w:proofErr w:type="spellEnd"/>
            <w:r w:rsidRPr="00342080">
              <w:rPr>
                <w:rFonts w:asciiTheme="majorHAnsi" w:hAnsiTheme="majorHAnsi" w:cs="Times New Roman"/>
              </w:rPr>
              <w:t xml:space="preserve"> ir K antigenai eritrocituose</w:t>
            </w:r>
          </w:p>
        </w:tc>
        <w:tc>
          <w:tcPr>
            <w:tcW w:w="1549" w:type="dxa"/>
            <w:tcBorders>
              <w:top w:val="single" w:sz="4" w:space="0" w:color="auto"/>
              <w:left w:val="nil"/>
              <w:bottom w:val="single" w:sz="4" w:space="0" w:color="auto"/>
              <w:right w:val="single" w:sz="4" w:space="0" w:color="auto"/>
            </w:tcBorders>
            <w:shd w:val="clear" w:color="auto" w:fill="auto"/>
          </w:tcPr>
          <w:p w14:paraId="312DAB35" w14:textId="4D6EAF51" w:rsidR="00142706" w:rsidRPr="00342080" w:rsidRDefault="00142706" w:rsidP="00142706">
            <w:pPr>
              <w:shd w:val="clear" w:color="auto" w:fill="FFFFFF"/>
              <w:contextualSpacing/>
              <w:mirrorIndents/>
              <w:rPr>
                <w:rFonts w:asciiTheme="majorHAnsi" w:hAnsiTheme="majorHAnsi" w:cs="Times New Roman"/>
              </w:rPr>
            </w:pPr>
            <w:r w:rsidRPr="00342080">
              <w:rPr>
                <w:rFonts w:asciiTheme="majorHAnsi" w:hAnsiTheme="majorHAnsi" w:cs="Times New Roman"/>
              </w:rPr>
              <w:t>20 000</w:t>
            </w:r>
          </w:p>
        </w:tc>
        <w:tc>
          <w:tcPr>
            <w:tcW w:w="4961" w:type="dxa"/>
            <w:tcBorders>
              <w:top w:val="single" w:sz="4" w:space="0" w:color="auto"/>
              <w:left w:val="nil"/>
              <w:bottom w:val="single" w:sz="4" w:space="0" w:color="auto"/>
              <w:right w:val="single" w:sz="4" w:space="0" w:color="auto"/>
            </w:tcBorders>
            <w:shd w:val="clear" w:color="auto" w:fill="auto"/>
          </w:tcPr>
          <w:p w14:paraId="400DE479" w14:textId="03FD4422" w:rsidR="00142706" w:rsidRPr="00342080" w:rsidRDefault="00142706" w:rsidP="00142706">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rPr>
              <w:t xml:space="preserve">Tyrimas atliekamas, naudojant stulpelių korteles su </w:t>
            </w:r>
            <w:proofErr w:type="spellStart"/>
            <w:r w:rsidRPr="00342080">
              <w:rPr>
                <w:rFonts w:asciiTheme="majorHAnsi" w:hAnsiTheme="majorHAnsi" w:cs="Times New Roman"/>
              </w:rPr>
              <w:t>monokloniniais</w:t>
            </w:r>
            <w:proofErr w:type="spellEnd"/>
            <w:r w:rsidRPr="00342080">
              <w:rPr>
                <w:rFonts w:asciiTheme="majorHAnsi" w:hAnsiTheme="majorHAnsi" w:cs="Times New Roman"/>
              </w:rPr>
              <w:t xml:space="preserve"> </w:t>
            </w:r>
            <w:proofErr w:type="spellStart"/>
            <w:r w:rsidRPr="00342080">
              <w:rPr>
                <w:rFonts w:asciiTheme="majorHAnsi" w:hAnsiTheme="majorHAnsi" w:cs="Times New Roman"/>
              </w:rPr>
              <w:t>anti</w:t>
            </w:r>
            <w:proofErr w:type="spellEnd"/>
            <w:r w:rsidRPr="00342080">
              <w:rPr>
                <w:rFonts w:asciiTheme="majorHAnsi" w:hAnsiTheme="majorHAnsi" w:cs="Times New Roman"/>
              </w:rPr>
              <w:t xml:space="preserve">-C, </w:t>
            </w:r>
            <w:proofErr w:type="spellStart"/>
            <w:r w:rsidRPr="00342080">
              <w:rPr>
                <w:rFonts w:asciiTheme="majorHAnsi" w:hAnsiTheme="majorHAnsi" w:cs="Times New Roman"/>
              </w:rPr>
              <w:t>anti</w:t>
            </w:r>
            <w:proofErr w:type="spellEnd"/>
            <w:r w:rsidRPr="00342080">
              <w:rPr>
                <w:rFonts w:asciiTheme="majorHAnsi" w:hAnsiTheme="majorHAnsi" w:cs="Times New Roman"/>
              </w:rPr>
              <w:t xml:space="preserve">-c, </w:t>
            </w:r>
            <w:proofErr w:type="spellStart"/>
            <w:r w:rsidRPr="00342080">
              <w:rPr>
                <w:rFonts w:asciiTheme="majorHAnsi" w:hAnsiTheme="majorHAnsi" w:cs="Times New Roman"/>
              </w:rPr>
              <w:t>anti</w:t>
            </w:r>
            <w:proofErr w:type="spellEnd"/>
            <w:r w:rsidRPr="00342080">
              <w:rPr>
                <w:rFonts w:asciiTheme="majorHAnsi" w:hAnsiTheme="majorHAnsi" w:cs="Times New Roman"/>
              </w:rPr>
              <w:t xml:space="preserve">-E, </w:t>
            </w:r>
            <w:proofErr w:type="spellStart"/>
            <w:r w:rsidRPr="00342080">
              <w:rPr>
                <w:rFonts w:asciiTheme="majorHAnsi" w:hAnsiTheme="majorHAnsi" w:cs="Times New Roman"/>
              </w:rPr>
              <w:t>anti</w:t>
            </w:r>
            <w:proofErr w:type="spellEnd"/>
            <w:r w:rsidRPr="00342080">
              <w:rPr>
                <w:rFonts w:asciiTheme="majorHAnsi" w:hAnsiTheme="majorHAnsi" w:cs="Times New Roman"/>
              </w:rPr>
              <w:t xml:space="preserve">-e ir </w:t>
            </w:r>
            <w:proofErr w:type="spellStart"/>
            <w:r w:rsidRPr="00342080">
              <w:rPr>
                <w:rFonts w:asciiTheme="majorHAnsi" w:hAnsiTheme="majorHAnsi" w:cs="Times New Roman"/>
              </w:rPr>
              <w:t>anti</w:t>
            </w:r>
            <w:proofErr w:type="spellEnd"/>
            <w:r w:rsidRPr="00342080">
              <w:rPr>
                <w:rFonts w:asciiTheme="majorHAnsi" w:hAnsiTheme="majorHAnsi" w:cs="Times New Roman"/>
              </w:rPr>
              <w:t>-K. Vienas stulpelis skiriamas neigiamai kontrolei.</w:t>
            </w:r>
          </w:p>
        </w:tc>
        <w:tc>
          <w:tcPr>
            <w:tcW w:w="3699" w:type="dxa"/>
            <w:tcBorders>
              <w:top w:val="single" w:sz="4" w:space="0" w:color="auto"/>
              <w:left w:val="nil"/>
              <w:bottom w:val="single" w:sz="4" w:space="0" w:color="auto"/>
              <w:right w:val="single" w:sz="4" w:space="0" w:color="auto"/>
            </w:tcBorders>
          </w:tcPr>
          <w:p w14:paraId="7002D616" w14:textId="20F7B076" w:rsidR="00142706" w:rsidRPr="00342080" w:rsidRDefault="00142706" w:rsidP="00142706">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i/>
              </w:rPr>
              <w:t>įrašo tiekėjas</w:t>
            </w:r>
          </w:p>
        </w:tc>
      </w:tr>
      <w:tr w:rsidR="00142706" w:rsidRPr="00342080" w14:paraId="2C3C7092" w14:textId="77777777" w:rsidTr="00194FC8">
        <w:trPr>
          <w:trHeight w:val="274"/>
        </w:trPr>
        <w:tc>
          <w:tcPr>
            <w:tcW w:w="882" w:type="dxa"/>
            <w:tcBorders>
              <w:top w:val="single" w:sz="4" w:space="0" w:color="auto"/>
              <w:left w:val="single" w:sz="4" w:space="0" w:color="auto"/>
              <w:bottom w:val="single" w:sz="4" w:space="0" w:color="auto"/>
              <w:right w:val="single" w:sz="4" w:space="0" w:color="auto"/>
            </w:tcBorders>
            <w:shd w:val="clear" w:color="auto" w:fill="auto"/>
          </w:tcPr>
          <w:p w14:paraId="0FC20F04" w14:textId="48716F8C"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rPr>
              <w:t>1.7</w:t>
            </w:r>
          </w:p>
        </w:tc>
        <w:tc>
          <w:tcPr>
            <w:tcW w:w="3376" w:type="dxa"/>
            <w:tcBorders>
              <w:top w:val="single" w:sz="4" w:space="0" w:color="auto"/>
              <w:left w:val="nil"/>
              <w:bottom w:val="single" w:sz="4" w:space="0" w:color="auto"/>
              <w:right w:val="single" w:sz="4" w:space="0" w:color="auto"/>
            </w:tcBorders>
            <w:shd w:val="clear" w:color="auto" w:fill="auto"/>
          </w:tcPr>
          <w:p w14:paraId="22C6BB5C" w14:textId="21C30D95"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rPr>
              <w:t>Antikūnai prieš eritrocitų antigenus naudojant I-II-III donorų eritrocitus</w:t>
            </w:r>
          </w:p>
        </w:tc>
        <w:tc>
          <w:tcPr>
            <w:tcW w:w="1549" w:type="dxa"/>
            <w:tcBorders>
              <w:top w:val="single" w:sz="4" w:space="0" w:color="auto"/>
              <w:left w:val="nil"/>
              <w:bottom w:val="single" w:sz="4" w:space="0" w:color="auto"/>
              <w:right w:val="single" w:sz="4" w:space="0" w:color="auto"/>
            </w:tcBorders>
            <w:shd w:val="clear" w:color="auto" w:fill="auto"/>
          </w:tcPr>
          <w:p w14:paraId="3D0E8706" w14:textId="0DA2AC9B" w:rsidR="00142706" w:rsidRPr="00342080" w:rsidRDefault="00142706" w:rsidP="00142706">
            <w:pPr>
              <w:shd w:val="clear" w:color="auto" w:fill="FFFFFF"/>
              <w:contextualSpacing/>
              <w:mirrorIndents/>
              <w:rPr>
                <w:rFonts w:asciiTheme="majorHAnsi" w:hAnsiTheme="majorHAnsi" w:cs="Times New Roman"/>
              </w:rPr>
            </w:pPr>
            <w:r w:rsidRPr="00342080">
              <w:rPr>
                <w:rFonts w:asciiTheme="majorHAnsi" w:hAnsiTheme="majorHAnsi" w:cs="Times New Roman"/>
              </w:rPr>
              <w:t>85 000</w:t>
            </w:r>
          </w:p>
        </w:tc>
        <w:tc>
          <w:tcPr>
            <w:tcW w:w="4961" w:type="dxa"/>
            <w:tcBorders>
              <w:top w:val="single" w:sz="4" w:space="0" w:color="auto"/>
              <w:left w:val="nil"/>
              <w:bottom w:val="single" w:sz="4" w:space="0" w:color="auto"/>
              <w:right w:val="single" w:sz="4" w:space="0" w:color="auto"/>
            </w:tcBorders>
            <w:shd w:val="clear" w:color="auto" w:fill="auto"/>
          </w:tcPr>
          <w:p w14:paraId="715EB968" w14:textId="357E00A9" w:rsidR="00142706" w:rsidRPr="00342080" w:rsidRDefault="00142706" w:rsidP="00142706">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rPr>
              <w:t xml:space="preserve">Tyrimas atliekamas, naudojant trijų donorų standartinius eritrocitus ir stulpelių korteles su </w:t>
            </w:r>
            <w:proofErr w:type="spellStart"/>
            <w:r w:rsidRPr="00342080">
              <w:rPr>
                <w:rFonts w:asciiTheme="majorHAnsi" w:hAnsiTheme="majorHAnsi" w:cs="Times New Roman"/>
              </w:rPr>
              <w:t>polispecifiniu</w:t>
            </w:r>
            <w:proofErr w:type="spellEnd"/>
            <w:r w:rsidRPr="00342080">
              <w:rPr>
                <w:rFonts w:asciiTheme="majorHAnsi" w:hAnsiTheme="majorHAnsi" w:cs="Times New Roman"/>
              </w:rPr>
              <w:t xml:space="preserve"> žmogaus </w:t>
            </w:r>
            <w:proofErr w:type="spellStart"/>
            <w:r w:rsidRPr="00342080">
              <w:rPr>
                <w:rFonts w:asciiTheme="majorHAnsi" w:hAnsiTheme="majorHAnsi" w:cs="Times New Roman"/>
              </w:rPr>
              <w:t>antiglobulinu</w:t>
            </w:r>
            <w:proofErr w:type="spellEnd"/>
            <w:r w:rsidRPr="00342080">
              <w:rPr>
                <w:rFonts w:asciiTheme="majorHAnsi" w:hAnsiTheme="majorHAnsi" w:cs="Times New Roman"/>
              </w:rPr>
              <w:t xml:space="preserve"> (</w:t>
            </w:r>
            <w:proofErr w:type="spellStart"/>
            <w:r w:rsidRPr="00342080">
              <w:rPr>
                <w:rFonts w:asciiTheme="majorHAnsi" w:hAnsiTheme="majorHAnsi" w:cs="Times New Roman"/>
              </w:rPr>
              <w:t>anti-IgG</w:t>
            </w:r>
            <w:proofErr w:type="spellEnd"/>
            <w:r w:rsidRPr="00342080">
              <w:rPr>
                <w:rFonts w:asciiTheme="majorHAnsi" w:hAnsiTheme="majorHAnsi" w:cs="Times New Roman"/>
              </w:rPr>
              <w:t xml:space="preserve"> ir anti-C3d).</w:t>
            </w:r>
          </w:p>
        </w:tc>
        <w:tc>
          <w:tcPr>
            <w:tcW w:w="3699" w:type="dxa"/>
            <w:tcBorders>
              <w:top w:val="single" w:sz="4" w:space="0" w:color="auto"/>
              <w:left w:val="nil"/>
              <w:bottom w:val="single" w:sz="4" w:space="0" w:color="auto"/>
              <w:right w:val="single" w:sz="4" w:space="0" w:color="auto"/>
            </w:tcBorders>
          </w:tcPr>
          <w:p w14:paraId="59FBCEE1" w14:textId="59396BE4" w:rsidR="00142706" w:rsidRPr="00342080" w:rsidRDefault="00142706" w:rsidP="00142706">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i/>
              </w:rPr>
              <w:t>įrašo tiekėjas</w:t>
            </w:r>
          </w:p>
        </w:tc>
      </w:tr>
      <w:tr w:rsidR="00142706" w:rsidRPr="00342080" w14:paraId="037F783D"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25B75AEC" w14:textId="42D13B1B"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rPr>
              <w:t>1.8</w:t>
            </w:r>
          </w:p>
        </w:tc>
        <w:tc>
          <w:tcPr>
            <w:tcW w:w="3376" w:type="dxa"/>
            <w:tcBorders>
              <w:top w:val="single" w:sz="4" w:space="0" w:color="auto"/>
              <w:left w:val="nil"/>
              <w:bottom w:val="single" w:sz="4" w:space="0" w:color="auto"/>
              <w:right w:val="single" w:sz="4" w:space="0" w:color="auto"/>
            </w:tcBorders>
            <w:shd w:val="clear" w:color="auto" w:fill="auto"/>
          </w:tcPr>
          <w:p w14:paraId="0627C6F6" w14:textId="47ED88D4"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rPr>
              <w:t>Antikūnai prieš eritrocitų antigenus naudojant I-II donorų eritrocitus</w:t>
            </w:r>
          </w:p>
        </w:tc>
        <w:tc>
          <w:tcPr>
            <w:tcW w:w="1549" w:type="dxa"/>
            <w:tcBorders>
              <w:top w:val="single" w:sz="4" w:space="0" w:color="auto"/>
              <w:left w:val="nil"/>
              <w:bottom w:val="single" w:sz="4" w:space="0" w:color="auto"/>
              <w:right w:val="single" w:sz="4" w:space="0" w:color="auto"/>
            </w:tcBorders>
            <w:shd w:val="clear" w:color="auto" w:fill="auto"/>
          </w:tcPr>
          <w:p w14:paraId="3F0879D3" w14:textId="7E80AA48" w:rsidR="00142706" w:rsidRPr="00342080" w:rsidRDefault="00142706" w:rsidP="00142706">
            <w:pPr>
              <w:shd w:val="clear" w:color="auto" w:fill="FFFFFF"/>
              <w:contextualSpacing/>
              <w:mirrorIndents/>
              <w:rPr>
                <w:rFonts w:asciiTheme="majorHAnsi" w:hAnsiTheme="majorHAnsi" w:cs="Times New Roman"/>
              </w:rPr>
            </w:pPr>
            <w:r w:rsidRPr="00342080">
              <w:rPr>
                <w:rFonts w:asciiTheme="majorHAnsi" w:hAnsiTheme="majorHAnsi" w:cs="Times New Roman"/>
              </w:rPr>
              <w:t>27 000</w:t>
            </w:r>
          </w:p>
        </w:tc>
        <w:tc>
          <w:tcPr>
            <w:tcW w:w="4961" w:type="dxa"/>
            <w:tcBorders>
              <w:top w:val="single" w:sz="4" w:space="0" w:color="auto"/>
              <w:left w:val="nil"/>
              <w:bottom w:val="single" w:sz="4" w:space="0" w:color="auto"/>
              <w:right w:val="single" w:sz="4" w:space="0" w:color="auto"/>
            </w:tcBorders>
            <w:shd w:val="clear" w:color="auto" w:fill="auto"/>
          </w:tcPr>
          <w:p w14:paraId="43365ECE" w14:textId="45DA1D0F" w:rsidR="00142706" w:rsidRPr="00342080" w:rsidRDefault="00142706" w:rsidP="00142706">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rPr>
              <w:t xml:space="preserve">Tyrimas atliekamas, naudojant dviejų donorų standartinius eritrocitus ir stulpelių korteles su </w:t>
            </w:r>
            <w:proofErr w:type="spellStart"/>
            <w:r w:rsidRPr="00342080">
              <w:rPr>
                <w:rFonts w:asciiTheme="majorHAnsi" w:hAnsiTheme="majorHAnsi" w:cs="Times New Roman"/>
              </w:rPr>
              <w:t>polispecifiniu</w:t>
            </w:r>
            <w:proofErr w:type="spellEnd"/>
            <w:r w:rsidRPr="00342080">
              <w:rPr>
                <w:rFonts w:asciiTheme="majorHAnsi" w:hAnsiTheme="majorHAnsi" w:cs="Times New Roman"/>
              </w:rPr>
              <w:t xml:space="preserve"> žmogaus </w:t>
            </w:r>
            <w:proofErr w:type="spellStart"/>
            <w:r w:rsidRPr="00342080">
              <w:rPr>
                <w:rFonts w:asciiTheme="majorHAnsi" w:hAnsiTheme="majorHAnsi" w:cs="Times New Roman"/>
              </w:rPr>
              <w:t>antiglobulinu</w:t>
            </w:r>
            <w:proofErr w:type="spellEnd"/>
            <w:r w:rsidRPr="00342080">
              <w:rPr>
                <w:rFonts w:asciiTheme="majorHAnsi" w:hAnsiTheme="majorHAnsi" w:cs="Times New Roman"/>
              </w:rPr>
              <w:t xml:space="preserve"> (</w:t>
            </w:r>
            <w:proofErr w:type="spellStart"/>
            <w:r w:rsidRPr="00342080">
              <w:rPr>
                <w:rFonts w:asciiTheme="majorHAnsi" w:hAnsiTheme="majorHAnsi" w:cs="Times New Roman"/>
              </w:rPr>
              <w:t>anti-IgG</w:t>
            </w:r>
            <w:proofErr w:type="spellEnd"/>
            <w:r w:rsidRPr="00342080">
              <w:rPr>
                <w:rFonts w:asciiTheme="majorHAnsi" w:hAnsiTheme="majorHAnsi" w:cs="Times New Roman"/>
              </w:rPr>
              <w:t xml:space="preserve"> ir anti-C3d).</w:t>
            </w:r>
          </w:p>
        </w:tc>
        <w:tc>
          <w:tcPr>
            <w:tcW w:w="3699" w:type="dxa"/>
            <w:tcBorders>
              <w:top w:val="single" w:sz="4" w:space="0" w:color="auto"/>
              <w:left w:val="nil"/>
              <w:bottom w:val="single" w:sz="4" w:space="0" w:color="auto"/>
              <w:right w:val="single" w:sz="4" w:space="0" w:color="auto"/>
            </w:tcBorders>
          </w:tcPr>
          <w:p w14:paraId="17DFE5CC" w14:textId="0AECFF8B" w:rsidR="00142706" w:rsidRPr="00342080" w:rsidRDefault="00142706" w:rsidP="00142706">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i/>
              </w:rPr>
              <w:t>įrašo tiekėjas</w:t>
            </w:r>
          </w:p>
        </w:tc>
      </w:tr>
      <w:tr w:rsidR="00142706" w:rsidRPr="00342080" w14:paraId="4B56004B"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4C346752" w14:textId="6FD54E34"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rPr>
              <w:t>1.9</w:t>
            </w:r>
          </w:p>
        </w:tc>
        <w:tc>
          <w:tcPr>
            <w:tcW w:w="3376" w:type="dxa"/>
            <w:tcBorders>
              <w:top w:val="single" w:sz="4" w:space="0" w:color="auto"/>
              <w:left w:val="nil"/>
              <w:bottom w:val="single" w:sz="4" w:space="0" w:color="auto"/>
              <w:right w:val="single" w:sz="4" w:space="0" w:color="auto"/>
            </w:tcBorders>
            <w:shd w:val="clear" w:color="auto" w:fill="auto"/>
          </w:tcPr>
          <w:p w14:paraId="116C803F" w14:textId="21D7F072"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rPr>
              <w:t xml:space="preserve">Tyrimas </w:t>
            </w:r>
            <w:proofErr w:type="spellStart"/>
            <w:r w:rsidRPr="00342080">
              <w:rPr>
                <w:rFonts w:asciiTheme="majorHAnsi" w:hAnsiTheme="majorHAnsi" w:cs="Times New Roman"/>
              </w:rPr>
              <w:t>autoantikūnams</w:t>
            </w:r>
            <w:proofErr w:type="spellEnd"/>
            <w:r w:rsidRPr="00342080">
              <w:rPr>
                <w:rFonts w:asciiTheme="majorHAnsi" w:hAnsiTheme="majorHAnsi" w:cs="Times New Roman"/>
              </w:rPr>
              <w:t xml:space="preserve"> nustatyti (</w:t>
            </w:r>
            <w:proofErr w:type="spellStart"/>
            <w:r w:rsidRPr="00342080">
              <w:rPr>
                <w:rFonts w:asciiTheme="majorHAnsi" w:hAnsiTheme="majorHAnsi" w:cs="Times New Roman"/>
              </w:rPr>
              <w:t>autokontrolė</w:t>
            </w:r>
            <w:proofErr w:type="spellEnd"/>
            <w:r w:rsidRPr="00342080">
              <w:rPr>
                <w:rFonts w:asciiTheme="majorHAnsi" w:hAnsiTheme="majorHAnsi" w:cs="Times New Roman"/>
              </w:rPr>
              <w:t>)</w:t>
            </w:r>
          </w:p>
        </w:tc>
        <w:tc>
          <w:tcPr>
            <w:tcW w:w="1549" w:type="dxa"/>
            <w:tcBorders>
              <w:top w:val="single" w:sz="4" w:space="0" w:color="auto"/>
              <w:left w:val="nil"/>
              <w:bottom w:val="single" w:sz="4" w:space="0" w:color="auto"/>
              <w:right w:val="single" w:sz="4" w:space="0" w:color="auto"/>
            </w:tcBorders>
            <w:shd w:val="clear" w:color="auto" w:fill="auto"/>
          </w:tcPr>
          <w:p w14:paraId="0A80A0FF" w14:textId="74300F4A" w:rsidR="00142706" w:rsidRPr="00342080" w:rsidRDefault="00142706" w:rsidP="00142706">
            <w:pPr>
              <w:shd w:val="clear" w:color="auto" w:fill="FFFFFF"/>
              <w:contextualSpacing/>
              <w:mirrorIndents/>
              <w:rPr>
                <w:rFonts w:asciiTheme="majorHAnsi" w:hAnsiTheme="majorHAnsi" w:cs="Times New Roman"/>
              </w:rPr>
            </w:pPr>
            <w:r w:rsidRPr="00342080">
              <w:rPr>
                <w:rFonts w:asciiTheme="majorHAnsi" w:hAnsiTheme="majorHAnsi" w:cs="Times New Roman"/>
              </w:rPr>
              <w:t>80 000</w:t>
            </w:r>
          </w:p>
        </w:tc>
        <w:tc>
          <w:tcPr>
            <w:tcW w:w="4961" w:type="dxa"/>
            <w:tcBorders>
              <w:top w:val="single" w:sz="4" w:space="0" w:color="auto"/>
              <w:left w:val="nil"/>
              <w:bottom w:val="single" w:sz="4" w:space="0" w:color="auto"/>
              <w:right w:val="single" w:sz="4" w:space="0" w:color="auto"/>
            </w:tcBorders>
            <w:shd w:val="clear" w:color="auto" w:fill="auto"/>
          </w:tcPr>
          <w:p w14:paraId="03ACFB48" w14:textId="6FDC6A65" w:rsidR="00142706" w:rsidRPr="00342080" w:rsidRDefault="00142706" w:rsidP="00142706">
            <w:pPr>
              <w:shd w:val="clear" w:color="auto" w:fill="FFFFFF"/>
              <w:contextualSpacing/>
              <w:mirrorIndents/>
              <w:rPr>
                <w:rFonts w:asciiTheme="majorHAnsi" w:hAnsiTheme="majorHAnsi" w:cs="Times New Roman"/>
              </w:rPr>
            </w:pPr>
            <w:r w:rsidRPr="00342080">
              <w:rPr>
                <w:rFonts w:asciiTheme="majorHAnsi" w:hAnsiTheme="majorHAnsi" w:cs="Times New Roman"/>
              </w:rPr>
              <w:t xml:space="preserve">Tyrimas atliekamas, naudojant stulpelių korteles su </w:t>
            </w:r>
            <w:proofErr w:type="spellStart"/>
            <w:r w:rsidRPr="00342080">
              <w:rPr>
                <w:rFonts w:asciiTheme="majorHAnsi" w:hAnsiTheme="majorHAnsi" w:cs="Times New Roman"/>
              </w:rPr>
              <w:t>polispecifiniu</w:t>
            </w:r>
            <w:proofErr w:type="spellEnd"/>
            <w:r w:rsidRPr="00342080">
              <w:rPr>
                <w:rFonts w:asciiTheme="majorHAnsi" w:hAnsiTheme="majorHAnsi" w:cs="Times New Roman"/>
              </w:rPr>
              <w:t xml:space="preserve"> žmogaus </w:t>
            </w:r>
            <w:proofErr w:type="spellStart"/>
            <w:r w:rsidRPr="00342080">
              <w:rPr>
                <w:rFonts w:asciiTheme="majorHAnsi" w:hAnsiTheme="majorHAnsi" w:cs="Times New Roman"/>
              </w:rPr>
              <w:t>antiglobulinu</w:t>
            </w:r>
            <w:proofErr w:type="spellEnd"/>
            <w:r w:rsidRPr="00342080">
              <w:rPr>
                <w:rFonts w:asciiTheme="majorHAnsi" w:hAnsiTheme="majorHAnsi" w:cs="Times New Roman"/>
              </w:rPr>
              <w:t xml:space="preserve"> (</w:t>
            </w:r>
            <w:proofErr w:type="spellStart"/>
            <w:r w:rsidRPr="00342080">
              <w:rPr>
                <w:rFonts w:asciiTheme="majorHAnsi" w:hAnsiTheme="majorHAnsi" w:cs="Times New Roman"/>
              </w:rPr>
              <w:t>anti-IgG</w:t>
            </w:r>
            <w:proofErr w:type="spellEnd"/>
            <w:r w:rsidRPr="00342080">
              <w:rPr>
                <w:rFonts w:asciiTheme="majorHAnsi" w:hAnsiTheme="majorHAnsi" w:cs="Times New Roman"/>
              </w:rPr>
              <w:t xml:space="preserve"> ir anti-C3d).</w:t>
            </w:r>
          </w:p>
        </w:tc>
        <w:tc>
          <w:tcPr>
            <w:tcW w:w="3699" w:type="dxa"/>
            <w:tcBorders>
              <w:top w:val="single" w:sz="4" w:space="0" w:color="auto"/>
              <w:left w:val="nil"/>
              <w:bottom w:val="single" w:sz="4" w:space="0" w:color="auto"/>
              <w:right w:val="single" w:sz="4" w:space="0" w:color="auto"/>
            </w:tcBorders>
          </w:tcPr>
          <w:p w14:paraId="1E30A5D1" w14:textId="2AEBAC14" w:rsidR="00142706" w:rsidRPr="00342080" w:rsidRDefault="00142706" w:rsidP="00142706">
            <w:pPr>
              <w:shd w:val="clear" w:color="auto" w:fill="FFFFFF"/>
              <w:contextualSpacing/>
              <w:mirrorIndents/>
              <w:rPr>
                <w:rFonts w:asciiTheme="majorHAnsi" w:hAnsiTheme="majorHAnsi" w:cs="Times New Roman"/>
                <w:highlight w:val="yellow"/>
              </w:rPr>
            </w:pPr>
            <w:r w:rsidRPr="00342080">
              <w:rPr>
                <w:rFonts w:asciiTheme="majorHAnsi" w:hAnsiTheme="majorHAnsi" w:cs="Times New Roman"/>
                <w:i/>
              </w:rPr>
              <w:t>įrašo tiekėjas</w:t>
            </w:r>
          </w:p>
        </w:tc>
      </w:tr>
      <w:tr w:rsidR="00142706" w:rsidRPr="00342080" w14:paraId="6DA1DCB1"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3D560E05" w14:textId="30FD267B"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rPr>
              <w:t>1.10</w:t>
            </w:r>
          </w:p>
        </w:tc>
        <w:tc>
          <w:tcPr>
            <w:tcW w:w="3376" w:type="dxa"/>
            <w:tcBorders>
              <w:top w:val="single" w:sz="4" w:space="0" w:color="auto"/>
              <w:left w:val="nil"/>
              <w:bottom w:val="single" w:sz="4" w:space="0" w:color="auto"/>
              <w:right w:val="single" w:sz="4" w:space="0" w:color="auto"/>
            </w:tcBorders>
            <w:shd w:val="clear" w:color="auto" w:fill="auto"/>
          </w:tcPr>
          <w:p w14:paraId="2964A850" w14:textId="5FFD3DA1"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rPr>
              <w:t>Antikūnų prieš eritrocitų antigenus identifikavimas plazmoje</w:t>
            </w:r>
          </w:p>
        </w:tc>
        <w:tc>
          <w:tcPr>
            <w:tcW w:w="1549" w:type="dxa"/>
            <w:tcBorders>
              <w:top w:val="single" w:sz="4" w:space="0" w:color="auto"/>
              <w:left w:val="nil"/>
              <w:bottom w:val="single" w:sz="4" w:space="0" w:color="auto"/>
              <w:right w:val="single" w:sz="4" w:space="0" w:color="auto"/>
            </w:tcBorders>
            <w:shd w:val="clear" w:color="auto" w:fill="auto"/>
          </w:tcPr>
          <w:p w14:paraId="19F7B460" w14:textId="77777777" w:rsidR="00142706" w:rsidRPr="00342080" w:rsidRDefault="00142706" w:rsidP="00142706">
            <w:pPr>
              <w:shd w:val="clear" w:color="auto" w:fill="FFFFFF"/>
              <w:contextualSpacing/>
              <w:mirrorIndents/>
              <w:rPr>
                <w:rFonts w:asciiTheme="majorHAnsi" w:hAnsiTheme="majorHAnsi" w:cs="Times New Roman"/>
              </w:rPr>
            </w:pPr>
            <w:r w:rsidRPr="00342080">
              <w:rPr>
                <w:rFonts w:asciiTheme="majorHAnsi" w:hAnsiTheme="majorHAnsi" w:cs="Times New Roman"/>
              </w:rPr>
              <w:t>3 000</w:t>
            </w:r>
          </w:p>
          <w:p w14:paraId="1599DE61" w14:textId="2A1A1FD2" w:rsidR="00142706" w:rsidRPr="00342080" w:rsidRDefault="00142706" w:rsidP="00142706">
            <w:pPr>
              <w:shd w:val="clear" w:color="auto" w:fill="FFFFFF"/>
              <w:contextualSpacing/>
              <w:mirrorIndents/>
              <w:rPr>
                <w:rFonts w:asciiTheme="majorHAnsi" w:hAnsiTheme="majorHAnsi" w:cs="Times New Roman"/>
              </w:rPr>
            </w:pPr>
          </w:p>
        </w:tc>
        <w:tc>
          <w:tcPr>
            <w:tcW w:w="4961" w:type="dxa"/>
            <w:tcBorders>
              <w:top w:val="single" w:sz="4" w:space="0" w:color="auto"/>
              <w:left w:val="nil"/>
              <w:bottom w:val="single" w:sz="4" w:space="0" w:color="auto"/>
              <w:right w:val="single" w:sz="4" w:space="0" w:color="auto"/>
            </w:tcBorders>
            <w:shd w:val="clear" w:color="auto" w:fill="auto"/>
          </w:tcPr>
          <w:p w14:paraId="4AF4F67F" w14:textId="021DFFCF" w:rsidR="00142706" w:rsidRPr="00342080" w:rsidRDefault="00142706" w:rsidP="00142706">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rPr>
              <w:t xml:space="preserve">Tyrimas atliekamas, naudojant vienuolikos donorų standartinius eritrocitus ir stulpelių korteles su </w:t>
            </w:r>
            <w:proofErr w:type="spellStart"/>
            <w:r w:rsidRPr="00342080">
              <w:rPr>
                <w:rFonts w:asciiTheme="majorHAnsi" w:hAnsiTheme="majorHAnsi" w:cs="Times New Roman"/>
              </w:rPr>
              <w:t>polispecifiniu</w:t>
            </w:r>
            <w:proofErr w:type="spellEnd"/>
            <w:r w:rsidRPr="00342080">
              <w:rPr>
                <w:rFonts w:asciiTheme="majorHAnsi" w:hAnsiTheme="majorHAnsi" w:cs="Times New Roman"/>
              </w:rPr>
              <w:t xml:space="preserve"> žmogaus </w:t>
            </w:r>
            <w:proofErr w:type="spellStart"/>
            <w:r w:rsidRPr="00342080">
              <w:rPr>
                <w:rFonts w:asciiTheme="majorHAnsi" w:hAnsiTheme="majorHAnsi" w:cs="Times New Roman"/>
              </w:rPr>
              <w:t>antiglobulinu</w:t>
            </w:r>
            <w:proofErr w:type="spellEnd"/>
            <w:r w:rsidRPr="00342080">
              <w:rPr>
                <w:rFonts w:asciiTheme="majorHAnsi" w:hAnsiTheme="majorHAnsi" w:cs="Times New Roman"/>
              </w:rPr>
              <w:t xml:space="preserve"> (</w:t>
            </w:r>
            <w:proofErr w:type="spellStart"/>
            <w:r w:rsidRPr="00342080">
              <w:rPr>
                <w:rFonts w:asciiTheme="majorHAnsi" w:hAnsiTheme="majorHAnsi" w:cs="Times New Roman"/>
              </w:rPr>
              <w:t>anti-IgG</w:t>
            </w:r>
            <w:proofErr w:type="spellEnd"/>
            <w:r w:rsidRPr="00342080">
              <w:rPr>
                <w:rFonts w:asciiTheme="majorHAnsi" w:hAnsiTheme="majorHAnsi" w:cs="Times New Roman"/>
              </w:rPr>
              <w:t xml:space="preserve"> ir anti-C3d).</w:t>
            </w:r>
          </w:p>
        </w:tc>
        <w:tc>
          <w:tcPr>
            <w:tcW w:w="3699" w:type="dxa"/>
            <w:tcBorders>
              <w:top w:val="single" w:sz="4" w:space="0" w:color="auto"/>
              <w:left w:val="nil"/>
              <w:bottom w:val="single" w:sz="4" w:space="0" w:color="auto"/>
              <w:right w:val="single" w:sz="4" w:space="0" w:color="auto"/>
            </w:tcBorders>
          </w:tcPr>
          <w:p w14:paraId="32A13603" w14:textId="2E35569B" w:rsidR="00142706" w:rsidRPr="00342080" w:rsidRDefault="00142706" w:rsidP="00142706">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i/>
              </w:rPr>
              <w:t>įrašo tiekėjas</w:t>
            </w:r>
          </w:p>
        </w:tc>
      </w:tr>
      <w:tr w:rsidR="00142706" w:rsidRPr="00342080" w14:paraId="4F100C58" w14:textId="77777777" w:rsidTr="00194FC8">
        <w:trPr>
          <w:trHeight w:val="495"/>
        </w:trPr>
        <w:tc>
          <w:tcPr>
            <w:tcW w:w="882" w:type="dxa"/>
            <w:tcBorders>
              <w:top w:val="single" w:sz="4" w:space="0" w:color="auto"/>
              <w:left w:val="single" w:sz="4" w:space="0" w:color="auto"/>
              <w:bottom w:val="single" w:sz="4" w:space="0" w:color="auto"/>
              <w:right w:val="single" w:sz="4" w:space="0" w:color="auto"/>
            </w:tcBorders>
            <w:shd w:val="clear" w:color="auto" w:fill="auto"/>
          </w:tcPr>
          <w:p w14:paraId="759C56B4" w14:textId="65260119"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rPr>
              <w:t>1.11</w:t>
            </w:r>
          </w:p>
        </w:tc>
        <w:tc>
          <w:tcPr>
            <w:tcW w:w="3376" w:type="dxa"/>
            <w:tcBorders>
              <w:top w:val="single" w:sz="4" w:space="0" w:color="auto"/>
              <w:left w:val="nil"/>
              <w:bottom w:val="single" w:sz="4" w:space="0" w:color="auto"/>
              <w:right w:val="single" w:sz="4" w:space="0" w:color="auto"/>
            </w:tcBorders>
            <w:shd w:val="clear" w:color="auto" w:fill="auto"/>
          </w:tcPr>
          <w:p w14:paraId="09B72085" w14:textId="7B918FF2" w:rsidR="00142706" w:rsidRPr="00342080" w:rsidRDefault="00142706" w:rsidP="00142706">
            <w:pPr>
              <w:contextualSpacing/>
              <w:mirrorIndents/>
              <w:rPr>
                <w:rFonts w:asciiTheme="majorHAnsi" w:hAnsiTheme="majorHAnsi" w:cs="Times New Roman"/>
              </w:rPr>
            </w:pPr>
            <w:proofErr w:type="spellStart"/>
            <w:r w:rsidRPr="00342080">
              <w:rPr>
                <w:rFonts w:asciiTheme="majorHAnsi" w:hAnsiTheme="majorHAnsi" w:cs="Times New Roman"/>
              </w:rPr>
              <w:t>IgG</w:t>
            </w:r>
            <w:proofErr w:type="spellEnd"/>
            <w:r w:rsidRPr="00342080">
              <w:rPr>
                <w:rFonts w:asciiTheme="majorHAnsi" w:hAnsiTheme="majorHAnsi" w:cs="Times New Roman"/>
              </w:rPr>
              <w:t xml:space="preserve"> klasės antikūnų prieš A1 antigeną titro nustatymas</w:t>
            </w:r>
          </w:p>
        </w:tc>
        <w:tc>
          <w:tcPr>
            <w:tcW w:w="1549" w:type="dxa"/>
            <w:tcBorders>
              <w:top w:val="single" w:sz="4" w:space="0" w:color="auto"/>
              <w:left w:val="nil"/>
              <w:bottom w:val="single" w:sz="4" w:space="0" w:color="auto"/>
              <w:right w:val="single" w:sz="4" w:space="0" w:color="auto"/>
            </w:tcBorders>
            <w:shd w:val="clear" w:color="auto" w:fill="auto"/>
          </w:tcPr>
          <w:p w14:paraId="27D342AD" w14:textId="77777777" w:rsidR="00142706" w:rsidRPr="00342080" w:rsidRDefault="00142706" w:rsidP="00142706">
            <w:pPr>
              <w:shd w:val="clear" w:color="auto" w:fill="FFFFFF"/>
              <w:contextualSpacing/>
              <w:mirrorIndents/>
              <w:rPr>
                <w:rFonts w:asciiTheme="majorHAnsi" w:hAnsiTheme="majorHAnsi" w:cs="Times New Roman"/>
              </w:rPr>
            </w:pPr>
            <w:r w:rsidRPr="00342080">
              <w:rPr>
                <w:rFonts w:asciiTheme="majorHAnsi" w:hAnsiTheme="majorHAnsi" w:cs="Times New Roman"/>
              </w:rPr>
              <w:t>350</w:t>
            </w:r>
          </w:p>
          <w:p w14:paraId="51673BCC" w14:textId="6CAD616A" w:rsidR="00142706" w:rsidRPr="00342080" w:rsidRDefault="00142706" w:rsidP="00142706">
            <w:pPr>
              <w:shd w:val="clear" w:color="auto" w:fill="FFFFFF"/>
              <w:contextualSpacing/>
              <w:mirrorIndents/>
              <w:rPr>
                <w:rFonts w:asciiTheme="majorHAnsi" w:hAnsiTheme="majorHAnsi" w:cs="Times New Roman"/>
              </w:rPr>
            </w:pPr>
          </w:p>
        </w:tc>
        <w:tc>
          <w:tcPr>
            <w:tcW w:w="4961" w:type="dxa"/>
            <w:tcBorders>
              <w:top w:val="single" w:sz="4" w:space="0" w:color="auto"/>
              <w:left w:val="nil"/>
              <w:bottom w:val="single" w:sz="4" w:space="0" w:color="auto"/>
              <w:right w:val="single" w:sz="4" w:space="0" w:color="auto"/>
            </w:tcBorders>
            <w:shd w:val="clear" w:color="auto" w:fill="auto"/>
          </w:tcPr>
          <w:p w14:paraId="006DE4C5" w14:textId="551DEB5A" w:rsidR="00142706" w:rsidRPr="00342080" w:rsidRDefault="00142706" w:rsidP="00142706">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rPr>
              <w:t xml:space="preserve">Tyrimas atliekamas, naudojant stulpelių korteles su </w:t>
            </w:r>
            <w:proofErr w:type="spellStart"/>
            <w:r w:rsidRPr="00342080">
              <w:rPr>
                <w:rFonts w:asciiTheme="majorHAnsi" w:hAnsiTheme="majorHAnsi" w:cs="Times New Roman"/>
              </w:rPr>
              <w:t>polispecifiniu</w:t>
            </w:r>
            <w:proofErr w:type="spellEnd"/>
            <w:r w:rsidRPr="00342080">
              <w:rPr>
                <w:rFonts w:asciiTheme="majorHAnsi" w:hAnsiTheme="majorHAnsi" w:cs="Times New Roman"/>
              </w:rPr>
              <w:t xml:space="preserve"> žmogaus </w:t>
            </w:r>
            <w:proofErr w:type="spellStart"/>
            <w:r w:rsidRPr="00342080">
              <w:rPr>
                <w:rFonts w:asciiTheme="majorHAnsi" w:hAnsiTheme="majorHAnsi" w:cs="Times New Roman"/>
              </w:rPr>
              <w:t>antiglobulinu</w:t>
            </w:r>
            <w:proofErr w:type="spellEnd"/>
            <w:r w:rsidRPr="00342080">
              <w:rPr>
                <w:rFonts w:asciiTheme="majorHAnsi" w:hAnsiTheme="majorHAnsi" w:cs="Times New Roman"/>
              </w:rPr>
              <w:t xml:space="preserve"> (</w:t>
            </w:r>
            <w:proofErr w:type="spellStart"/>
            <w:r w:rsidRPr="00342080">
              <w:rPr>
                <w:rFonts w:asciiTheme="majorHAnsi" w:hAnsiTheme="majorHAnsi" w:cs="Times New Roman"/>
              </w:rPr>
              <w:t>anti-IgG</w:t>
            </w:r>
            <w:proofErr w:type="spellEnd"/>
            <w:r w:rsidRPr="00342080">
              <w:rPr>
                <w:rFonts w:asciiTheme="majorHAnsi" w:hAnsiTheme="majorHAnsi" w:cs="Times New Roman"/>
              </w:rPr>
              <w:t xml:space="preserve"> ir anti-C3d) ir 0,8 proc. standartinių eritrocitų A1 </w:t>
            </w:r>
            <w:proofErr w:type="spellStart"/>
            <w:r w:rsidRPr="00342080">
              <w:rPr>
                <w:rFonts w:asciiTheme="majorHAnsi" w:hAnsiTheme="majorHAnsi" w:cs="Times New Roman"/>
              </w:rPr>
              <w:t>suspenciją</w:t>
            </w:r>
            <w:proofErr w:type="spellEnd"/>
            <w:r w:rsidRPr="00342080">
              <w:rPr>
                <w:rFonts w:asciiTheme="majorHAnsi" w:hAnsiTheme="majorHAnsi" w:cs="Times New Roman"/>
              </w:rPr>
              <w:t>. Skiedimai atliekami ne mažiau kaip iki 1:1024.</w:t>
            </w:r>
          </w:p>
        </w:tc>
        <w:tc>
          <w:tcPr>
            <w:tcW w:w="3699" w:type="dxa"/>
            <w:tcBorders>
              <w:top w:val="single" w:sz="4" w:space="0" w:color="auto"/>
              <w:left w:val="nil"/>
              <w:bottom w:val="single" w:sz="4" w:space="0" w:color="auto"/>
              <w:right w:val="single" w:sz="4" w:space="0" w:color="auto"/>
            </w:tcBorders>
          </w:tcPr>
          <w:p w14:paraId="12EDFD03" w14:textId="4F483BE5" w:rsidR="00142706" w:rsidRPr="00342080" w:rsidRDefault="00142706" w:rsidP="00142706">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i/>
              </w:rPr>
              <w:t>įrašo tiekėjas</w:t>
            </w:r>
          </w:p>
        </w:tc>
      </w:tr>
      <w:tr w:rsidR="00142706" w:rsidRPr="00342080" w14:paraId="221180C5" w14:textId="77777777" w:rsidTr="00194FC8">
        <w:trPr>
          <w:trHeight w:val="366"/>
        </w:trPr>
        <w:tc>
          <w:tcPr>
            <w:tcW w:w="882" w:type="dxa"/>
            <w:tcBorders>
              <w:top w:val="single" w:sz="4" w:space="0" w:color="auto"/>
              <w:left w:val="single" w:sz="4" w:space="0" w:color="auto"/>
              <w:bottom w:val="single" w:sz="4" w:space="0" w:color="auto"/>
              <w:right w:val="single" w:sz="4" w:space="0" w:color="auto"/>
            </w:tcBorders>
            <w:shd w:val="clear" w:color="auto" w:fill="auto"/>
          </w:tcPr>
          <w:p w14:paraId="35B67069" w14:textId="7E04FE9C"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rPr>
              <w:t>1.12</w:t>
            </w:r>
          </w:p>
        </w:tc>
        <w:tc>
          <w:tcPr>
            <w:tcW w:w="3376" w:type="dxa"/>
            <w:tcBorders>
              <w:top w:val="single" w:sz="4" w:space="0" w:color="auto"/>
              <w:left w:val="nil"/>
              <w:bottom w:val="single" w:sz="4" w:space="0" w:color="auto"/>
              <w:right w:val="single" w:sz="4" w:space="0" w:color="auto"/>
            </w:tcBorders>
            <w:shd w:val="clear" w:color="auto" w:fill="auto"/>
          </w:tcPr>
          <w:p w14:paraId="3303459C" w14:textId="6A3E856D" w:rsidR="00142706" w:rsidRPr="00342080" w:rsidRDefault="00142706" w:rsidP="00142706">
            <w:pPr>
              <w:contextualSpacing/>
              <w:mirrorIndents/>
              <w:rPr>
                <w:rFonts w:asciiTheme="majorHAnsi" w:hAnsiTheme="majorHAnsi" w:cs="Times New Roman"/>
              </w:rPr>
            </w:pPr>
            <w:proofErr w:type="spellStart"/>
            <w:r w:rsidRPr="00342080">
              <w:rPr>
                <w:rFonts w:asciiTheme="majorHAnsi" w:hAnsiTheme="majorHAnsi" w:cs="Times New Roman"/>
              </w:rPr>
              <w:t>IgG</w:t>
            </w:r>
            <w:proofErr w:type="spellEnd"/>
            <w:r w:rsidRPr="00342080">
              <w:rPr>
                <w:rFonts w:asciiTheme="majorHAnsi" w:hAnsiTheme="majorHAnsi" w:cs="Times New Roman"/>
              </w:rPr>
              <w:t xml:space="preserve"> klasės antikūnų prieš B antigeną titro nustatymas</w:t>
            </w:r>
          </w:p>
        </w:tc>
        <w:tc>
          <w:tcPr>
            <w:tcW w:w="1549" w:type="dxa"/>
            <w:tcBorders>
              <w:top w:val="single" w:sz="4" w:space="0" w:color="auto"/>
              <w:left w:val="nil"/>
              <w:bottom w:val="single" w:sz="4" w:space="0" w:color="auto"/>
              <w:right w:val="single" w:sz="4" w:space="0" w:color="auto"/>
            </w:tcBorders>
            <w:shd w:val="clear" w:color="auto" w:fill="auto"/>
          </w:tcPr>
          <w:p w14:paraId="27AA23AF" w14:textId="77777777" w:rsidR="00142706" w:rsidRPr="00342080" w:rsidRDefault="00142706" w:rsidP="00142706">
            <w:pPr>
              <w:shd w:val="clear" w:color="auto" w:fill="FFFFFF"/>
              <w:contextualSpacing/>
              <w:mirrorIndents/>
              <w:rPr>
                <w:rFonts w:asciiTheme="majorHAnsi" w:hAnsiTheme="majorHAnsi" w:cs="Times New Roman"/>
              </w:rPr>
            </w:pPr>
            <w:r w:rsidRPr="00342080">
              <w:rPr>
                <w:rFonts w:asciiTheme="majorHAnsi" w:hAnsiTheme="majorHAnsi" w:cs="Times New Roman"/>
              </w:rPr>
              <w:t>350</w:t>
            </w:r>
          </w:p>
          <w:p w14:paraId="49B57A48" w14:textId="77777777" w:rsidR="00142706" w:rsidRPr="00342080" w:rsidRDefault="00142706" w:rsidP="00142706">
            <w:pPr>
              <w:shd w:val="clear" w:color="auto" w:fill="FFFFFF"/>
              <w:contextualSpacing/>
              <w:mirrorIndents/>
              <w:rPr>
                <w:rFonts w:asciiTheme="majorHAnsi" w:hAnsiTheme="majorHAnsi" w:cs="Times New Roman"/>
                <w:color w:val="FF0000"/>
              </w:rPr>
            </w:pPr>
          </w:p>
        </w:tc>
        <w:tc>
          <w:tcPr>
            <w:tcW w:w="4961" w:type="dxa"/>
            <w:tcBorders>
              <w:top w:val="single" w:sz="4" w:space="0" w:color="auto"/>
              <w:left w:val="nil"/>
              <w:bottom w:val="single" w:sz="4" w:space="0" w:color="auto"/>
              <w:right w:val="single" w:sz="4" w:space="0" w:color="auto"/>
            </w:tcBorders>
            <w:shd w:val="clear" w:color="auto" w:fill="auto"/>
          </w:tcPr>
          <w:p w14:paraId="5220E882" w14:textId="3081F9BA" w:rsidR="00142706" w:rsidRPr="00342080" w:rsidRDefault="00142706" w:rsidP="00142706">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rPr>
              <w:t xml:space="preserve">Tyrimas atliekamas, naudojant stulpelių korteles su </w:t>
            </w:r>
            <w:proofErr w:type="spellStart"/>
            <w:r w:rsidRPr="00342080">
              <w:rPr>
                <w:rFonts w:asciiTheme="majorHAnsi" w:hAnsiTheme="majorHAnsi" w:cs="Times New Roman"/>
              </w:rPr>
              <w:t>polispecifiniu</w:t>
            </w:r>
            <w:proofErr w:type="spellEnd"/>
            <w:r w:rsidRPr="00342080">
              <w:rPr>
                <w:rFonts w:asciiTheme="majorHAnsi" w:hAnsiTheme="majorHAnsi" w:cs="Times New Roman"/>
              </w:rPr>
              <w:t xml:space="preserve"> žmogaus </w:t>
            </w:r>
            <w:proofErr w:type="spellStart"/>
            <w:r w:rsidRPr="00342080">
              <w:rPr>
                <w:rFonts w:asciiTheme="majorHAnsi" w:hAnsiTheme="majorHAnsi" w:cs="Times New Roman"/>
              </w:rPr>
              <w:t>antiglobulinu</w:t>
            </w:r>
            <w:proofErr w:type="spellEnd"/>
            <w:r w:rsidRPr="00342080">
              <w:rPr>
                <w:rFonts w:asciiTheme="majorHAnsi" w:hAnsiTheme="majorHAnsi" w:cs="Times New Roman"/>
              </w:rPr>
              <w:t xml:space="preserve"> (</w:t>
            </w:r>
            <w:proofErr w:type="spellStart"/>
            <w:r w:rsidRPr="00342080">
              <w:rPr>
                <w:rFonts w:asciiTheme="majorHAnsi" w:hAnsiTheme="majorHAnsi" w:cs="Times New Roman"/>
              </w:rPr>
              <w:t>anti-IgG</w:t>
            </w:r>
            <w:proofErr w:type="spellEnd"/>
            <w:r w:rsidRPr="00342080">
              <w:rPr>
                <w:rFonts w:asciiTheme="majorHAnsi" w:hAnsiTheme="majorHAnsi" w:cs="Times New Roman"/>
              </w:rPr>
              <w:t xml:space="preserve"> ir anti-C3d) ir 0,8 proc. standartinių eritrocitų B </w:t>
            </w:r>
            <w:proofErr w:type="spellStart"/>
            <w:r w:rsidRPr="00342080">
              <w:rPr>
                <w:rFonts w:asciiTheme="majorHAnsi" w:hAnsiTheme="majorHAnsi" w:cs="Times New Roman"/>
              </w:rPr>
              <w:t>suspenciją</w:t>
            </w:r>
            <w:proofErr w:type="spellEnd"/>
            <w:r w:rsidRPr="00342080">
              <w:rPr>
                <w:rFonts w:asciiTheme="majorHAnsi" w:hAnsiTheme="majorHAnsi" w:cs="Times New Roman"/>
              </w:rPr>
              <w:t>. Skiedimai atliekami ne mažiau kaip iki 1:1024.</w:t>
            </w:r>
          </w:p>
        </w:tc>
        <w:tc>
          <w:tcPr>
            <w:tcW w:w="3699" w:type="dxa"/>
            <w:tcBorders>
              <w:top w:val="single" w:sz="4" w:space="0" w:color="auto"/>
              <w:left w:val="nil"/>
              <w:bottom w:val="single" w:sz="4" w:space="0" w:color="auto"/>
              <w:right w:val="single" w:sz="4" w:space="0" w:color="auto"/>
            </w:tcBorders>
          </w:tcPr>
          <w:p w14:paraId="5384A096" w14:textId="212E93E3" w:rsidR="00142706" w:rsidRPr="00342080" w:rsidRDefault="00142706" w:rsidP="00142706">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i/>
              </w:rPr>
              <w:t>įrašo tiekėjas</w:t>
            </w:r>
          </w:p>
        </w:tc>
      </w:tr>
      <w:tr w:rsidR="001A3015" w:rsidRPr="00342080" w14:paraId="028D74C4"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1485DD16" w14:textId="20A8A168" w:rsidR="001A3015" w:rsidRPr="00342080" w:rsidRDefault="005E3D09" w:rsidP="00655158">
            <w:pPr>
              <w:contextualSpacing/>
              <w:mirrorIndents/>
              <w:rPr>
                <w:rFonts w:asciiTheme="majorHAnsi" w:hAnsiTheme="majorHAnsi" w:cs="Times New Roman"/>
              </w:rPr>
            </w:pPr>
            <w:r w:rsidRPr="00342080">
              <w:rPr>
                <w:rFonts w:asciiTheme="majorHAnsi" w:hAnsiTheme="majorHAnsi" w:cs="Times New Roman"/>
              </w:rPr>
              <w:t>1.</w:t>
            </w:r>
            <w:r w:rsidR="001A3015" w:rsidRPr="00342080">
              <w:rPr>
                <w:rFonts w:asciiTheme="majorHAnsi" w:hAnsiTheme="majorHAnsi" w:cs="Times New Roman"/>
              </w:rPr>
              <w:t>13</w:t>
            </w:r>
          </w:p>
        </w:tc>
        <w:tc>
          <w:tcPr>
            <w:tcW w:w="3376" w:type="dxa"/>
            <w:tcBorders>
              <w:top w:val="single" w:sz="4" w:space="0" w:color="auto"/>
              <w:left w:val="nil"/>
              <w:bottom w:val="single" w:sz="4" w:space="0" w:color="auto"/>
              <w:right w:val="single" w:sz="4" w:space="0" w:color="auto"/>
            </w:tcBorders>
            <w:shd w:val="clear" w:color="auto" w:fill="auto"/>
          </w:tcPr>
          <w:p w14:paraId="6E7F4E76" w14:textId="04451B8C" w:rsidR="001A3015" w:rsidRPr="00342080" w:rsidRDefault="001A3015" w:rsidP="00655158">
            <w:pPr>
              <w:contextualSpacing/>
              <w:mirrorIndents/>
              <w:rPr>
                <w:rFonts w:asciiTheme="majorHAnsi" w:hAnsiTheme="majorHAnsi" w:cs="Times New Roman"/>
              </w:rPr>
            </w:pPr>
            <w:proofErr w:type="spellStart"/>
            <w:r w:rsidRPr="00342080">
              <w:rPr>
                <w:rFonts w:asciiTheme="majorHAnsi" w:hAnsiTheme="majorHAnsi" w:cs="Times New Roman"/>
              </w:rPr>
              <w:t>IgM</w:t>
            </w:r>
            <w:proofErr w:type="spellEnd"/>
            <w:r w:rsidRPr="00342080">
              <w:rPr>
                <w:rFonts w:asciiTheme="majorHAnsi" w:hAnsiTheme="majorHAnsi" w:cs="Times New Roman"/>
              </w:rPr>
              <w:t xml:space="preserve"> klasės antikūnų prieš A1 antigeną titro nustatymas</w:t>
            </w:r>
          </w:p>
        </w:tc>
        <w:tc>
          <w:tcPr>
            <w:tcW w:w="1549" w:type="dxa"/>
            <w:tcBorders>
              <w:top w:val="single" w:sz="4" w:space="0" w:color="auto"/>
              <w:left w:val="nil"/>
              <w:bottom w:val="single" w:sz="4" w:space="0" w:color="auto"/>
              <w:right w:val="single" w:sz="4" w:space="0" w:color="auto"/>
            </w:tcBorders>
            <w:shd w:val="clear" w:color="auto" w:fill="auto"/>
          </w:tcPr>
          <w:p w14:paraId="7F1D3F98" w14:textId="77777777" w:rsidR="001A3015" w:rsidRPr="00342080" w:rsidRDefault="001A3015" w:rsidP="00655158">
            <w:pPr>
              <w:shd w:val="clear" w:color="auto" w:fill="FFFFFF"/>
              <w:contextualSpacing/>
              <w:mirrorIndents/>
              <w:rPr>
                <w:rFonts w:asciiTheme="majorHAnsi" w:hAnsiTheme="majorHAnsi" w:cs="Times New Roman"/>
              </w:rPr>
            </w:pPr>
            <w:r w:rsidRPr="00342080">
              <w:rPr>
                <w:rFonts w:asciiTheme="majorHAnsi" w:hAnsiTheme="majorHAnsi" w:cs="Times New Roman"/>
              </w:rPr>
              <w:t>350</w:t>
            </w:r>
          </w:p>
          <w:p w14:paraId="6FCE227E" w14:textId="77777777" w:rsidR="001A3015" w:rsidRPr="00342080" w:rsidRDefault="001A3015" w:rsidP="00655158">
            <w:pPr>
              <w:shd w:val="clear" w:color="auto" w:fill="FFFFFF"/>
              <w:contextualSpacing/>
              <w:mirrorIndents/>
              <w:rPr>
                <w:rFonts w:asciiTheme="majorHAnsi" w:hAnsiTheme="majorHAnsi" w:cs="Times New Roman"/>
                <w:color w:val="FF0000"/>
                <w:highlight w:val="yellow"/>
              </w:rPr>
            </w:pPr>
          </w:p>
        </w:tc>
        <w:tc>
          <w:tcPr>
            <w:tcW w:w="4961" w:type="dxa"/>
            <w:tcBorders>
              <w:top w:val="single" w:sz="4" w:space="0" w:color="auto"/>
              <w:left w:val="nil"/>
              <w:bottom w:val="single" w:sz="4" w:space="0" w:color="auto"/>
              <w:right w:val="single" w:sz="4" w:space="0" w:color="auto"/>
            </w:tcBorders>
            <w:shd w:val="clear" w:color="auto" w:fill="auto"/>
          </w:tcPr>
          <w:p w14:paraId="520E35E8" w14:textId="055623D9" w:rsidR="001A3015" w:rsidRPr="00342080" w:rsidRDefault="001A3015" w:rsidP="00655158">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rPr>
              <w:t xml:space="preserve">Tyrimas atliekamas, naudojant stulpelių </w:t>
            </w:r>
            <w:r w:rsidR="00364E79" w:rsidRPr="00342080">
              <w:rPr>
                <w:rFonts w:asciiTheme="majorHAnsi" w:hAnsiTheme="majorHAnsi" w:cs="Times New Roman"/>
              </w:rPr>
              <w:t>kor</w:t>
            </w:r>
            <w:r w:rsidRPr="00342080">
              <w:rPr>
                <w:rFonts w:asciiTheme="majorHAnsi" w:hAnsiTheme="majorHAnsi" w:cs="Times New Roman"/>
              </w:rPr>
              <w:t xml:space="preserve">teles šalčio agliutininams nustatyti ir 0,8 proc. </w:t>
            </w:r>
            <w:r w:rsidRPr="00342080">
              <w:rPr>
                <w:rFonts w:asciiTheme="majorHAnsi" w:hAnsiTheme="majorHAnsi" w:cs="Times New Roman"/>
              </w:rPr>
              <w:lastRenderedPageBreak/>
              <w:t xml:space="preserve">standartinių eritrocitų A1 </w:t>
            </w:r>
            <w:proofErr w:type="spellStart"/>
            <w:r w:rsidRPr="00342080">
              <w:rPr>
                <w:rFonts w:asciiTheme="majorHAnsi" w:hAnsiTheme="majorHAnsi" w:cs="Times New Roman"/>
              </w:rPr>
              <w:t>suspencij</w:t>
            </w:r>
            <w:r w:rsidR="00CD3FC8" w:rsidRPr="00342080">
              <w:rPr>
                <w:rFonts w:asciiTheme="majorHAnsi" w:hAnsiTheme="majorHAnsi" w:cs="Times New Roman"/>
              </w:rPr>
              <w:t>ą</w:t>
            </w:r>
            <w:proofErr w:type="spellEnd"/>
            <w:r w:rsidRPr="00342080">
              <w:rPr>
                <w:rFonts w:asciiTheme="majorHAnsi" w:hAnsiTheme="majorHAnsi" w:cs="Times New Roman"/>
              </w:rPr>
              <w:t xml:space="preserve">. </w:t>
            </w:r>
            <w:r w:rsidR="00926506" w:rsidRPr="00342080">
              <w:rPr>
                <w:rFonts w:asciiTheme="majorHAnsi" w:hAnsiTheme="majorHAnsi" w:cs="Times New Roman"/>
              </w:rPr>
              <w:t>Skiedimai atliekami ne mažiau kaip iki 1:1024</w:t>
            </w:r>
            <w:r w:rsidR="00E23737" w:rsidRPr="00342080">
              <w:rPr>
                <w:rFonts w:asciiTheme="majorHAnsi" w:hAnsiTheme="majorHAnsi" w:cs="Times New Roman"/>
              </w:rPr>
              <w:t>.</w:t>
            </w:r>
          </w:p>
        </w:tc>
        <w:tc>
          <w:tcPr>
            <w:tcW w:w="3699" w:type="dxa"/>
            <w:tcBorders>
              <w:top w:val="single" w:sz="4" w:space="0" w:color="auto"/>
              <w:left w:val="nil"/>
              <w:bottom w:val="single" w:sz="4" w:space="0" w:color="auto"/>
              <w:right w:val="single" w:sz="4" w:space="0" w:color="auto"/>
            </w:tcBorders>
          </w:tcPr>
          <w:p w14:paraId="0636E21F" w14:textId="36A6FB93" w:rsidR="001A3015" w:rsidRPr="00342080" w:rsidRDefault="00142706" w:rsidP="00655158">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i/>
              </w:rPr>
              <w:lastRenderedPageBreak/>
              <w:t>įrašo tiekėjas</w:t>
            </w:r>
          </w:p>
        </w:tc>
      </w:tr>
      <w:tr w:rsidR="00142706" w:rsidRPr="00342080" w14:paraId="26934C28"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07C52AD8" w14:textId="0044DAA4"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rPr>
              <w:t>1.14</w:t>
            </w:r>
          </w:p>
        </w:tc>
        <w:tc>
          <w:tcPr>
            <w:tcW w:w="3376" w:type="dxa"/>
            <w:tcBorders>
              <w:top w:val="single" w:sz="4" w:space="0" w:color="auto"/>
              <w:left w:val="nil"/>
              <w:bottom w:val="single" w:sz="4" w:space="0" w:color="auto"/>
              <w:right w:val="single" w:sz="4" w:space="0" w:color="auto"/>
            </w:tcBorders>
            <w:shd w:val="clear" w:color="auto" w:fill="auto"/>
          </w:tcPr>
          <w:p w14:paraId="32095752" w14:textId="2D507FD7" w:rsidR="00142706" w:rsidRPr="00342080" w:rsidRDefault="00142706" w:rsidP="00142706">
            <w:pPr>
              <w:contextualSpacing/>
              <w:mirrorIndents/>
              <w:rPr>
                <w:rFonts w:asciiTheme="majorHAnsi" w:hAnsiTheme="majorHAnsi" w:cs="Times New Roman"/>
              </w:rPr>
            </w:pPr>
            <w:proofErr w:type="spellStart"/>
            <w:r w:rsidRPr="00342080">
              <w:rPr>
                <w:rFonts w:asciiTheme="majorHAnsi" w:hAnsiTheme="majorHAnsi" w:cs="Times New Roman"/>
              </w:rPr>
              <w:t>IgM</w:t>
            </w:r>
            <w:proofErr w:type="spellEnd"/>
            <w:r w:rsidRPr="00342080">
              <w:rPr>
                <w:rFonts w:asciiTheme="majorHAnsi" w:hAnsiTheme="majorHAnsi" w:cs="Times New Roman"/>
              </w:rPr>
              <w:t xml:space="preserve"> klasės antikūnų prieš B antigeną titro nustatymas</w:t>
            </w:r>
          </w:p>
        </w:tc>
        <w:tc>
          <w:tcPr>
            <w:tcW w:w="1549" w:type="dxa"/>
            <w:tcBorders>
              <w:top w:val="single" w:sz="4" w:space="0" w:color="auto"/>
              <w:left w:val="nil"/>
              <w:bottom w:val="single" w:sz="4" w:space="0" w:color="auto"/>
              <w:right w:val="single" w:sz="4" w:space="0" w:color="auto"/>
            </w:tcBorders>
            <w:shd w:val="clear" w:color="auto" w:fill="auto"/>
          </w:tcPr>
          <w:p w14:paraId="0994F30B" w14:textId="77777777" w:rsidR="00142706" w:rsidRPr="00342080" w:rsidRDefault="00142706" w:rsidP="00142706">
            <w:pPr>
              <w:shd w:val="clear" w:color="auto" w:fill="FFFFFF"/>
              <w:contextualSpacing/>
              <w:mirrorIndents/>
              <w:rPr>
                <w:rFonts w:asciiTheme="majorHAnsi" w:hAnsiTheme="majorHAnsi" w:cs="Times New Roman"/>
              </w:rPr>
            </w:pPr>
            <w:r w:rsidRPr="00342080">
              <w:rPr>
                <w:rFonts w:asciiTheme="majorHAnsi" w:hAnsiTheme="majorHAnsi" w:cs="Times New Roman"/>
              </w:rPr>
              <w:t>350</w:t>
            </w:r>
          </w:p>
          <w:p w14:paraId="4381D949" w14:textId="77777777" w:rsidR="00142706" w:rsidRPr="00342080" w:rsidRDefault="00142706" w:rsidP="00142706">
            <w:pPr>
              <w:shd w:val="clear" w:color="auto" w:fill="FFFFFF"/>
              <w:contextualSpacing/>
              <w:mirrorIndents/>
              <w:rPr>
                <w:rFonts w:asciiTheme="majorHAnsi" w:hAnsiTheme="majorHAnsi" w:cs="Times New Roman"/>
                <w:color w:val="FF0000"/>
                <w:highlight w:val="yellow"/>
              </w:rPr>
            </w:pPr>
          </w:p>
        </w:tc>
        <w:tc>
          <w:tcPr>
            <w:tcW w:w="4961" w:type="dxa"/>
            <w:tcBorders>
              <w:top w:val="single" w:sz="4" w:space="0" w:color="auto"/>
              <w:left w:val="nil"/>
              <w:bottom w:val="single" w:sz="4" w:space="0" w:color="auto"/>
              <w:right w:val="single" w:sz="4" w:space="0" w:color="auto"/>
            </w:tcBorders>
            <w:shd w:val="clear" w:color="auto" w:fill="auto"/>
          </w:tcPr>
          <w:p w14:paraId="677993A1" w14:textId="54A9F60D" w:rsidR="00142706" w:rsidRPr="00342080" w:rsidRDefault="00142706" w:rsidP="00142706">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rPr>
              <w:t xml:space="preserve">Tyrimas atliekamas, naudojant stulpelių korteles šalčio agliutininams nustatyti ir 0,8 proc. standartinių eritrocitų B </w:t>
            </w:r>
            <w:proofErr w:type="spellStart"/>
            <w:r w:rsidRPr="00342080">
              <w:rPr>
                <w:rFonts w:asciiTheme="majorHAnsi" w:hAnsiTheme="majorHAnsi" w:cs="Times New Roman"/>
              </w:rPr>
              <w:t>suspenciją</w:t>
            </w:r>
            <w:proofErr w:type="spellEnd"/>
            <w:r w:rsidRPr="00342080">
              <w:rPr>
                <w:rFonts w:asciiTheme="majorHAnsi" w:hAnsiTheme="majorHAnsi" w:cs="Times New Roman"/>
              </w:rPr>
              <w:t>. Skiedimai atliekami ne mažiau kaip iki 1:1024</w:t>
            </w:r>
          </w:p>
        </w:tc>
        <w:tc>
          <w:tcPr>
            <w:tcW w:w="3699" w:type="dxa"/>
            <w:tcBorders>
              <w:top w:val="single" w:sz="4" w:space="0" w:color="auto"/>
              <w:left w:val="nil"/>
              <w:bottom w:val="single" w:sz="4" w:space="0" w:color="auto"/>
              <w:right w:val="single" w:sz="4" w:space="0" w:color="auto"/>
            </w:tcBorders>
          </w:tcPr>
          <w:p w14:paraId="3E21825F" w14:textId="04C78D6D" w:rsidR="00142706" w:rsidRPr="00342080" w:rsidRDefault="00142706" w:rsidP="00142706">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i/>
              </w:rPr>
              <w:t>įrašo tiekėjas</w:t>
            </w:r>
          </w:p>
        </w:tc>
      </w:tr>
      <w:tr w:rsidR="00142706" w:rsidRPr="00342080" w14:paraId="2F50DEAB"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7BDD659B" w14:textId="6C848078"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rPr>
              <w:t>1.15</w:t>
            </w:r>
          </w:p>
        </w:tc>
        <w:tc>
          <w:tcPr>
            <w:tcW w:w="3376" w:type="dxa"/>
            <w:tcBorders>
              <w:top w:val="single" w:sz="4" w:space="0" w:color="auto"/>
              <w:left w:val="nil"/>
              <w:bottom w:val="single" w:sz="4" w:space="0" w:color="auto"/>
              <w:right w:val="single" w:sz="4" w:space="0" w:color="auto"/>
            </w:tcBorders>
            <w:shd w:val="clear" w:color="auto" w:fill="auto"/>
          </w:tcPr>
          <w:p w14:paraId="778FEBA8" w14:textId="2F5D674B"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rPr>
              <w:t>Antikūnų prieš eritrocitų antigenus titro nustatymas, plazmoje</w:t>
            </w:r>
          </w:p>
        </w:tc>
        <w:tc>
          <w:tcPr>
            <w:tcW w:w="1549" w:type="dxa"/>
            <w:tcBorders>
              <w:top w:val="single" w:sz="4" w:space="0" w:color="auto"/>
              <w:left w:val="nil"/>
              <w:bottom w:val="single" w:sz="4" w:space="0" w:color="auto"/>
              <w:right w:val="single" w:sz="4" w:space="0" w:color="auto"/>
            </w:tcBorders>
            <w:shd w:val="clear" w:color="auto" w:fill="auto"/>
          </w:tcPr>
          <w:p w14:paraId="06BF7CA4" w14:textId="77777777" w:rsidR="00142706" w:rsidRPr="00342080" w:rsidRDefault="00142706" w:rsidP="00142706">
            <w:pPr>
              <w:shd w:val="clear" w:color="auto" w:fill="FFFFFF"/>
              <w:contextualSpacing/>
              <w:mirrorIndents/>
              <w:rPr>
                <w:rFonts w:asciiTheme="majorHAnsi" w:hAnsiTheme="majorHAnsi" w:cs="Times New Roman"/>
              </w:rPr>
            </w:pPr>
            <w:r w:rsidRPr="00342080">
              <w:rPr>
                <w:rFonts w:asciiTheme="majorHAnsi" w:hAnsiTheme="majorHAnsi" w:cs="Times New Roman"/>
              </w:rPr>
              <w:t>600</w:t>
            </w:r>
          </w:p>
          <w:p w14:paraId="1900E175" w14:textId="77777777" w:rsidR="00142706" w:rsidRPr="00342080" w:rsidRDefault="00142706" w:rsidP="00142706">
            <w:pPr>
              <w:shd w:val="clear" w:color="auto" w:fill="FFFFFF"/>
              <w:contextualSpacing/>
              <w:mirrorIndents/>
              <w:rPr>
                <w:rFonts w:asciiTheme="majorHAnsi" w:hAnsiTheme="majorHAnsi" w:cs="Times New Roman"/>
                <w:color w:val="FF0000"/>
              </w:rPr>
            </w:pPr>
          </w:p>
        </w:tc>
        <w:tc>
          <w:tcPr>
            <w:tcW w:w="4961" w:type="dxa"/>
            <w:tcBorders>
              <w:top w:val="single" w:sz="4" w:space="0" w:color="auto"/>
              <w:left w:val="nil"/>
              <w:bottom w:val="single" w:sz="4" w:space="0" w:color="auto"/>
              <w:right w:val="single" w:sz="4" w:space="0" w:color="auto"/>
            </w:tcBorders>
            <w:shd w:val="clear" w:color="auto" w:fill="auto"/>
          </w:tcPr>
          <w:p w14:paraId="51D61753" w14:textId="7472045A"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rPr>
              <w:t xml:space="preserve">Tyrimas atliekamas, naudojant vieno iš trijų donorų standartinius eritrocitus ir stulpelių korteles su </w:t>
            </w:r>
            <w:proofErr w:type="spellStart"/>
            <w:r w:rsidRPr="00342080">
              <w:rPr>
                <w:rFonts w:asciiTheme="majorHAnsi" w:hAnsiTheme="majorHAnsi" w:cs="Times New Roman"/>
              </w:rPr>
              <w:t>polispecifiniu</w:t>
            </w:r>
            <w:proofErr w:type="spellEnd"/>
            <w:r w:rsidRPr="00342080">
              <w:rPr>
                <w:rFonts w:asciiTheme="majorHAnsi" w:hAnsiTheme="majorHAnsi" w:cs="Times New Roman"/>
              </w:rPr>
              <w:t xml:space="preserve"> žmogaus </w:t>
            </w:r>
            <w:proofErr w:type="spellStart"/>
            <w:r w:rsidRPr="00342080">
              <w:rPr>
                <w:rFonts w:asciiTheme="majorHAnsi" w:hAnsiTheme="majorHAnsi" w:cs="Times New Roman"/>
              </w:rPr>
              <w:t>antiglobulinu</w:t>
            </w:r>
            <w:proofErr w:type="spellEnd"/>
            <w:r w:rsidRPr="00342080">
              <w:rPr>
                <w:rFonts w:asciiTheme="majorHAnsi" w:hAnsiTheme="majorHAnsi" w:cs="Times New Roman"/>
              </w:rPr>
              <w:t xml:space="preserve"> (</w:t>
            </w:r>
            <w:proofErr w:type="spellStart"/>
            <w:r w:rsidRPr="00342080">
              <w:rPr>
                <w:rFonts w:asciiTheme="majorHAnsi" w:hAnsiTheme="majorHAnsi" w:cs="Times New Roman"/>
              </w:rPr>
              <w:t>anti-IgG</w:t>
            </w:r>
            <w:proofErr w:type="spellEnd"/>
            <w:r w:rsidRPr="00342080">
              <w:rPr>
                <w:rFonts w:asciiTheme="majorHAnsi" w:hAnsiTheme="majorHAnsi" w:cs="Times New Roman"/>
              </w:rPr>
              <w:t xml:space="preserve"> ir anti-C3d). Skiedimai atliekami ne mažiau kaip iki 1:1024</w:t>
            </w:r>
          </w:p>
        </w:tc>
        <w:tc>
          <w:tcPr>
            <w:tcW w:w="3699" w:type="dxa"/>
            <w:tcBorders>
              <w:top w:val="single" w:sz="4" w:space="0" w:color="auto"/>
              <w:left w:val="nil"/>
              <w:bottom w:val="single" w:sz="4" w:space="0" w:color="auto"/>
              <w:right w:val="single" w:sz="4" w:space="0" w:color="auto"/>
            </w:tcBorders>
          </w:tcPr>
          <w:p w14:paraId="1D49B27B" w14:textId="7689340F"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i/>
              </w:rPr>
              <w:t>įrašo tiekėjas</w:t>
            </w:r>
          </w:p>
        </w:tc>
      </w:tr>
      <w:tr w:rsidR="00142706" w:rsidRPr="00342080" w14:paraId="3C316BC7"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4C7B129F" w14:textId="324172F5"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rPr>
              <w:t>1.16</w:t>
            </w:r>
          </w:p>
        </w:tc>
        <w:tc>
          <w:tcPr>
            <w:tcW w:w="3376" w:type="dxa"/>
            <w:tcBorders>
              <w:top w:val="single" w:sz="4" w:space="0" w:color="auto"/>
              <w:left w:val="nil"/>
              <w:bottom w:val="single" w:sz="4" w:space="0" w:color="auto"/>
              <w:right w:val="single" w:sz="4" w:space="0" w:color="auto"/>
            </w:tcBorders>
            <w:shd w:val="clear" w:color="auto" w:fill="auto"/>
          </w:tcPr>
          <w:p w14:paraId="28864910" w14:textId="57F0912E"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rPr>
              <w:t xml:space="preserve">Tiesioginis </w:t>
            </w:r>
            <w:proofErr w:type="spellStart"/>
            <w:r w:rsidRPr="00342080">
              <w:rPr>
                <w:rFonts w:asciiTheme="majorHAnsi" w:hAnsiTheme="majorHAnsi" w:cs="Times New Roman"/>
              </w:rPr>
              <w:t>antiglobulino</w:t>
            </w:r>
            <w:proofErr w:type="spellEnd"/>
            <w:r w:rsidRPr="00342080">
              <w:rPr>
                <w:rFonts w:asciiTheme="majorHAnsi" w:hAnsiTheme="majorHAnsi" w:cs="Times New Roman"/>
              </w:rPr>
              <w:t xml:space="preserve"> tyrimas su </w:t>
            </w:r>
            <w:proofErr w:type="spellStart"/>
            <w:r w:rsidRPr="00342080">
              <w:rPr>
                <w:rFonts w:asciiTheme="majorHAnsi" w:hAnsiTheme="majorHAnsi" w:cs="Times New Roman"/>
              </w:rPr>
              <w:t>polispecifiniu</w:t>
            </w:r>
            <w:proofErr w:type="spellEnd"/>
            <w:r w:rsidRPr="00342080">
              <w:rPr>
                <w:rFonts w:asciiTheme="majorHAnsi" w:hAnsiTheme="majorHAnsi" w:cs="Times New Roman"/>
              </w:rPr>
              <w:t xml:space="preserve"> reagentu, tiriami eritrocitai</w:t>
            </w:r>
          </w:p>
        </w:tc>
        <w:tc>
          <w:tcPr>
            <w:tcW w:w="1549" w:type="dxa"/>
            <w:tcBorders>
              <w:top w:val="single" w:sz="4" w:space="0" w:color="auto"/>
              <w:left w:val="nil"/>
              <w:bottom w:val="single" w:sz="4" w:space="0" w:color="auto"/>
              <w:right w:val="single" w:sz="4" w:space="0" w:color="auto"/>
            </w:tcBorders>
            <w:shd w:val="clear" w:color="auto" w:fill="auto"/>
          </w:tcPr>
          <w:p w14:paraId="3BBA22FB" w14:textId="77777777" w:rsidR="00142706" w:rsidRPr="00342080" w:rsidRDefault="00142706" w:rsidP="00142706">
            <w:pPr>
              <w:shd w:val="clear" w:color="auto" w:fill="FFFFFF"/>
              <w:contextualSpacing/>
              <w:mirrorIndents/>
              <w:rPr>
                <w:rFonts w:asciiTheme="majorHAnsi" w:hAnsiTheme="majorHAnsi" w:cs="Times New Roman"/>
              </w:rPr>
            </w:pPr>
            <w:r w:rsidRPr="00342080">
              <w:rPr>
                <w:rFonts w:asciiTheme="majorHAnsi" w:hAnsiTheme="majorHAnsi" w:cs="Times New Roman"/>
              </w:rPr>
              <w:t>20 000</w:t>
            </w:r>
          </w:p>
          <w:p w14:paraId="1A3F4751" w14:textId="77777777" w:rsidR="00142706" w:rsidRPr="00342080" w:rsidRDefault="00142706" w:rsidP="00142706">
            <w:pPr>
              <w:shd w:val="clear" w:color="auto" w:fill="FFFFFF"/>
              <w:contextualSpacing/>
              <w:mirrorIndents/>
              <w:rPr>
                <w:rFonts w:asciiTheme="majorHAnsi" w:hAnsiTheme="majorHAnsi" w:cs="Times New Roman"/>
                <w:color w:val="FF0000"/>
              </w:rPr>
            </w:pPr>
          </w:p>
        </w:tc>
        <w:tc>
          <w:tcPr>
            <w:tcW w:w="4961" w:type="dxa"/>
            <w:tcBorders>
              <w:top w:val="single" w:sz="4" w:space="0" w:color="auto"/>
              <w:left w:val="nil"/>
              <w:bottom w:val="single" w:sz="4" w:space="0" w:color="auto"/>
              <w:right w:val="single" w:sz="4" w:space="0" w:color="auto"/>
            </w:tcBorders>
            <w:shd w:val="clear" w:color="auto" w:fill="auto"/>
          </w:tcPr>
          <w:p w14:paraId="089FA0DB" w14:textId="0E6FBCE5"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rPr>
              <w:t xml:space="preserve">Tyrimas atliekamas, naudojant stulpelių korteles su </w:t>
            </w:r>
            <w:proofErr w:type="spellStart"/>
            <w:r w:rsidRPr="00342080">
              <w:rPr>
                <w:rFonts w:asciiTheme="majorHAnsi" w:hAnsiTheme="majorHAnsi" w:cs="Times New Roman"/>
              </w:rPr>
              <w:t>polispecifiniu</w:t>
            </w:r>
            <w:proofErr w:type="spellEnd"/>
            <w:r w:rsidRPr="00342080">
              <w:rPr>
                <w:rFonts w:asciiTheme="majorHAnsi" w:hAnsiTheme="majorHAnsi" w:cs="Times New Roman"/>
              </w:rPr>
              <w:t xml:space="preserve"> žmogaus </w:t>
            </w:r>
            <w:proofErr w:type="spellStart"/>
            <w:r w:rsidRPr="00342080">
              <w:rPr>
                <w:rFonts w:asciiTheme="majorHAnsi" w:hAnsiTheme="majorHAnsi" w:cs="Times New Roman"/>
              </w:rPr>
              <w:t>antiglobulinu</w:t>
            </w:r>
            <w:proofErr w:type="spellEnd"/>
            <w:r w:rsidRPr="00342080">
              <w:rPr>
                <w:rFonts w:asciiTheme="majorHAnsi" w:hAnsiTheme="majorHAnsi" w:cs="Times New Roman"/>
              </w:rPr>
              <w:t xml:space="preserve"> (</w:t>
            </w:r>
            <w:proofErr w:type="spellStart"/>
            <w:r w:rsidRPr="00342080">
              <w:rPr>
                <w:rFonts w:asciiTheme="majorHAnsi" w:hAnsiTheme="majorHAnsi" w:cs="Times New Roman"/>
              </w:rPr>
              <w:t>anti-IgG</w:t>
            </w:r>
            <w:proofErr w:type="spellEnd"/>
            <w:r w:rsidRPr="00342080">
              <w:rPr>
                <w:rFonts w:asciiTheme="majorHAnsi" w:hAnsiTheme="majorHAnsi" w:cs="Times New Roman"/>
              </w:rPr>
              <w:t xml:space="preserve"> ir anti-C3d).</w:t>
            </w:r>
          </w:p>
        </w:tc>
        <w:tc>
          <w:tcPr>
            <w:tcW w:w="3699" w:type="dxa"/>
            <w:tcBorders>
              <w:top w:val="single" w:sz="4" w:space="0" w:color="auto"/>
              <w:left w:val="nil"/>
              <w:bottom w:val="single" w:sz="4" w:space="0" w:color="auto"/>
              <w:right w:val="single" w:sz="4" w:space="0" w:color="auto"/>
            </w:tcBorders>
          </w:tcPr>
          <w:p w14:paraId="6EEAAE66" w14:textId="089F1CC3"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i/>
              </w:rPr>
              <w:t>įrašo tiekėjas</w:t>
            </w:r>
          </w:p>
        </w:tc>
      </w:tr>
      <w:tr w:rsidR="00142706" w:rsidRPr="00342080" w14:paraId="026E1BF9"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4F007A59" w14:textId="13E3F081"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rPr>
              <w:t>1.17</w:t>
            </w:r>
          </w:p>
        </w:tc>
        <w:tc>
          <w:tcPr>
            <w:tcW w:w="3376" w:type="dxa"/>
            <w:tcBorders>
              <w:top w:val="single" w:sz="4" w:space="0" w:color="auto"/>
              <w:left w:val="nil"/>
              <w:bottom w:val="single" w:sz="4" w:space="0" w:color="auto"/>
              <w:right w:val="single" w:sz="4" w:space="0" w:color="auto"/>
            </w:tcBorders>
            <w:shd w:val="clear" w:color="auto" w:fill="auto"/>
          </w:tcPr>
          <w:p w14:paraId="28567681" w14:textId="1704E335"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rPr>
              <w:t xml:space="preserve">Tiesioginis </w:t>
            </w:r>
            <w:proofErr w:type="spellStart"/>
            <w:r w:rsidRPr="00342080">
              <w:rPr>
                <w:rFonts w:asciiTheme="majorHAnsi" w:hAnsiTheme="majorHAnsi" w:cs="Times New Roman"/>
              </w:rPr>
              <w:t>antiglobulino</w:t>
            </w:r>
            <w:proofErr w:type="spellEnd"/>
            <w:r w:rsidRPr="00342080">
              <w:rPr>
                <w:rFonts w:asciiTheme="majorHAnsi" w:hAnsiTheme="majorHAnsi" w:cs="Times New Roman"/>
              </w:rPr>
              <w:t xml:space="preserve"> tyrimas su </w:t>
            </w:r>
            <w:proofErr w:type="spellStart"/>
            <w:r w:rsidRPr="00342080">
              <w:rPr>
                <w:rFonts w:asciiTheme="majorHAnsi" w:hAnsiTheme="majorHAnsi" w:cs="Times New Roman"/>
              </w:rPr>
              <w:t>monospecifiniais</w:t>
            </w:r>
            <w:proofErr w:type="spellEnd"/>
            <w:r w:rsidRPr="00342080">
              <w:rPr>
                <w:rFonts w:asciiTheme="majorHAnsi" w:hAnsiTheme="majorHAnsi" w:cs="Times New Roman"/>
              </w:rPr>
              <w:t xml:space="preserve"> reagentais, tiriami eritrocitai, panelis</w:t>
            </w:r>
          </w:p>
          <w:p w14:paraId="606285FE" w14:textId="318D38F4" w:rsidR="00142706" w:rsidRPr="00342080" w:rsidRDefault="00142706" w:rsidP="00142706">
            <w:pPr>
              <w:contextualSpacing/>
              <w:mirrorIndents/>
              <w:rPr>
                <w:rFonts w:asciiTheme="majorHAnsi" w:hAnsiTheme="majorHAnsi" w:cs="Times New Roman"/>
              </w:rPr>
            </w:pPr>
          </w:p>
        </w:tc>
        <w:tc>
          <w:tcPr>
            <w:tcW w:w="1549" w:type="dxa"/>
            <w:tcBorders>
              <w:top w:val="single" w:sz="4" w:space="0" w:color="auto"/>
              <w:left w:val="nil"/>
              <w:bottom w:val="single" w:sz="4" w:space="0" w:color="auto"/>
              <w:right w:val="single" w:sz="4" w:space="0" w:color="auto"/>
            </w:tcBorders>
            <w:shd w:val="clear" w:color="auto" w:fill="auto"/>
          </w:tcPr>
          <w:p w14:paraId="347D18CA" w14:textId="77777777" w:rsidR="00142706" w:rsidRPr="00342080" w:rsidRDefault="00142706" w:rsidP="00142706">
            <w:pPr>
              <w:shd w:val="clear" w:color="auto" w:fill="FFFFFF"/>
              <w:contextualSpacing/>
              <w:mirrorIndents/>
              <w:rPr>
                <w:rFonts w:asciiTheme="majorHAnsi" w:hAnsiTheme="majorHAnsi" w:cs="Times New Roman"/>
              </w:rPr>
            </w:pPr>
            <w:r w:rsidRPr="00342080">
              <w:rPr>
                <w:rFonts w:asciiTheme="majorHAnsi" w:hAnsiTheme="majorHAnsi" w:cs="Times New Roman"/>
              </w:rPr>
              <w:t>1 200</w:t>
            </w:r>
          </w:p>
          <w:p w14:paraId="302255D9" w14:textId="77777777" w:rsidR="00142706" w:rsidRPr="00342080" w:rsidRDefault="00142706" w:rsidP="00142706">
            <w:pPr>
              <w:shd w:val="clear" w:color="auto" w:fill="FFFFFF"/>
              <w:contextualSpacing/>
              <w:mirrorIndents/>
              <w:rPr>
                <w:rFonts w:asciiTheme="majorHAnsi" w:hAnsiTheme="majorHAnsi" w:cs="Times New Roman"/>
                <w:color w:val="FF0000"/>
              </w:rPr>
            </w:pPr>
          </w:p>
        </w:tc>
        <w:tc>
          <w:tcPr>
            <w:tcW w:w="4961" w:type="dxa"/>
            <w:tcBorders>
              <w:top w:val="single" w:sz="4" w:space="0" w:color="auto"/>
              <w:left w:val="nil"/>
              <w:bottom w:val="single" w:sz="4" w:space="0" w:color="auto"/>
              <w:right w:val="single" w:sz="4" w:space="0" w:color="auto"/>
            </w:tcBorders>
            <w:shd w:val="clear" w:color="auto" w:fill="auto"/>
          </w:tcPr>
          <w:p w14:paraId="304420CD" w14:textId="6F496E2F" w:rsidR="00142706" w:rsidRPr="00342080" w:rsidRDefault="00142706" w:rsidP="00142706">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rPr>
              <w:t>Tyrimas atliekamas, naudojant stulpelių korteles su specifiniais antikūnais (</w:t>
            </w:r>
            <w:proofErr w:type="spellStart"/>
            <w:r w:rsidRPr="00342080">
              <w:rPr>
                <w:rFonts w:asciiTheme="majorHAnsi" w:hAnsiTheme="majorHAnsi" w:cs="Times New Roman"/>
              </w:rPr>
              <w:t>anti-IgG</w:t>
            </w:r>
            <w:proofErr w:type="spellEnd"/>
            <w:r w:rsidRPr="00342080">
              <w:rPr>
                <w:rFonts w:asciiTheme="majorHAnsi" w:hAnsiTheme="majorHAnsi" w:cs="Times New Roman"/>
              </w:rPr>
              <w:t xml:space="preserve">, </w:t>
            </w:r>
            <w:proofErr w:type="spellStart"/>
            <w:r w:rsidRPr="00342080">
              <w:rPr>
                <w:rFonts w:asciiTheme="majorHAnsi" w:hAnsiTheme="majorHAnsi" w:cs="Times New Roman"/>
              </w:rPr>
              <w:t>anti-IgA</w:t>
            </w:r>
            <w:proofErr w:type="spellEnd"/>
            <w:r w:rsidRPr="00342080">
              <w:rPr>
                <w:rFonts w:asciiTheme="majorHAnsi" w:hAnsiTheme="majorHAnsi" w:cs="Times New Roman"/>
              </w:rPr>
              <w:t xml:space="preserve">, </w:t>
            </w:r>
            <w:proofErr w:type="spellStart"/>
            <w:r w:rsidRPr="00342080">
              <w:rPr>
                <w:rFonts w:asciiTheme="majorHAnsi" w:hAnsiTheme="majorHAnsi" w:cs="Times New Roman"/>
              </w:rPr>
              <w:t>anti-IgM</w:t>
            </w:r>
            <w:proofErr w:type="spellEnd"/>
            <w:r w:rsidRPr="00342080">
              <w:rPr>
                <w:rFonts w:asciiTheme="majorHAnsi" w:hAnsiTheme="majorHAnsi" w:cs="Times New Roman"/>
              </w:rPr>
              <w:t>, anti-C3c, anti-C3d). Vienas stulpelis skiriamas neigiamai kontrolei.</w:t>
            </w:r>
          </w:p>
        </w:tc>
        <w:tc>
          <w:tcPr>
            <w:tcW w:w="3699" w:type="dxa"/>
            <w:tcBorders>
              <w:top w:val="single" w:sz="4" w:space="0" w:color="auto"/>
              <w:left w:val="nil"/>
              <w:bottom w:val="single" w:sz="4" w:space="0" w:color="auto"/>
              <w:right w:val="single" w:sz="4" w:space="0" w:color="auto"/>
            </w:tcBorders>
          </w:tcPr>
          <w:p w14:paraId="40AB3070" w14:textId="5B1F1B50" w:rsidR="00142706" w:rsidRPr="00342080" w:rsidRDefault="00142706" w:rsidP="00142706">
            <w:pPr>
              <w:shd w:val="clear" w:color="auto" w:fill="FFFFFF" w:themeFill="background1"/>
              <w:contextualSpacing/>
              <w:mirrorIndents/>
              <w:rPr>
                <w:rFonts w:asciiTheme="majorHAnsi" w:hAnsiTheme="majorHAnsi" w:cs="Times New Roman"/>
                <w:highlight w:val="yellow"/>
              </w:rPr>
            </w:pPr>
            <w:r w:rsidRPr="00342080">
              <w:rPr>
                <w:rFonts w:asciiTheme="majorHAnsi" w:hAnsiTheme="majorHAnsi" w:cs="Times New Roman"/>
                <w:i/>
              </w:rPr>
              <w:t>įrašo tiekėjas</w:t>
            </w:r>
          </w:p>
        </w:tc>
      </w:tr>
      <w:tr w:rsidR="00142706" w:rsidRPr="00342080" w14:paraId="4BC8BE13"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5533C66B" w14:textId="2A8E53FD"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rPr>
              <w:t>1.18</w:t>
            </w:r>
          </w:p>
        </w:tc>
        <w:tc>
          <w:tcPr>
            <w:tcW w:w="3376" w:type="dxa"/>
            <w:tcBorders>
              <w:top w:val="single" w:sz="4" w:space="0" w:color="auto"/>
              <w:left w:val="nil"/>
              <w:bottom w:val="single" w:sz="4" w:space="0" w:color="auto"/>
              <w:right w:val="single" w:sz="4" w:space="0" w:color="auto"/>
            </w:tcBorders>
            <w:shd w:val="clear" w:color="auto" w:fill="auto"/>
          </w:tcPr>
          <w:p w14:paraId="3E4FE219" w14:textId="5D515BE3" w:rsidR="00142706" w:rsidRPr="00342080" w:rsidRDefault="00142706" w:rsidP="00142706">
            <w:pPr>
              <w:contextualSpacing/>
              <w:mirrorIndents/>
              <w:rPr>
                <w:rFonts w:asciiTheme="majorHAnsi" w:hAnsiTheme="majorHAnsi" w:cs="Times New Roman"/>
              </w:rPr>
            </w:pPr>
            <w:proofErr w:type="spellStart"/>
            <w:r w:rsidRPr="00342080">
              <w:rPr>
                <w:rFonts w:asciiTheme="majorHAnsi" w:hAnsiTheme="majorHAnsi" w:cs="Times New Roman"/>
              </w:rPr>
              <w:t>C</w:t>
            </w:r>
            <w:r w:rsidRPr="00342080">
              <w:rPr>
                <w:rFonts w:asciiTheme="majorHAnsi" w:hAnsiTheme="majorHAnsi" w:cs="Times New Roman"/>
                <w:vertAlign w:val="superscript"/>
              </w:rPr>
              <w:t>w</w:t>
            </w:r>
            <w:r w:rsidRPr="00342080">
              <w:rPr>
                <w:rFonts w:asciiTheme="majorHAnsi" w:hAnsiTheme="majorHAnsi" w:cs="Times New Roman"/>
              </w:rPr>
              <w:t>antigeno</w:t>
            </w:r>
            <w:proofErr w:type="spellEnd"/>
            <w:r w:rsidRPr="00342080">
              <w:rPr>
                <w:rFonts w:asciiTheme="majorHAnsi" w:hAnsiTheme="majorHAnsi" w:cs="Times New Roman"/>
              </w:rPr>
              <w:t xml:space="preserve"> nustatymas</w:t>
            </w:r>
          </w:p>
        </w:tc>
        <w:tc>
          <w:tcPr>
            <w:tcW w:w="1549" w:type="dxa"/>
            <w:tcBorders>
              <w:top w:val="single" w:sz="4" w:space="0" w:color="auto"/>
              <w:left w:val="nil"/>
              <w:bottom w:val="single" w:sz="4" w:space="0" w:color="auto"/>
              <w:right w:val="single" w:sz="4" w:space="0" w:color="auto"/>
            </w:tcBorders>
            <w:shd w:val="clear" w:color="auto" w:fill="auto"/>
          </w:tcPr>
          <w:p w14:paraId="1D27AE97" w14:textId="77777777" w:rsidR="00142706" w:rsidRPr="00342080" w:rsidRDefault="00142706" w:rsidP="00142706">
            <w:pPr>
              <w:shd w:val="clear" w:color="auto" w:fill="FFFFFF"/>
              <w:contextualSpacing/>
              <w:mirrorIndents/>
              <w:rPr>
                <w:rFonts w:asciiTheme="majorHAnsi" w:hAnsiTheme="majorHAnsi" w:cs="Times New Roman"/>
              </w:rPr>
            </w:pPr>
            <w:r w:rsidRPr="00342080">
              <w:rPr>
                <w:rFonts w:asciiTheme="majorHAnsi" w:hAnsiTheme="majorHAnsi" w:cs="Times New Roman"/>
              </w:rPr>
              <w:t>3000</w:t>
            </w:r>
          </w:p>
          <w:p w14:paraId="68A238B3" w14:textId="77777777" w:rsidR="00142706" w:rsidRPr="00342080" w:rsidRDefault="00142706" w:rsidP="00142706">
            <w:pPr>
              <w:shd w:val="clear" w:color="auto" w:fill="FFFFFF"/>
              <w:contextualSpacing/>
              <w:mirrorIndents/>
              <w:rPr>
                <w:rFonts w:asciiTheme="majorHAnsi" w:hAnsiTheme="majorHAnsi" w:cs="Times New Roman"/>
                <w:color w:val="FF0000"/>
              </w:rPr>
            </w:pPr>
          </w:p>
        </w:tc>
        <w:tc>
          <w:tcPr>
            <w:tcW w:w="4961" w:type="dxa"/>
            <w:tcBorders>
              <w:top w:val="single" w:sz="4" w:space="0" w:color="auto"/>
              <w:left w:val="nil"/>
              <w:bottom w:val="single" w:sz="4" w:space="0" w:color="auto"/>
              <w:right w:val="single" w:sz="4" w:space="0" w:color="auto"/>
            </w:tcBorders>
            <w:shd w:val="clear" w:color="auto" w:fill="auto"/>
          </w:tcPr>
          <w:p w14:paraId="32662AA2" w14:textId="2B72EBE1" w:rsidR="00142706" w:rsidRPr="00342080" w:rsidRDefault="00142706" w:rsidP="00142706">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rPr>
              <w:t xml:space="preserve">Tyrimas atliekamas, naudojant stulpelių korteles su specifiniais antikūnais </w:t>
            </w:r>
            <w:proofErr w:type="spellStart"/>
            <w:r w:rsidRPr="00342080">
              <w:rPr>
                <w:rFonts w:asciiTheme="majorHAnsi" w:hAnsiTheme="majorHAnsi" w:cs="Times New Roman"/>
              </w:rPr>
              <w:t>anti-C</w:t>
            </w:r>
            <w:r w:rsidRPr="00342080">
              <w:rPr>
                <w:rFonts w:asciiTheme="majorHAnsi" w:hAnsiTheme="majorHAnsi" w:cs="Times New Roman"/>
                <w:vertAlign w:val="superscript"/>
              </w:rPr>
              <w:t>w</w:t>
            </w:r>
            <w:proofErr w:type="spellEnd"/>
            <w:r w:rsidRPr="00342080">
              <w:rPr>
                <w:rFonts w:asciiTheme="majorHAnsi" w:hAnsiTheme="majorHAnsi" w:cs="Times New Roman"/>
              </w:rPr>
              <w:t>. Būtina galimybė atskirai nustatyti tik šį vieną antigeną. Vienas stulpelis skiriamas neigiamai kontrolei (gali būti atskira kortelė).</w:t>
            </w:r>
          </w:p>
        </w:tc>
        <w:tc>
          <w:tcPr>
            <w:tcW w:w="3699" w:type="dxa"/>
            <w:tcBorders>
              <w:top w:val="single" w:sz="4" w:space="0" w:color="auto"/>
              <w:left w:val="nil"/>
              <w:bottom w:val="single" w:sz="4" w:space="0" w:color="auto"/>
              <w:right w:val="single" w:sz="4" w:space="0" w:color="auto"/>
            </w:tcBorders>
          </w:tcPr>
          <w:p w14:paraId="147E4925" w14:textId="7C08DB9F" w:rsidR="00142706" w:rsidRPr="00342080" w:rsidRDefault="00142706" w:rsidP="00142706">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i/>
              </w:rPr>
              <w:t>įrašo tiekėjas</w:t>
            </w:r>
          </w:p>
        </w:tc>
      </w:tr>
      <w:tr w:rsidR="00142706" w:rsidRPr="00342080" w14:paraId="6A6781E4"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6F30AA21" w14:textId="3138E38F"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rPr>
              <w:t>1.19</w:t>
            </w:r>
          </w:p>
        </w:tc>
        <w:tc>
          <w:tcPr>
            <w:tcW w:w="3376" w:type="dxa"/>
            <w:tcBorders>
              <w:top w:val="single" w:sz="4" w:space="0" w:color="auto"/>
              <w:left w:val="nil"/>
              <w:bottom w:val="single" w:sz="4" w:space="0" w:color="auto"/>
              <w:right w:val="single" w:sz="4" w:space="0" w:color="auto"/>
            </w:tcBorders>
            <w:shd w:val="clear" w:color="auto" w:fill="auto"/>
          </w:tcPr>
          <w:p w14:paraId="38FB9BEA" w14:textId="4C3A0D18" w:rsidR="00142706" w:rsidRPr="00342080" w:rsidRDefault="00142706" w:rsidP="00142706">
            <w:pPr>
              <w:contextualSpacing/>
              <w:mirrorIndents/>
              <w:rPr>
                <w:rFonts w:asciiTheme="majorHAnsi" w:hAnsiTheme="majorHAnsi" w:cs="Times New Roman"/>
              </w:rPr>
            </w:pPr>
            <w:proofErr w:type="spellStart"/>
            <w:r w:rsidRPr="00342080">
              <w:rPr>
                <w:rFonts w:asciiTheme="majorHAnsi" w:hAnsiTheme="majorHAnsi" w:cs="Times New Roman"/>
              </w:rPr>
              <w:t>Fy</w:t>
            </w:r>
            <w:r w:rsidRPr="00342080">
              <w:rPr>
                <w:rFonts w:asciiTheme="majorHAnsi" w:hAnsiTheme="majorHAnsi" w:cs="Times New Roman"/>
                <w:vertAlign w:val="superscript"/>
              </w:rPr>
              <w:t>a</w:t>
            </w:r>
            <w:proofErr w:type="spellEnd"/>
            <w:r w:rsidRPr="00342080">
              <w:rPr>
                <w:rFonts w:asciiTheme="majorHAnsi" w:hAnsiTheme="majorHAnsi" w:cs="Times New Roman"/>
                <w:vertAlign w:val="superscript"/>
              </w:rPr>
              <w:t xml:space="preserve"> </w:t>
            </w:r>
            <w:r w:rsidRPr="00342080">
              <w:rPr>
                <w:rFonts w:asciiTheme="majorHAnsi" w:hAnsiTheme="majorHAnsi" w:cs="Times New Roman"/>
              </w:rPr>
              <w:t>antigeno nustatymas</w:t>
            </w:r>
          </w:p>
        </w:tc>
        <w:tc>
          <w:tcPr>
            <w:tcW w:w="1549" w:type="dxa"/>
            <w:tcBorders>
              <w:top w:val="single" w:sz="4" w:space="0" w:color="auto"/>
              <w:left w:val="nil"/>
              <w:bottom w:val="single" w:sz="4" w:space="0" w:color="auto"/>
              <w:right w:val="single" w:sz="4" w:space="0" w:color="auto"/>
            </w:tcBorders>
            <w:shd w:val="clear" w:color="auto" w:fill="auto"/>
          </w:tcPr>
          <w:p w14:paraId="6A1534C6" w14:textId="77777777" w:rsidR="00142706" w:rsidRPr="00342080" w:rsidRDefault="00142706" w:rsidP="00142706">
            <w:pPr>
              <w:shd w:val="clear" w:color="auto" w:fill="FFFFFF"/>
              <w:contextualSpacing/>
              <w:mirrorIndents/>
              <w:rPr>
                <w:rFonts w:asciiTheme="majorHAnsi" w:hAnsiTheme="majorHAnsi" w:cs="Times New Roman"/>
              </w:rPr>
            </w:pPr>
            <w:r w:rsidRPr="00342080">
              <w:rPr>
                <w:rFonts w:asciiTheme="majorHAnsi" w:hAnsiTheme="majorHAnsi" w:cs="Times New Roman"/>
              </w:rPr>
              <w:t>300</w:t>
            </w:r>
          </w:p>
          <w:p w14:paraId="3BF10FA5" w14:textId="77777777" w:rsidR="00142706" w:rsidRPr="00342080" w:rsidRDefault="00142706" w:rsidP="00142706">
            <w:pPr>
              <w:shd w:val="clear" w:color="auto" w:fill="FFFFFF"/>
              <w:contextualSpacing/>
              <w:mirrorIndents/>
              <w:rPr>
                <w:rFonts w:asciiTheme="majorHAnsi" w:hAnsiTheme="majorHAnsi" w:cs="Times New Roman"/>
                <w:color w:val="FF0000"/>
              </w:rPr>
            </w:pPr>
          </w:p>
        </w:tc>
        <w:tc>
          <w:tcPr>
            <w:tcW w:w="4961" w:type="dxa"/>
            <w:tcBorders>
              <w:top w:val="single" w:sz="4" w:space="0" w:color="auto"/>
              <w:left w:val="nil"/>
              <w:bottom w:val="single" w:sz="4" w:space="0" w:color="auto"/>
              <w:right w:val="single" w:sz="4" w:space="0" w:color="auto"/>
            </w:tcBorders>
            <w:shd w:val="clear" w:color="auto" w:fill="auto"/>
          </w:tcPr>
          <w:p w14:paraId="41ADDE5A" w14:textId="34EC3434" w:rsidR="00142706" w:rsidRPr="00342080" w:rsidRDefault="00142706" w:rsidP="00142706">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rPr>
              <w:t xml:space="preserve">Tyrimas atliekamas, naudojant stulpelių korteles ir serumą su specifiniais antikūnais </w:t>
            </w:r>
            <w:proofErr w:type="spellStart"/>
            <w:r w:rsidRPr="00342080">
              <w:rPr>
                <w:rFonts w:asciiTheme="majorHAnsi" w:hAnsiTheme="majorHAnsi" w:cs="Times New Roman"/>
              </w:rPr>
              <w:t>anti-Fy</w:t>
            </w:r>
            <w:r w:rsidRPr="00342080">
              <w:rPr>
                <w:rFonts w:asciiTheme="majorHAnsi" w:hAnsiTheme="majorHAnsi" w:cs="Times New Roman"/>
                <w:vertAlign w:val="superscript"/>
              </w:rPr>
              <w:t>a</w:t>
            </w:r>
            <w:proofErr w:type="spellEnd"/>
            <w:r w:rsidRPr="00342080">
              <w:rPr>
                <w:rFonts w:asciiTheme="majorHAnsi" w:hAnsiTheme="majorHAnsi" w:cs="Times New Roman"/>
              </w:rPr>
              <w:t>. Būtina galimybė atskirai nustatyti tik šį vieną antigeną. Vienas stulpelis skiriamas neigiamai kontrolei (gali būti atskira kortelė).</w:t>
            </w:r>
          </w:p>
        </w:tc>
        <w:tc>
          <w:tcPr>
            <w:tcW w:w="3699" w:type="dxa"/>
            <w:tcBorders>
              <w:top w:val="single" w:sz="4" w:space="0" w:color="auto"/>
              <w:left w:val="nil"/>
              <w:bottom w:val="single" w:sz="4" w:space="0" w:color="auto"/>
              <w:right w:val="single" w:sz="4" w:space="0" w:color="auto"/>
            </w:tcBorders>
          </w:tcPr>
          <w:p w14:paraId="4637EC0D" w14:textId="7ADE6848" w:rsidR="00142706" w:rsidRPr="00342080" w:rsidRDefault="00142706" w:rsidP="00142706">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i/>
              </w:rPr>
              <w:t>įrašo tiekėjas</w:t>
            </w:r>
          </w:p>
        </w:tc>
      </w:tr>
      <w:tr w:rsidR="00142706" w:rsidRPr="00342080" w14:paraId="3D2D922A"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1FEEF97F" w14:textId="6E7EA5D6"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rPr>
              <w:t>1.20</w:t>
            </w:r>
          </w:p>
        </w:tc>
        <w:tc>
          <w:tcPr>
            <w:tcW w:w="3376" w:type="dxa"/>
            <w:tcBorders>
              <w:top w:val="single" w:sz="4" w:space="0" w:color="auto"/>
              <w:left w:val="nil"/>
              <w:bottom w:val="single" w:sz="4" w:space="0" w:color="auto"/>
              <w:right w:val="single" w:sz="4" w:space="0" w:color="auto"/>
            </w:tcBorders>
            <w:shd w:val="clear" w:color="auto" w:fill="auto"/>
          </w:tcPr>
          <w:p w14:paraId="2DE645AB" w14:textId="082233B5" w:rsidR="00142706" w:rsidRPr="00342080" w:rsidRDefault="00142706" w:rsidP="00142706">
            <w:pPr>
              <w:contextualSpacing/>
              <w:mirrorIndents/>
              <w:rPr>
                <w:rFonts w:asciiTheme="majorHAnsi" w:hAnsiTheme="majorHAnsi" w:cs="Times New Roman"/>
              </w:rPr>
            </w:pPr>
            <w:proofErr w:type="spellStart"/>
            <w:r w:rsidRPr="00342080">
              <w:rPr>
                <w:rFonts w:asciiTheme="majorHAnsi" w:hAnsiTheme="majorHAnsi" w:cs="Times New Roman"/>
              </w:rPr>
              <w:t>Fy</w:t>
            </w:r>
            <w:r w:rsidRPr="00342080">
              <w:rPr>
                <w:rFonts w:asciiTheme="majorHAnsi" w:hAnsiTheme="majorHAnsi" w:cs="Times New Roman"/>
                <w:vertAlign w:val="superscript"/>
              </w:rPr>
              <w:t>b</w:t>
            </w:r>
            <w:proofErr w:type="spellEnd"/>
            <w:r w:rsidRPr="00342080">
              <w:rPr>
                <w:rFonts w:asciiTheme="majorHAnsi" w:hAnsiTheme="majorHAnsi" w:cs="Times New Roman"/>
                <w:vertAlign w:val="superscript"/>
              </w:rPr>
              <w:t xml:space="preserve"> </w:t>
            </w:r>
            <w:r w:rsidRPr="00342080">
              <w:rPr>
                <w:rFonts w:asciiTheme="majorHAnsi" w:hAnsiTheme="majorHAnsi" w:cs="Times New Roman"/>
              </w:rPr>
              <w:t>antigeno nustatymas</w:t>
            </w:r>
          </w:p>
        </w:tc>
        <w:tc>
          <w:tcPr>
            <w:tcW w:w="1549" w:type="dxa"/>
            <w:tcBorders>
              <w:top w:val="single" w:sz="4" w:space="0" w:color="auto"/>
              <w:left w:val="nil"/>
              <w:bottom w:val="single" w:sz="4" w:space="0" w:color="auto"/>
              <w:right w:val="single" w:sz="4" w:space="0" w:color="auto"/>
            </w:tcBorders>
            <w:shd w:val="clear" w:color="auto" w:fill="auto"/>
          </w:tcPr>
          <w:p w14:paraId="23265656" w14:textId="77777777" w:rsidR="00142706" w:rsidRPr="00342080" w:rsidRDefault="00142706" w:rsidP="00142706">
            <w:pPr>
              <w:shd w:val="clear" w:color="auto" w:fill="FFFFFF"/>
              <w:contextualSpacing/>
              <w:mirrorIndents/>
              <w:rPr>
                <w:rFonts w:asciiTheme="majorHAnsi" w:hAnsiTheme="majorHAnsi" w:cs="Times New Roman"/>
              </w:rPr>
            </w:pPr>
            <w:r w:rsidRPr="00342080">
              <w:rPr>
                <w:rFonts w:asciiTheme="majorHAnsi" w:hAnsiTheme="majorHAnsi" w:cs="Times New Roman"/>
              </w:rPr>
              <w:t>300</w:t>
            </w:r>
          </w:p>
          <w:p w14:paraId="32E1DC6C" w14:textId="77777777" w:rsidR="00142706" w:rsidRPr="00342080" w:rsidRDefault="00142706" w:rsidP="00142706">
            <w:pPr>
              <w:contextualSpacing/>
              <w:mirrorIndents/>
              <w:rPr>
                <w:rFonts w:asciiTheme="majorHAnsi" w:hAnsiTheme="majorHAnsi" w:cs="Times New Roman"/>
                <w:color w:val="FF0000"/>
              </w:rPr>
            </w:pPr>
          </w:p>
        </w:tc>
        <w:tc>
          <w:tcPr>
            <w:tcW w:w="4961" w:type="dxa"/>
            <w:tcBorders>
              <w:top w:val="single" w:sz="4" w:space="0" w:color="auto"/>
              <w:left w:val="nil"/>
              <w:bottom w:val="single" w:sz="4" w:space="0" w:color="auto"/>
              <w:right w:val="single" w:sz="4" w:space="0" w:color="auto"/>
            </w:tcBorders>
            <w:shd w:val="clear" w:color="auto" w:fill="auto"/>
          </w:tcPr>
          <w:p w14:paraId="1783504E" w14:textId="1B4B5AEF" w:rsidR="00142706" w:rsidRPr="00342080" w:rsidRDefault="00142706" w:rsidP="00142706">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rPr>
              <w:t xml:space="preserve">Tyrimas atliekamas, naudojant stulpelių korteles ir serumą su specifiniais antikūnais </w:t>
            </w:r>
            <w:proofErr w:type="spellStart"/>
            <w:r w:rsidRPr="00342080">
              <w:rPr>
                <w:rFonts w:asciiTheme="majorHAnsi" w:hAnsiTheme="majorHAnsi" w:cs="Times New Roman"/>
              </w:rPr>
              <w:t>anti-Fy</w:t>
            </w:r>
            <w:r w:rsidRPr="00342080">
              <w:rPr>
                <w:rFonts w:asciiTheme="majorHAnsi" w:hAnsiTheme="majorHAnsi" w:cs="Times New Roman"/>
                <w:vertAlign w:val="superscript"/>
              </w:rPr>
              <w:t>b</w:t>
            </w:r>
            <w:proofErr w:type="spellEnd"/>
            <w:r w:rsidRPr="00342080">
              <w:rPr>
                <w:rFonts w:asciiTheme="majorHAnsi" w:hAnsiTheme="majorHAnsi" w:cs="Times New Roman"/>
              </w:rPr>
              <w:t>. Būtina galimybė atskirai nustatyti tik šį vieną antigeną. Vienas stulpelis skiriamas neigiamai kontrolei (gali būti atskira kortelė).</w:t>
            </w:r>
          </w:p>
        </w:tc>
        <w:tc>
          <w:tcPr>
            <w:tcW w:w="3699" w:type="dxa"/>
            <w:tcBorders>
              <w:top w:val="single" w:sz="4" w:space="0" w:color="auto"/>
              <w:left w:val="nil"/>
              <w:bottom w:val="single" w:sz="4" w:space="0" w:color="auto"/>
              <w:right w:val="single" w:sz="4" w:space="0" w:color="auto"/>
            </w:tcBorders>
          </w:tcPr>
          <w:p w14:paraId="0BC91B6B" w14:textId="4153865F"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i/>
              </w:rPr>
              <w:t>įrašo tiekėjas</w:t>
            </w:r>
          </w:p>
        </w:tc>
      </w:tr>
      <w:tr w:rsidR="00142706" w:rsidRPr="00342080" w14:paraId="08BF8AB6"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184D3B3D" w14:textId="0BACE820"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rPr>
              <w:lastRenderedPageBreak/>
              <w:t>1.21</w:t>
            </w:r>
          </w:p>
        </w:tc>
        <w:tc>
          <w:tcPr>
            <w:tcW w:w="3376" w:type="dxa"/>
            <w:tcBorders>
              <w:top w:val="single" w:sz="4" w:space="0" w:color="auto"/>
              <w:left w:val="nil"/>
              <w:bottom w:val="single" w:sz="4" w:space="0" w:color="auto"/>
              <w:right w:val="single" w:sz="4" w:space="0" w:color="auto"/>
            </w:tcBorders>
            <w:shd w:val="clear" w:color="auto" w:fill="auto"/>
          </w:tcPr>
          <w:p w14:paraId="65E64ECD" w14:textId="524671E2" w:rsidR="00142706" w:rsidRPr="00342080" w:rsidRDefault="00142706" w:rsidP="00142706">
            <w:pPr>
              <w:contextualSpacing/>
              <w:mirrorIndents/>
              <w:rPr>
                <w:rFonts w:asciiTheme="majorHAnsi" w:hAnsiTheme="majorHAnsi" w:cs="Times New Roman"/>
              </w:rPr>
            </w:pPr>
            <w:proofErr w:type="spellStart"/>
            <w:r w:rsidRPr="00342080">
              <w:rPr>
                <w:rFonts w:asciiTheme="majorHAnsi" w:hAnsiTheme="majorHAnsi" w:cs="Times New Roman"/>
              </w:rPr>
              <w:t>Jk</w:t>
            </w:r>
            <w:r w:rsidRPr="00342080">
              <w:rPr>
                <w:rFonts w:asciiTheme="majorHAnsi" w:hAnsiTheme="majorHAnsi" w:cs="Times New Roman"/>
                <w:vertAlign w:val="superscript"/>
              </w:rPr>
              <w:t>a</w:t>
            </w:r>
            <w:proofErr w:type="spellEnd"/>
            <w:r w:rsidRPr="00342080">
              <w:rPr>
                <w:rFonts w:asciiTheme="majorHAnsi" w:hAnsiTheme="majorHAnsi" w:cs="Times New Roman"/>
                <w:vertAlign w:val="superscript"/>
              </w:rPr>
              <w:t xml:space="preserve"> </w:t>
            </w:r>
            <w:r w:rsidRPr="00342080">
              <w:rPr>
                <w:rFonts w:asciiTheme="majorHAnsi" w:hAnsiTheme="majorHAnsi" w:cs="Times New Roman"/>
              </w:rPr>
              <w:t>antigeno nustatymas</w:t>
            </w:r>
          </w:p>
        </w:tc>
        <w:tc>
          <w:tcPr>
            <w:tcW w:w="1549" w:type="dxa"/>
            <w:tcBorders>
              <w:top w:val="single" w:sz="4" w:space="0" w:color="auto"/>
              <w:left w:val="nil"/>
              <w:bottom w:val="single" w:sz="4" w:space="0" w:color="auto"/>
              <w:right w:val="single" w:sz="4" w:space="0" w:color="auto"/>
            </w:tcBorders>
            <w:shd w:val="clear" w:color="auto" w:fill="auto"/>
          </w:tcPr>
          <w:p w14:paraId="738BCC35" w14:textId="77777777" w:rsidR="00142706" w:rsidRPr="00342080" w:rsidRDefault="00142706" w:rsidP="00142706">
            <w:pPr>
              <w:shd w:val="clear" w:color="auto" w:fill="FFFFFF"/>
              <w:contextualSpacing/>
              <w:mirrorIndents/>
              <w:rPr>
                <w:rFonts w:asciiTheme="majorHAnsi" w:hAnsiTheme="majorHAnsi" w:cs="Times New Roman"/>
              </w:rPr>
            </w:pPr>
            <w:r w:rsidRPr="00342080">
              <w:rPr>
                <w:rFonts w:asciiTheme="majorHAnsi" w:hAnsiTheme="majorHAnsi" w:cs="Times New Roman"/>
              </w:rPr>
              <w:t>300</w:t>
            </w:r>
          </w:p>
          <w:p w14:paraId="30606FF0" w14:textId="77777777" w:rsidR="00142706" w:rsidRPr="00342080" w:rsidRDefault="00142706" w:rsidP="00142706">
            <w:pPr>
              <w:shd w:val="clear" w:color="auto" w:fill="FFFFFF"/>
              <w:contextualSpacing/>
              <w:mirrorIndents/>
              <w:rPr>
                <w:rFonts w:asciiTheme="majorHAnsi" w:hAnsiTheme="majorHAnsi" w:cs="Times New Roman"/>
              </w:rPr>
            </w:pPr>
          </w:p>
        </w:tc>
        <w:tc>
          <w:tcPr>
            <w:tcW w:w="4961" w:type="dxa"/>
            <w:tcBorders>
              <w:top w:val="single" w:sz="4" w:space="0" w:color="auto"/>
              <w:left w:val="nil"/>
              <w:bottom w:val="single" w:sz="4" w:space="0" w:color="auto"/>
              <w:right w:val="single" w:sz="4" w:space="0" w:color="auto"/>
            </w:tcBorders>
            <w:shd w:val="clear" w:color="auto" w:fill="auto"/>
          </w:tcPr>
          <w:p w14:paraId="7EB31AE2" w14:textId="3BBEA1A0" w:rsidR="00142706" w:rsidRPr="00342080" w:rsidRDefault="00142706" w:rsidP="00142706">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rPr>
              <w:t xml:space="preserve">Tyrimas atliekamas, naudojant stulpelių korteles su specifiniais antikūnais </w:t>
            </w:r>
            <w:proofErr w:type="spellStart"/>
            <w:r w:rsidRPr="00342080">
              <w:rPr>
                <w:rFonts w:asciiTheme="majorHAnsi" w:hAnsiTheme="majorHAnsi" w:cs="Times New Roman"/>
              </w:rPr>
              <w:t>anti-Jk</w:t>
            </w:r>
            <w:r w:rsidRPr="00342080">
              <w:rPr>
                <w:rFonts w:asciiTheme="majorHAnsi" w:hAnsiTheme="majorHAnsi" w:cs="Times New Roman"/>
                <w:vertAlign w:val="superscript"/>
              </w:rPr>
              <w:t>a</w:t>
            </w:r>
            <w:proofErr w:type="spellEnd"/>
            <w:r w:rsidRPr="00342080">
              <w:rPr>
                <w:rFonts w:asciiTheme="majorHAnsi" w:hAnsiTheme="majorHAnsi" w:cs="Times New Roman"/>
              </w:rPr>
              <w:t>. Būtina galimybė atskirai nustatyti tik šį vieną antigeną. Vienas stulpelis skiriamas neigiamai kontrolei (gali būti atskira kortelė).</w:t>
            </w:r>
          </w:p>
        </w:tc>
        <w:tc>
          <w:tcPr>
            <w:tcW w:w="3699" w:type="dxa"/>
            <w:tcBorders>
              <w:top w:val="single" w:sz="4" w:space="0" w:color="auto"/>
              <w:left w:val="nil"/>
              <w:bottom w:val="single" w:sz="4" w:space="0" w:color="auto"/>
              <w:right w:val="single" w:sz="4" w:space="0" w:color="auto"/>
            </w:tcBorders>
          </w:tcPr>
          <w:p w14:paraId="381B41FE" w14:textId="3C56B9DD" w:rsidR="00142706" w:rsidRPr="00342080" w:rsidRDefault="00142706" w:rsidP="00142706">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i/>
              </w:rPr>
              <w:t>įrašo tiekėjas</w:t>
            </w:r>
          </w:p>
        </w:tc>
      </w:tr>
      <w:tr w:rsidR="00142706" w:rsidRPr="00342080" w14:paraId="610F0BFC"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37392F00" w14:textId="0351BDF7"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rPr>
              <w:t>1.22</w:t>
            </w:r>
          </w:p>
        </w:tc>
        <w:tc>
          <w:tcPr>
            <w:tcW w:w="3376" w:type="dxa"/>
            <w:tcBorders>
              <w:top w:val="single" w:sz="4" w:space="0" w:color="auto"/>
              <w:left w:val="nil"/>
              <w:bottom w:val="single" w:sz="4" w:space="0" w:color="auto"/>
              <w:right w:val="single" w:sz="4" w:space="0" w:color="auto"/>
            </w:tcBorders>
            <w:shd w:val="clear" w:color="auto" w:fill="auto"/>
          </w:tcPr>
          <w:p w14:paraId="27CCE666" w14:textId="0FA630BD" w:rsidR="00142706" w:rsidRPr="00342080" w:rsidRDefault="00142706" w:rsidP="00142706">
            <w:pPr>
              <w:contextualSpacing/>
              <w:mirrorIndents/>
              <w:rPr>
                <w:rFonts w:asciiTheme="majorHAnsi" w:hAnsiTheme="majorHAnsi" w:cs="Times New Roman"/>
              </w:rPr>
            </w:pPr>
            <w:proofErr w:type="spellStart"/>
            <w:r w:rsidRPr="00342080">
              <w:rPr>
                <w:rFonts w:asciiTheme="majorHAnsi" w:hAnsiTheme="majorHAnsi" w:cs="Times New Roman"/>
              </w:rPr>
              <w:t>Jk</w:t>
            </w:r>
            <w:r w:rsidRPr="00342080">
              <w:rPr>
                <w:rFonts w:asciiTheme="majorHAnsi" w:hAnsiTheme="majorHAnsi" w:cs="Times New Roman"/>
                <w:vertAlign w:val="superscript"/>
              </w:rPr>
              <w:t>b</w:t>
            </w:r>
            <w:proofErr w:type="spellEnd"/>
            <w:r w:rsidRPr="00342080">
              <w:rPr>
                <w:rFonts w:asciiTheme="majorHAnsi" w:hAnsiTheme="majorHAnsi" w:cs="Times New Roman"/>
                <w:vertAlign w:val="superscript"/>
              </w:rPr>
              <w:t xml:space="preserve"> </w:t>
            </w:r>
            <w:r w:rsidRPr="00342080">
              <w:rPr>
                <w:rFonts w:asciiTheme="majorHAnsi" w:hAnsiTheme="majorHAnsi" w:cs="Times New Roman"/>
              </w:rPr>
              <w:t>antigeno nustatymas</w:t>
            </w:r>
          </w:p>
        </w:tc>
        <w:tc>
          <w:tcPr>
            <w:tcW w:w="1549" w:type="dxa"/>
            <w:tcBorders>
              <w:top w:val="single" w:sz="4" w:space="0" w:color="auto"/>
              <w:left w:val="nil"/>
              <w:bottom w:val="single" w:sz="4" w:space="0" w:color="auto"/>
              <w:right w:val="single" w:sz="4" w:space="0" w:color="auto"/>
            </w:tcBorders>
            <w:shd w:val="clear" w:color="auto" w:fill="auto"/>
          </w:tcPr>
          <w:p w14:paraId="75A869FF" w14:textId="77777777" w:rsidR="00142706" w:rsidRPr="00342080" w:rsidRDefault="00142706" w:rsidP="00142706">
            <w:pPr>
              <w:shd w:val="clear" w:color="auto" w:fill="FFFFFF"/>
              <w:contextualSpacing/>
              <w:mirrorIndents/>
              <w:rPr>
                <w:rFonts w:asciiTheme="majorHAnsi" w:hAnsiTheme="majorHAnsi" w:cs="Times New Roman"/>
              </w:rPr>
            </w:pPr>
            <w:r w:rsidRPr="00342080">
              <w:rPr>
                <w:rFonts w:asciiTheme="majorHAnsi" w:hAnsiTheme="majorHAnsi" w:cs="Times New Roman"/>
              </w:rPr>
              <w:t>300</w:t>
            </w:r>
          </w:p>
          <w:p w14:paraId="3C56AA16" w14:textId="77777777" w:rsidR="00142706" w:rsidRPr="00342080" w:rsidRDefault="00142706" w:rsidP="00142706">
            <w:pPr>
              <w:shd w:val="clear" w:color="auto" w:fill="FFFFFF"/>
              <w:contextualSpacing/>
              <w:mirrorIndents/>
              <w:rPr>
                <w:rFonts w:asciiTheme="majorHAnsi" w:hAnsiTheme="majorHAnsi" w:cs="Times New Roman"/>
                <w:color w:val="FF0000"/>
              </w:rPr>
            </w:pPr>
          </w:p>
        </w:tc>
        <w:tc>
          <w:tcPr>
            <w:tcW w:w="4961" w:type="dxa"/>
            <w:tcBorders>
              <w:top w:val="single" w:sz="4" w:space="0" w:color="auto"/>
              <w:left w:val="nil"/>
              <w:bottom w:val="single" w:sz="4" w:space="0" w:color="auto"/>
              <w:right w:val="single" w:sz="4" w:space="0" w:color="auto"/>
            </w:tcBorders>
            <w:shd w:val="clear" w:color="auto" w:fill="auto"/>
          </w:tcPr>
          <w:p w14:paraId="63C7E26F" w14:textId="43EB7A46" w:rsidR="00142706" w:rsidRPr="00342080" w:rsidRDefault="00142706" w:rsidP="00142706">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rPr>
              <w:t xml:space="preserve">Tyrimas atliekamas, naudojant stulpelių korteles su specifiniais antikūnais </w:t>
            </w:r>
            <w:proofErr w:type="spellStart"/>
            <w:r w:rsidRPr="00342080">
              <w:rPr>
                <w:rFonts w:asciiTheme="majorHAnsi" w:hAnsiTheme="majorHAnsi" w:cs="Times New Roman"/>
              </w:rPr>
              <w:t>anti-Jk</w:t>
            </w:r>
            <w:r w:rsidRPr="00342080">
              <w:rPr>
                <w:rFonts w:asciiTheme="majorHAnsi" w:hAnsiTheme="majorHAnsi" w:cs="Times New Roman"/>
                <w:vertAlign w:val="superscript"/>
              </w:rPr>
              <w:t>b</w:t>
            </w:r>
            <w:proofErr w:type="spellEnd"/>
            <w:r w:rsidRPr="00342080">
              <w:rPr>
                <w:rFonts w:asciiTheme="majorHAnsi" w:hAnsiTheme="majorHAnsi" w:cs="Times New Roman"/>
              </w:rPr>
              <w:t>. Būtina galimybė atskirai nustatyti tik šį vieną antigeną. Vienas stulpelis skiriamas neigiamai kontrolei (gali būti atskira kortelė).</w:t>
            </w:r>
          </w:p>
        </w:tc>
        <w:tc>
          <w:tcPr>
            <w:tcW w:w="3699" w:type="dxa"/>
            <w:tcBorders>
              <w:top w:val="single" w:sz="4" w:space="0" w:color="auto"/>
              <w:left w:val="nil"/>
              <w:bottom w:val="single" w:sz="4" w:space="0" w:color="auto"/>
              <w:right w:val="single" w:sz="4" w:space="0" w:color="auto"/>
            </w:tcBorders>
          </w:tcPr>
          <w:p w14:paraId="0646B15E" w14:textId="439DEE2F" w:rsidR="00142706" w:rsidRPr="00342080" w:rsidRDefault="00142706" w:rsidP="00142706">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i/>
              </w:rPr>
              <w:t>įrašo tiekėjas</w:t>
            </w:r>
          </w:p>
        </w:tc>
      </w:tr>
      <w:tr w:rsidR="00142706" w:rsidRPr="00342080" w14:paraId="6DB787C1"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194B9C2A" w14:textId="71F151E4" w:rsidR="00142706" w:rsidRPr="00342080" w:rsidRDefault="00142706" w:rsidP="00142706">
            <w:pPr>
              <w:contextualSpacing/>
              <w:mirrorIndents/>
              <w:rPr>
                <w:rFonts w:asciiTheme="majorHAnsi" w:hAnsiTheme="majorHAnsi" w:cs="Times New Roman"/>
              </w:rPr>
            </w:pPr>
            <w:r w:rsidRPr="00342080">
              <w:rPr>
                <w:rFonts w:asciiTheme="majorHAnsi" w:hAnsiTheme="majorHAnsi" w:cs="Times New Roman"/>
              </w:rPr>
              <w:t>1.23</w:t>
            </w:r>
          </w:p>
        </w:tc>
        <w:tc>
          <w:tcPr>
            <w:tcW w:w="3376" w:type="dxa"/>
            <w:tcBorders>
              <w:top w:val="single" w:sz="4" w:space="0" w:color="auto"/>
              <w:left w:val="nil"/>
              <w:bottom w:val="single" w:sz="4" w:space="0" w:color="auto"/>
              <w:right w:val="single" w:sz="4" w:space="0" w:color="auto"/>
            </w:tcBorders>
            <w:shd w:val="clear" w:color="auto" w:fill="auto"/>
          </w:tcPr>
          <w:p w14:paraId="04B2B407" w14:textId="1436901D" w:rsidR="00142706" w:rsidRPr="00342080" w:rsidRDefault="00142706" w:rsidP="00142706">
            <w:pPr>
              <w:contextualSpacing/>
              <w:mirrorIndents/>
              <w:rPr>
                <w:rFonts w:asciiTheme="majorHAnsi" w:hAnsiTheme="majorHAnsi" w:cs="Times New Roman"/>
              </w:rPr>
            </w:pPr>
            <w:proofErr w:type="spellStart"/>
            <w:r w:rsidRPr="00342080">
              <w:rPr>
                <w:rFonts w:asciiTheme="majorHAnsi" w:hAnsiTheme="majorHAnsi" w:cs="Times New Roman"/>
              </w:rPr>
              <w:t>Kp</w:t>
            </w:r>
            <w:r w:rsidRPr="00342080">
              <w:rPr>
                <w:rFonts w:asciiTheme="majorHAnsi" w:hAnsiTheme="majorHAnsi" w:cs="Times New Roman"/>
                <w:vertAlign w:val="superscript"/>
              </w:rPr>
              <w:t>a</w:t>
            </w:r>
            <w:proofErr w:type="spellEnd"/>
            <w:r w:rsidRPr="00342080">
              <w:rPr>
                <w:rFonts w:asciiTheme="majorHAnsi" w:hAnsiTheme="majorHAnsi" w:cs="Times New Roman"/>
              </w:rPr>
              <w:t xml:space="preserve"> antigeno nustatymas</w:t>
            </w:r>
          </w:p>
        </w:tc>
        <w:tc>
          <w:tcPr>
            <w:tcW w:w="1549" w:type="dxa"/>
            <w:tcBorders>
              <w:top w:val="single" w:sz="4" w:space="0" w:color="auto"/>
              <w:left w:val="nil"/>
              <w:bottom w:val="single" w:sz="4" w:space="0" w:color="auto"/>
              <w:right w:val="single" w:sz="4" w:space="0" w:color="auto"/>
            </w:tcBorders>
            <w:shd w:val="clear" w:color="auto" w:fill="auto"/>
          </w:tcPr>
          <w:p w14:paraId="6688B0EC" w14:textId="0C4362AF" w:rsidR="00142706" w:rsidRPr="00342080" w:rsidRDefault="00142706" w:rsidP="00142706">
            <w:pPr>
              <w:shd w:val="clear" w:color="auto" w:fill="FFFFFF"/>
              <w:contextualSpacing/>
              <w:mirrorIndents/>
              <w:rPr>
                <w:rFonts w:asciiTheme="majorHAnsi" w:hAnsiTheme="majorHAnsi" w:cs="Times New Roman"/>
                <w:color w:val="FF0000"/>
              </w:rPr>
            </w:pPr>
            <w:r w:rsidRPr="00342080">
              <w:rPr>
                <w:rFonts w:asciiTheme="majorHAnsi" w:hAnsiTheme="majorHAnsi" w:cs="Times New Roman"/>
              </w:rPr>
              <w:t>300</w:t>
            </w:r>
          </w:p>
        </w:tc>
        <w:tc>
          <w:tcPr>
            <w:tcW w:w="4961" w:type="dxa"/>
            <w:tcBorders>
              <w:top w:val="single" w:sz="4" w:space="0" w:color="auto"/>
              <w:left w:val="nil"/>
              <w:bottom w:val="single" w:sz="4" w:space="0" w:color="auto"/>
              <w:right w:val="single" w:sz="4" w:space="0" w:color="auto"/>
            </w:tcBorders>
            <w:shd w:val="clear" w:color="auto" w:fill="auto"/>
          </w:tcPr>
          <w:p w14:paraId="644BA7F0" w14:textId="4243F3C4" w:rsidR="00142706" w:rsidRPr="00342080" w:rsidRDefault="00142706" w:rsidP="00142706">
            <w:pPr>
              <w:shd w:val="clear" w:color="auto" w:fill="FFFFFF"/>
              <w:contextualSpacing/>
              <w:mirrorIndents/>
              <w:rPr>
                <w:rFonts w:asciiTheme="majorHAnsi" w:hAnsiTheme="majorHAnsi" w:cs="Times New Roman"/>
              </w:rPr>
            </w:pPr>
            <w:r w:rsidRPr="00342080">
              <w:rPr>
                <w:rFonts w:asciiTheme="majorHAnsi" w:hAnsiTheme="majorHAnsi" w:cs="Times New Roman"/>
              </w:rPr>
              <w:t xml:space="preserve">Tyrimas atliekamas, naudojant stulpelių korteles su specifiniais antikūnais </w:t>
            </w:r>
            <w:proofErr w:type="spellStart"/>
            <w:r w:rsidRPr="00342080">
              <w:rPr>
                <w:rFonts w:asciiTheme="majorHAnsi" w:hAnsiTheme="majorHAnsi" w:cs="Times New Roman"/>
              </w:rPr>
              <w:t>anti-Kp</w:t>
            </w:r>
            <w:r w:rsidRPr="00342080">
              <w:rPr>
                <w:rFonts w:asciiTheme="majorHAnsi" w:hAnsiTheme="majorHAnsi" w:cs="Times New Roman"/>
                <w:vertAlign w:val="superscript"/>
              </w:rPr>
              <w:t>a</w:t>
            </w:r>
            <w:proofErr w:type="spellEnd"/>
            <w:r w:rsidRPr="00342080">
              <w:rPr>
                <w:rFonts w:asciiTheme="majorHAnsi" w:hAnsiTheme="majorHAnsi" w:cs="Times New Roman"/>
              </w:rPr>
              <w:t>. Būtina galimybė atskirai nustatyti tik šį vieną antigeną. Vienas stulpelis skiriamas neigiamai kontrolei (gali būti atskira kortelė).</w:t>
            </w:r>
          </w:p>
        </w:tc>
        <w:tc>
          <w:tcPr>
            <w:tcW w:w="3699" w:type="dxa"/>
            <w:tcBorders>
              <w:top w:val="single" w:sz="4" w:space="0" w:color="auto"/>
              <w:left w:val="nil"/>
              <w:bottom w:val="single" w:sz="4" w:space="0" w:color="auto"/>
              <w:right w:val="single" w:sz="4" w:space="0" w:color="auto"/>
            </w:tcBorders>
          </w:tcPr>
          <w:p w14:paraId="45767D73" w14:textId="1CC76A5A" w:rsidR="00142706" w:rsidRPr="00342080" w:rsidRDefault="00142706" w:rsidP="00142706">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i/>
              </w:rPr>
              <w:t>įrašo tiekėjas</w:t>
            </w:r>
          </w:p>
        </w:tc>
      </w:tr>
      <w:tr w:rsidR="00603897" w:rsidRPr="00342080" w14:paraId="5C88BAFC"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34DFF54B" w14:textId="51DF9BA1" w:rsidR="00603897" w:rsidRPr="00342080" w:rsidRDefault="00603897" w:rsidP="00603897">
            <w:pPr>
              <w:contextualSpacing/>
              <w:mirrorIndents/>
              <w:rPr>
                <w:rFonts w:asciiTheme="majorHAnsi" w:hAnsiTheme="majorHAnsi" w:cs="Times New Roman"/>
              </w:rPr>
            </w:pPr>
            <w:r w:rsidRPr="00342080">
              <w:rPr>
                <w:rFonts w:asciiTheme="majorHAnsi" w:hAnsiTheme="majorHAnsi" w:cs="Times New Roman"/>
              </w:rPr>
              <w:t>1.24</w:t>
            </w:r>
          </w:p>
        </w:tc>
        <w:tc>
          <w:tcPr>
            <w:tcW w:w="3376" w:type="dxa"/>
            <w:tcBorders>
              <w:top w:val="single" w:sz="4" w:space="0" w:color="auto"/>
              <w:left w:val="nil"/>
              <w:bottom w:val="single" w:sz="4" w:space="0" w:color="auto"/>
              <w:right w:val="single" w:sz="4" w:space="0" w:color="auto"/>
            </w:tcBorders>
            <w:shd w:val="clear" w:color="auto" w:fill="auto"/>
          </w:tcPr>
          <w:p w14:paraId="0ED21398" w14:textId="3D5DD280" w:rsidR="00603897" w:rsidRPr="00342080" w:rsidRDefault="00603897" w:rsidP="00603897">
            <w:pPr>
              <w:contextualSpacing/>
              <w:mirrorIndents/>
              <w:rPr>
                <w:rFonts w:asciiTheme="majorHAnsi" w:hAnsiTheme="majorHAnsi" w:cs="Times New Roman"/>
              </w:rPr>
            </w:pPr>
            <w:r w:rsidRPr="00342080">
              <w:rPr>
                <w:rFonts w:asciiTheme="majorHAnsi" w:hAnsiTheme="majorHAnsi" w:cs="Times New Roman"/>
              </w:rPr>
              <w:t>M antigeno nustatymas</w:t>
            </w:r>
          </w:p>
        </w:tc>
        <w:tc>
          <w:tcPr>
            <w:tcW w:w="1549" w:type="dxa"/>
            <w:tcBorders>
              <w:top w:val="single" w:sz="4" w:space="0" w:color="auto"/>
              <w:left w:val="nil"/>
              <w:bottom w:val="single" w:sz="4" w:space="0" w:color="auto"/>
              <w:right w:val="single" w:sz="4" w:space="0" w:color="auto"/>
            </w:tcBorders>
            <w:shd w:val="clear" w:color="auto" w:fill="auto"/>
          </w:tcPr>
          <w:p w14:paraId="227AE2B6" w14:textId="536141B4" w:rsidR="00603897" w:rsidRPr="00342080" w:rsidRDefault="00603897" w:rsidP="00603897">
            <w:pPr>
              <w:shd w:val="clear" w:color="auto" w:fill="FFFFFF"/>
              <w:contextualSpacing/>
              <w:mirrorIndents/>
              <w:rPr>
                <w:rFonts w:asciiTheme="majorHAnsi" w:hAnsiTheme="majorHAnsi" w:cs="Times New Roman"/>
                <w:color w:val="FF0000"/>
              </w:rPr>
            </w:pPr>
            <w:r w:rsidRPr="00342080">
              <w:rPr>
                <w:rFonts w:asciiTheme="majorHAnsi" w:hAnsiTheme="majorHAnsi" w:cs="Times New Roman"/>
              </w:rPr>
              <w:t>300</w:t>
            </w:r>
          </w:p>
        </w:tc>
        <w:tc>
          <w:tcPr>
            <w:tcW w:w="4961" w:type="dxa"/>
            <w:tcBorders>
              <w:top w:val="single" w:sz="4" w:space="0" w:color="auto"/>
              <w:left w:val="nil"/>
              <w:bottom w:val="single" w:sz="4" w:space="0" w:color="auto"/>
              <w:right w:val="single" w:sz="4" w:space="0" w:color="auto"/>
            </w:tcBorders>
            <w:shd w:val="clear" w:color="auto" w:fill="auto"/>
          </w:tcPr>
          <w:p w14:paraId="5F5817DD" w14:textId="1EA886B1" w:rsidR="00603897" w:rsidRPr="00342080" w:rsidRDefault="00603897" w:rsidP="00603897">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rPr>
              <w:t xml:space="preserve">Tyrimas atliekamas, naudojant stulpelių korteles su specifiniais antikūnais </w:t>
            </w:r>
            <w:proofErr w:type="spellStart"/>
            <w:r w:rsidRPr="00342080">
              <w:rPr>
                <w:rFonts w:asciiTheme="majorHAnsi" w:hAnsiTheme="majorHAnsi" w:cs="Times New Roman"/>
              </w:rPr>
              <w:t>anti</w:t>
            </w:r>
            <w:proofErr w:type="spellEnd"/>
            <w:r w:rsidRPr="00342080">
              <w:rPr>
                <w:rFonts w:asciiTheme="majorHAnsi" w:hAnsiTheme="majorHAnsi" w:cs="Times New Roman"/>
              </w:rPr>
              <w:t>-M. Būtina galimybė atskirai nustatyti tik šį vieną antigeną. Vienas stulpelis skiriamas neigiamai kontrolei (gali būti atskira kortelė).</w:t>
            </w:r>
          </w:p>
        </w:tc>
        <w:tc>
          <w:tcPr>
            <w:tcW w:w="3699" w:type="dxa"/>
            <w:tcBorders>
              <w:top w:val="single" w:sz="4" w:space="0" w:color="auto"/>
              <w:left w:val="nil"/>
              <w:bottom w:val="single" w:sz="4" w:space="0" w:color="auto"/>
              <w:right w:val="single" w:sz="4" w:space="0" w:color="auto"/>
            </w:tcBorders>
          </w:tcPr>
          <w:p w14:paraId="51985885" w14:textId="14AD52DB" w:rsidR="00603897" w:rsidRPr="00342080" w:rsidRDefault="00603897" w:rsidP="00603897">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i/>
              </w:rPr>
              <w:t>įrašo tiekėjas</w:t>
            </w:r>
          </w:p>
        </w:tc>
      </w:tr>
      <w:tr w:rsidR="00603897" w:rsidRPr="00342080" w14:paraId="653AACFE"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047A3921" w14:textId="0A624D61" w:rsidR="00603897" w:rsidRPr="00342080" w:rsidRDefault="00603897" w:rsidP="00603897">
            <w:pPr>
              <w:contextualSpacing/>
              <w:mirrorIndents/>
              <w:rPr>
                <w:rFonts w:asciiTheme="majorHAnsi" w:hAnsiTheme="majorHAnsi" w:cs="Times New Roman"/>
              </w:rPr>
            </w:pPr>
            <w:r w:rsidRPr="00342080">
              <w:rPr>
                <w:rFonts w:asciiTheme="majorHAnsi" w:hAnsiTheme="majorHAnsi" w:cs="Times New Roman"/>
              </w:rPr>
              <w:t>1.25</w:t>
            </w:r>
          </w:p>
        </w:tc>
        <w:tc>
          <w:tcPr>
            <w:tcW w:w="3376" w:type="dxa"/>
            <w:tcBorders>
              <w:top w:val="single" w:sz="4" w:space="0" w:color="auto"/>
              <w:left w:val="nil"/>
              <w:bottom w:val="single" w:sz="4" w:space="0" w:color="auto"/>
              <w:right w:val="single" w:sz="4" w:space="0" w:color="auto"/>
            </w:tcBorders>
            <w:shd w:val="clear" w:color="auto" w:fill="auto"/>
          </w:tcPr>
          <w:p w14:paraId="5FEE69D3" w14:textId="6D42C4C1" w:rsidR="00603897" w:rsidRPr="00342080" w:rsidRDefault="00603897" w:rsidP="00603897">
            <w:pPr>
              <w:contextualSpacing/>
              <w:mirrorIndents/>
              <w:rPr>
                <w:rFonts w:asciiTheme="majorHAnsi" w:hAnsiTheme="majorHAnsi" w:cs="Times New Roman"/>
              </w:rPr>
            </w:pPr>
            <w:r w:rsidRPr="00342080">
              <w:rPr>
                <w:rFonts w:asciiTheme="majorHAnsi" w:hAnsiTheme="majorHAnsi" w:cs="Times New Roman"/>
              </w:rPr>
              <w:t>S antigeno nustatymas</w:t>
            </w:r>
          </w:p>
        </w:tc>
        <w:tc>
          <w:tcPr>
            <w:tcW w:w="1549" w:type="dxa"/>
            <w:tcBorders>
              <w:top w:val="single" w:sz="4" w:space="0" w:color="auto"/>
              <w:left w:val="nil"/>
              <w:bottom w:val="single" w:sz="4" w:space="0" w:color="auto"/>
              <w:right w:val="single" w:sz="4" w:space="0" w:color="auto"/>
            </w:tcBorders>
            <w:shd w:val="clear" w:color="auto" w:fill="auto"/>
          </w:tcPr>
          <w:p w14:paraId="40EF3AE5" w14:textId="358300B2" w:rsidR="00603897" w:rsidRPr="00342080" w:rsidRDefault="00603897" w:rsidP="00603897">
            <w:pPr>
              <w:shd w:val="clear" w:color="auto" w:fill="FFFFFF"/>
              <w:contextualSpacing/>
              <w:mirrorIndents/>
              <w:rPr>
                <w:rFonts w:asciiTheme="majorHAnsi" w:hAnsiTheme="majorHAnsi" w:cs="Times New Roman"/>
                <w:color w:val="FF0000"/>
              </w:rPr>
            </w:pPr>
            <w:r w:rsidRPr="00342080">
              <w:rPr>
                <w:rFonts w:asciiTheme="majorHAnsi" w:hAnsiTheme="majorHAnsi" w:cs="Times New Roman"/>
              </w:rPr>
              <w:t>300</w:t>
            </w:r>
          </w:p>
        </w:tc>
        <w:tc>
          <w:tcPr>
            <w:tcW w:w="4961" w:type="dxa"/>
            <w:tcBorders>
              <w:top w:val="single" w:sz="4" w:space="0" w:color="auto"/>
              <w:left w:val="nil"/>
              <w:bottom w:val="single" w:sz="4" w:space="0" w:color="auto"/>
              <w:right w:val="single" w:sz="4" w:space="0" w:color="auto"/>
            </w:tcBorders>
            <w:shd w:val="clear" w:color="auto" w:fill="auto"/>
          </w:tcPr>
          <w:p w14:paraId="34B3317E" w14:textId="10FEEBCB" w:rsidR="00603897" w:rsidRPr="00342080" w:rsidRDefault="00603897" w:rsidP="00603897">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rPr>
              <w:t xml:space="preserve">Tyrimas atliekamas, naudojant stulpelių korteles su specifiniais antikūnais </w:t>
            </w:r>
            <w:proofErr w:type="spellStart"/>
            <w:r w:rsidRPr="00342080">
              <w:rPr>
                <w:rFonts w:asciiTheme="majorHAnsi" w:hAnsiTheme="majorHAnsi" w:cs="Times New Roman"/>
              </w:rPr>
              <w:t>anti</w:t>
            </w:r>
            <w:proofErr w:type="spellEnd"/>
            <w:r w:rsidRPr="00342080">
              <w:rPr>
                <w:rFonts w:asciiTheme="majorHAnsi" w:hAnsiTheme="majorHAnsi" w:cs="Times New Roman"/>
              </w:rPr>
              <w:t>-S. Būtina galimybė atskirai nustatyti tik šį vieną antigeną. Vienas stulpelis skiriamas neigiamai kontrolei (gali būti atskira kortelė).</w:t>
            </w:r>
          </w:p>
        </w:tc>
        <w:tc>
          <w:tcPr>
            <w:tcW w:w="3699" w:type="dxa"/>
            <w:tcBorders>
              <w:top w:val="single" w:sz="4" w:space="0" w:color="auto"/>
              <w:left w:val="nil"/>
              <w:bottom w:val="single" w:sz="4" w:space="0" w:color="auto"/>
              <w:right w:val="single" w:sz="4" w:space="0" w:color="auto"/>
            </w:tcBorders>
          </w:tcPr>
          <w:p w14:paraId="597E817E" w14:textId="58505C25" w:rsidR="00603897" w:rsidRPr="00342080" w:rsidRDefault="00603897" w:rsidP="00603897">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i/>
              </w:rPr>
              <w:t>įrašo tiekėjas</w:t>
            </w:r>
          </w:p>
        </w:tc>
      </w:tr>
      <w:tr w:rsidR="00603897" w:rsidRPr="00342080" w14:paraId="5628A9BD"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170B6D88" w14:textId="783F2633" w:rsidR="00603897" w:rsidRPr="00342080" w:rsidRDefault="00603897" w:rsidP="00603897">
            <w:pPr>
              <w:contextualSpacing/>
              <w:mirrorIndents/>
              <w:rPr>
                <w:rFonts w:asciiTheme="majorHAnsi" w:hAnsiTheme="majorHAnsi" w:cs="Times New Roman"/>
              </w:rPr>
            </w:pPr>
            <w:r w:rsidRPr="00342080">
              <w:rPr>
                <w:rFonts w:asciiTheme="majorHAnsi" w:hAnsiTheme="majorHAnsi" w:cs="Times New Roman"/>
              </w:rPr>
              <w:t>1.26</w:t>
            </w:r>
          </w:p>
        </w:tc>
        <w:tc>
          <w:tcPr>
            <w:tcW w:w="3376" w:type="dxa"/>
            <w:tcBorders>
              <w:top w:val="single" w:sz="4" w:space="0" w:color="auto"/>
              <w:left w:val="nil"/>
              <w:bottom w:val="single" w:sz="4" w:space="0" w:color="auto"/>
              <w:right w:val="single" w:sz="4" w:space="0" w:color="auto"/>
            </w:tcBorders>
            <w:shd w:val="clear" w:color="auto" w:fill="auto"/>
          </w:tcPr>
          <w:p w14:paraId="2C75CB68" w14:textId="12040B7C" w:rsidR="00603897" w:rsidRPr="00342080" w:rsidRDefault="00603897" w:rsidP="00603897">
            <w:pPr>
              <w:contextualSpacing/>
              <w:mirrorIndents/>
              <w:rPr>
                <w:rFonts w:asciiTheme="majorHAnsi" w:hAnsiTheme="majorHAnsi" w:cs="Times New Roman"/>
              </w:rPr>
            </w:pPr>
            <w:proofErr w:type="spellStart"/>
            <w:r w:rsidRPr="00342080">
              <w:rPr>
                <w:rFonts w:asciiTheme="majorHAnsi" w:hAnsiTheme="majorHAnsi" w:cs="Times New Roman"/>
              </w:rPr>
              <w:t>Lu</w:t>
            </w:r>
            <w:r w:rsidRPr="00342080">
              <w:rPr>
                <w:rFonts w:asciiTheme="majorHAnsi" w:hAnsiTheme="majorHAnsi" w:cs="Times New Roman"/>
                <w:vertAlign w:val="superscript"/>
              </w:rPr>
              <w:t>a</w:t>
            </w:r>
            <w:proofErr w:type="spellEnd"/>
            <w:r w:rsidRPr="00342080">
              <w:rPr>
                <w:rFonts w:asciiTheme="majorHAnsi" w:hAnsiTheme="majorHAnsi" w:cs="Times New Roman"/>
              </w:rPr>
              <w:t xml:space="preserve"> antigeno nustatymas</w:t>
            </w:r>
          </w:p>
        </w:tc>
        <w:tc>
          <w:tcPr>
            <w:tcW w:w="1549" w:type="dxa"/>
            <w:tcBorders>
              <w:top w:val="single" w:sz="4" w:space="0" w:color="auto"/>
              <w:left w:val="nil"/>
              <w:bottom w:val="single" w:sz="4" w:space="0" w:color="auto"/>
              <w:right w:val="single" w:sz="4" w:space="0" w:color="auto"/>
            </w:tcBorders>
            <w:shd w:val="clear" w:color="auto" w:fill="auto"/>
          </w:tcPr>
          <w:p w14:paraId="3E0915D2" w14:textId="40395981" w:rsidR="00603897" w:rsidRPr="00342080" w:rsidRDefault="00603897" w:rsidP="00603897">
            <w:pPr>
              <w:shd w:val="clear" w:color="auto" w:fill="FFFFFF"/>
              <w:contextualSpacing/>
              <w:mirrorIndents/>
              <w:rPr>
                <w:rFonts w:asciiTheme="majorHAnsi" w:hAnsiTheme="majorHAnsi" w:cs="Times New Roman"/>
              </w:rPr>
            </w:pPr>
            <w:r w:rsidRPr="00342080">
              <w:rPr>
                <w:rFonts w:asciiTheme="majorHAnsi" w:hAnsiTheme="majorHAnsi" w:cs="Times New Roman"/>
              </w:rPr>
              <w:t>300</w:t>
            </w:r>
          </w:p>
        </w:tc>
        <w:tc>
          <w:tcPr>
            <w:tcW w:w="4961" w:type="dxa"/>
            <w:tcBorders>
              <w:top w:val="single" w:sz="4" w:space="0" w:color="auto"/>
              <w:left w:val="nil"/>
              <w:bottom w:val="single" w:sz="4" w:space="0" w:color="auto"/>
              <w:right w:val="single" w:sz="4" w:space="0" w:color="auto"/>
            </w:tcBorders>
            <w:shd w:val="clear" w:color="auto" w:fill="auto"/>
          </w:tcPr>
          <w:p w14:paraId="7D96E63D" w14:textId="681BE3CC" w:rsidR="00603897" w:rsidRPr="00342080" w:rsidRDefault="00603897" w:rsidP="00603897">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rPr>
              <w:t xml:space="preserve">Tyrimas atliekamas, naudojant stulpelių korteles su specifiniais antikūnais </w:t>
            </w:r>
            <w:proofErr w:type="spellStart"/>
            <w:r w:rsidRPr="00342080">
              <w:rPr>
                <w:rFonts w:asciiTheme="majorHAnsi" w:hAnsiTheme="majorHAnsi" w:cs="Times New Roman"/>
              </w:rPr>
              <w:t>anti-Lu</w:t>
            </w:r>
            <w:r w:rsidRPr="00342080">
              <w:rPr>
                <w:rFonts w:asciiTheme="majorHAnsi" w:hAnsiTheme="majorHAnsi" w:cs="Times New Roman"/>
                <w:vertAlign w:val="superscript"/>
              </w:rPr>
              <w:t>a</w:t>
            </w:r>
            <w:proofErr w:type="spellEnd"/>
            <w:r w:rsidRPr="00342080">
              <w:rPr>
                <w:rFonts w:asciiTheme="majorHAnsi" w:hAnsiTheme="majorHAnsi" w:cs="Times New Roman"/>
              </w:rPr>
              <w:t>. Būtina galimybė atskirai nustatyti tik šį vieną antigeną. Vienas stulpelis skiriamas neigiamai kontrolei (gali būti atskira kortelė).</w:t>
            </w:r>
          </w:p>
        </w:tc>
        <w:tc>
          <w:tcPr>
            <w:tcW w:w="3699" w:type="dxa"/>
            <w:tcBorders>
              <w:top w:val="single" w:sz="4" w:space="0" w:color="auto"/>
              <w:left w:val="nil"/>
              <w:bottom w:val="single" w:sz="4" w:space="0" w:color="auto"/>
              <w:right w:val="single" w:sz="4" w:space="0" w:color="auto"/>
            </w:tcBorders>
          </w:tcPr>
          <w:p w14:paraId="210BA0E8" w14:textId="1DEBE750" w:rsidR="00603897" w:rsidRPr="00342080" w:rsidRDefault="00603897" w:rsidP="00603897">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i/>
              </w:rPr>
              <w:t>įrašo tiekėjas</w:t>
            </w:r>
          </w:p>
        </w:tc>
      </w:tr>
      <w:tr w:rsidR="00603897" w:rsidRPr="00342080" w14:paraId="67A1EF76"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7104A01C" w14:textId="29A979ED" w:rsidR="00603897" w:rsidRPr="00342080" w:rsidRDefault="00603897" w:rsidP="00603897">
            <w:pPr>
              <w:contextualSpacing/>
              <w:mirrorIndents/>
              <w:rPr>
                <w:rFonts w:asciiTheme="majorHAnsi" w:hAnsiTheme="majorHAnsi" w:cs="Times New Roman"/>
              </w:rPr>
            </w:pPr>
            <w:r w:rsidRPr="00342080">
              <w:rPr>
                <w:rFonts w:asciiTheme="majorHAnsi" w:hAnsiTheme="majorHAnsi" w:cs="Times New Roman"/>
              </w:rPr>
              <w:t>1.27</w:t>
            </w:r>
          </w:p>
        </w:tc>
        <w:tc>
          <w:tcPr>
            <w:tcW w:w="3376" w:type="dxa"/>
            <w:tcBorders>
              <w:top w:val="single" w:sz="4" w:space="0" w:color="auto"/>
              <w:left w:val="nil"/>
              <w:bottom w:val="single" w:sz="4" w:space="0" w:color="auto"/>
              <w:right w:val="single" w:sz="4" w:space="0" w:color="auto"/>
            </w:tcBorders>
            <w:shd w:val="clear" w:color="auto" w:fill="auto"/>
          </w:tcPr>
          <w:p w14:paraId="597F33F4" w14:textId="26911607" w:rsidR="00603897" w:rsidRPr="00342080" w:rsidRDefault="00603897" w:rsidP="00603897">
            <w:pPr>
              <w:contextualSpacing/>
              <w:mirrorIndents/>
              <w:rPr>
                <w:rFonts w:asciiTheme="majorHAnsi" w:hAnsiTheme="majorHAnsi" w:cs="Times New Roman"/>
              </w:rPr>
            </w:pPr>
            <w:proofErr w:type="spellStart"/>
            <w:r w:rsidRPr="00342080">
              <w:rPr>
                <w:rFonts w:asciiTheme="majorHAnsi" w:hAnsiTheme="majorHAnsi" w:cs="Times New Roman"/>
              </w:rPr>
              <w:t>Le</w:t>
            </w:r>
            <w:r w:rsidRPr="00342080">
              <w:rPr>
                <w:rFonts w:asciiTheme="majorHAnsi" w:hAnsiTheme="majorHAnsi" w:cs="Times New Roman"/>
                <w:vertAlign w:val="superscript"/>
              </w:rPr>
              <w:t>a</w:t>
            </w:r>
            <w:proofErr w:type="spellEnd"/>
            <w:r w:rsidRPr="00342080">
              <w:rPr>
                <w:rFonts w:asciiTheme="majorHAnsi" w:hAnsiTheme="majorHAnsi" w:cs="Times New Roman"/>
              </w:rPr>
              <w:t xml:space="preserve"> antigeno nustatymas</w:t>
            </w:r>
          </w:p>
        </w:tc>
        <w:tc>
          <w:tcPr>
            <w:tcW w:w="1549" w:type="dxa"/>
            <w:tcBorders>
              <w:top w:val="single" w:sz="4" w:space="0" w:color="auto"/>
              <w:left w:val="nil"/>
              <w:bottom w:val="single" w:sz="4" w:space="0" w:color="auto"/>
              <w:right w:val="single" w:sz="4" w:space="0" w:color="auto"/>
            </w:tcBorders>
            <w:shd w:val="clear" w:color="auto" w:fill="auto"/>
          </w:tcPr>
          <w:p w14:paraId="7FF8F320" w14:textId="2706CA3C" w:rsidR="00603897" w:rsidRPr="00342080" w:rsidRDefault="00603897" w:rsidP="00603897">
            <w:pPr>
              <w:shd w:val="clear" w:color="auto" w:fill="FFFFFF"/>
              <w:contextualSpacing/>
              <w:mirrorIndents/>
              <w:rPr>
                <w:rFonts w:asciiTheme="majorHAnsi" w:hAnsiTheme="majorHAnsi" w:cs="Times New Roman"/>
              </w:rPr>
            </w:pPr>
            <w:r w:rsidRPr="00342080">
              <w:rPr>
                <w:rFonts w:asciiTheme="majorHAnsi" w:hAnsiTheme="majorHAnsi" w:cs="Times New Roman"/>
              </w:rPr>
              <w:t>300</w:t>
            </w:r>
          </w:p>
        </w:tc>
        <w:tc>
          <w:tcPr>
            <w:tcW w:w="4961" w:type="dxa"/>
            <w:tcBorders>
              <w:top w:val="single" w:sz="4" w:space="0" w:color="auto"/>
              <w:left w:val="nil"/>
              <w:bottom w:val="single" w:sz="4" w:space="0" w:color="auto"/>
              <w:right w:val="single" w:sz="4" w:space="0" w:color="auto"/>
            </w:tcBorders>
            <w:shd w:val="clear" w:color="auto" w:fill="auto"/>
          </w:tcPr>
          <w:p w14:paraId="0C940A84" w14:textId="1882AC62" w:rsidR="00603897" w:rsidRPr="00342080" w:rsidRDefault="00603897" w:rsidP="00603897">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rPr>
              <w:t xml:space="preserve">Tyrimas atliekamas, naudojant stulpelių korteles su specifiniais antikūnais </w:t>
            </w:r>
            <w:proofErr w:type="spellStart"/>
            <w:r w:rsidRPr="00342080">
              <w:rPr>
                <w:rFonts w:asciiTheme="majorHAnsi" w:hAnsiTheme="majorHAnsi" w:cs="Times New Roman"/>
              </w:rPr>
              <w:t>anti-Le</w:t>
            </w:r>
            <w:r w:rsidRPr="00342080">
              <w:rPr>
                <w:rFonts w:asciiTheme="majorHAnsi" w:hAnsiTheme="majorHAnsi" w:cs="Times New Roman"/>
                <w:vertAlign w:val="superscript"/>
              </w:rPr>
              <w:t>a</w:t>
            </w:r>
            <w:proofErr w:type="spellEnd"/>
            <w:r w:rsidRPr="00342080">
              <w:rPr>
                <w:rFonts w:asciiTheme="majorHAnsi" w:hAnsiTheme="majorHAnsi" w:cs="Times New Roman"/>
              </w:rPr>
              <w:t xml:space="preserve"> Būtina galimybė atskirai nustatyti tik šį vieną antigeną. Vienas stulpelis skiriamas kontrolei (gali būti atskira kortelė).</w:t>
            </w:r>
          </w:p>
        </w:tc>
        <w:tc>
          <w:tcPr>
            <w:tcW w:w="3699" w:type="dxa"/>
            <w:tcBorders>
              <w:top w:val="single" w:sz="4" w:space="0" w:color="auto"/>
              <w:left w:val="nil"/>
              <w:bottom w:val="single" w:sz="4" w:space="0" w:color="auto"/>
              <w:right w:val="single" w:sz="4" w:space="0" w:color="auto"/>
            </w:tcBorders>
          </w:tcPr>
          <w:p w14:paraId="26640F0B" w14:textId="7E15A2CE" w:rsidR="00603897" w:rsidRPr="00342080" w:rsidRDefault="00603897" w:rsidP="00603897">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i/>
              </w:rPr>
              <w:t>įrašo tiekėjas</w:t>
            </w:r>
          </w:p>
        </w:tc>
      </w:tr>
      <w:tr w:rsidR="00EE66F9" w:rsidRPr="00342080" w14:paraId="6E7F97EF"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4A6C733C" w14:textId="65B73543" w:rsidR="00EE66F9" w:rsidRPr="00342080" w:rsidRDefault="005E3D09" w:rsidP="00655158">
            <w:pPr>
              <w:contextualSpacing/>
              <w:mirrorIndents/>
              <w:rPr>
                <w:rFonts w:asciiTheme="majorHAnsi" w:hAnsiTheme="majorHAnsi" w:cs="Times New Roman"/>
              </w:rPr>
            </w:pPr>
            <w:r w:rsidRPr="00342080">
              <w:rPr>
                <w:rFonts w:asciiTheme="majorHAnsi" w:hAnsiTheme="majorHAnsi" w:cs="Times New Roman"/>
              </w:rPr>
              <w:lastRenderedPageBreak/>
              <w:t>1.</w:t>
            </w:r>
            <w:r w:rsidR="00EE66F9" w:rsidRPr="00342080">
              <w:rPr>
                <w:rFonts w:asciiTheme="majorHAnsi" w:hAnsiTheme="majorHAnsi" w:cs="Times New Roman"/>
              </w:rPr>
              <w:t>28</w:t>
            </w:r>
          </w:p>
        </w:tc>
        <w:tc>
          <w:tcPr>
            <w:tcW w:w="3376" w:type="dxa"/>
            <w:tcBorders>
              <w:top w:val="single" w:sz="4" w:space="0" w:color="auto"/>
              <w:left w:val="nil"/>
              <w:bottom w:val="single" w:sz="4" w:space="0" w:color="auto"/>
              <w:right w:val="single" w:sz="4" w:space="0" w:color="auto"/>
            </w:tcBorders>
            <w:shd w:val="clear" w:color="auto" w:fill="auto"/>
          </w:tcPr>
          <w:p w14:paraId="3D8D97D1" w14:textId="1F3EF17B" w:rsidR="00EE66F9" w:rsidRPr="00342080" w:rsidRDefault="000314F0" w:rsidP="00655158">
            <w:pPr>
              <w:contextualSpacing/>
              <w:mirrorIndents/>
              <w:rPr>
                <w:rFonts w:asciiTheme="majorHAnsi" w:hAnsiTheme="majorHAnsi" w:cs="Times New Roman"/>
              </w:rPr>
            </w:pPr>
            <w:r w:rsidRPr="00342080">
              <w:rPr>
                <w:rFonts w:asciiTheme="majorHAnsi" w:hAnsiTheme="majorHAnsi" w:cs="Times New Roman"/>
              </w:rPr>
              <w:t>Donoro ir recipiento kraujo suderinamumas</w:t>
            </w:r>
          </w:p>
        </w:tc>
        <w:tc>
          <w:tcPr>
            <w:tcW w:w="1549" w:type="dxa"/>
            <w:tcBorders>
              <w:top w:val="single" w:sz="4" w:space="0" w:color="auto"/>
              <w:left w:val="nil"/>
              <w:bottom w:val="single" w:sz="4" w:space="0" w:color="auto"/>
              <w:right w:val="single" w:sz="4" w:space="0" w:color="auto"/>
            </w:tcBorders>
            <w:shd w:val="clear" w:color="auto" w:fill="auto"/>
          </w:tcPr>
          <w:p w14:paraId="7C0610A7" w14:textId="1C1D1361" w:rsidR="00EE66F9" w:rsidRPr="00342080" w:rsidRDefault="00EE66F9" w:rsidP="00655158">
            <w:pPr>
              <w:shd w:val="clear" w:color="auto" w:fill="FFFFFF"/>
              <w:contextualSpacing/>
              <w:mirrorIndents/>
              <w:rPr>
                <w:rFonts w:asciiTheme="majorHAnsi" w:hAnsiTheme="majorHAnsi" w:cs="Times New Roman"/>
              </w:rPr>
            </w:pPr>
            <w:r w:rsidRPr="00342080">
              <w:rPr>
                <w:rFonts w:asciiTheme="majorHAnsi" w:hAnsiTheme="majorHAnsi" w:cs="Times New Roman"/>
              </w:rPr>
              <w:t>144 000</w:t>
            </w:r>
          </w:p>
        </w:tc>
        <w:tc>
          <w:tcPr>
            <w:tcW w:w="4961" w:type="dxa"/>
            <w:tcBorders>
              <w:top w:val="single" w:sz="4" w:space="0" w:color="auto"/>
              <w:left w:val="nil"/>
              <w:bottom w:val="single" w:sz="4" w:space="0" w:color="auto"/>
              <w:right w:val="single" w:sz="4" w:space="0" w:color="auto"/>
            </w:tcBorders>
            <w:shd w:val="clear" w:color="auto" w:fill="auto"/>
          </w:tcPr>
          <w:p w14:paraId="0FB9CDCF" w14:textId="2FF3FF15" w:rsidR="00EE66F9" w:rsidRPr="00342080" w:rsidRDefault="00EE66F9" w:rsidP="00655158">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rPr>
              <w:t xml:space="preserve">Tyrimas atliekamas, naudojant stulpelių </w:t>
            </w:r>
            <w:r w:rsidR="00364E79" w:rsidRPr="00342080">
              <w:rPr>
                <w:rFonts w:asciiTheme="majorHAnsi" w:hAnsiTheme="majorHAnsi" w:cs="Times New Roman"/>
              </w:rPr>
              <w:t>kor</w:t>
            </w:r>
            <w:r w:rsidRPr="00342080">
              <w:rPr>
                <w:rFonts w:asciiTheme="majorHAnsi" w:hAnsiTheme="majorHAnsi" w:cs="Times New Roman"/>
              </w:rPr>
              <w:t xml:space="preserve">teles su </w:t>
            </w:r>
            <w:proofErr w:type="spellStart"/>
            <w:r w:rsidRPr="00342080">
              <w:rPr>
                <w:rFonts w:asciiTheme="majorHAnsi" w:hAnsiTheme="majorHAnsi" w:cs="Times New Roman"/>
              </w:rPr>
              <w:t>polispecifiniu</w:t>
            </w:r>
            <w:proofErr w:type="spellEnd"/>
            <w:r w:rsidRPr="00342080">
              <w:rPr>
                <w:rFonts w:asciiTheme="majorHAnsi" w:hAnsiTheme="majorHAnsi" w:cs="Times New Roman"/>
              </w:rPr>
              <w:t xml:space="preserve"> žmogaus </w:t>
            </w:r>
            <w:proofErr w:type="spellStart"/>
            <w:r w:rsidRPr="00342080">
              <w:rPr>
                <w:rFonts w:asciiTheme="majorHAnsi" w:hAnsiTheme="majorHAnsi" w:cs="Times New Roman"/>
              </w:rPr>
              <w:t>antiglobulinu</w:t>
            </w:r>
            <w:proofErr w:type="spellEnd"/>
            <w:r w:rsidRPr="00342080">
              <w:rPr>
                <w:rFonts w:asciiTheme="majorHAnsi" w:hAnsiTheme="majorHAnsi" w:cs="Times New Roman"/>
              </w:rPr>
              <w:t xml:space="preserve"> (</w:t>
            </w:r>
            <w:proofErr w:type="spellStart"/>
            <w:r w:rsidRPr="00342080">
              <w:rPr>
                <w:rFonts w:asciiTheme="majorHAnsi" w:hAnsiTheme="majorHAnsi" w:cs="Times New Roman"/>
              </w:rPr>
              <w:t>anti-IgG</w:t>
            </w:r>
            <w:proofErr w:type="spellEnd"/>
            <w:r w:rsidRPr="00342080">
              <w:rPr>
                <w:rFonts w:asciiTheme="majorHAnsi" w:hAnsiTheme="majorHAnsi" w:cs="Times New Roman"/>
              </w:rPr>
              <w:t xml:space="preserve"> ir anti-C3d).</w:t>
            </w:r>
          </w:p>
        </w:tc>
        <w:tc>
          <w:tcPr>
            <w:tcW w:w="3699" w:type="dxa"/>
            <w:tcBorders>
              <w:top w:val="single" w:sz="4" w:space="0" w:color="auto"/>
              <w:left w:val="nil"/>
              <w:bottom w:val="single" w:sz="4" w:space="0" w:color="auto"/>
              <w:right w:val="single" w:sz="4" w:space="0" w:color="auto"/>
            </w:tcBorders>
          </w:tcPr>
          <w:p w14:paraId="66192A7B" w14:textId="1B02EADA" w:rsidR="00EE66F9" w:rsidRPr="00342080" w:rsidRDefault="00603897" w:rsidP="00655158">
            <w:pPr>
              <w:shd w:val="clear" w:color="auto" w:fill="FFFFFF" w:themeFill="background1"/>
              <w:contextualSpacing/>
              <w:mirrorIndents/>
              <w:rPr>
                <w:rFonts w:asciiTheme="majorHAnsi" w:hAnsiTheme="majorHAnsi" w:cs="Times New Roman"/>
              </w:rPr>
            </w:pPr>
            <w:r w:rsidRPr="00342080">
              <w:rPr>
                <w:rFonts w:asciiTheme="majorHAnsi" w:hAnsiTheme="majorHAnsi" w:cs="Times New Roman"/>
                <w:i/>
              </w:rPr>
              <w:t>įrašo tiekėjas</w:t>
            </w:r>
          </w:p>
        </w:tc>
      </w:tr>
      <w:tr w:rsidR="00603897" w:rsidRPr="00342080" w14:paraId="6FAD28D0"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1F39D6AF" w14:textId="40834613" w:rsidR="00603897" w:rsidRPr="00342080" w:rsidRDefault="00603897" w:rsidP="00603897">
            <w:pPr>
              <w:contextualSpacing/>
              <w:mirrorIndents/>
              <w:rPr>
                <w:rFonts w:asciiTheme="majorHAnsi" w:hAnsiTheme="majorHAnsi" w:cs="Times New Roman"/>
              </w:rPr>
            </w:pPr>
            <w:r w:rsidRPr="00342080">
              <w:rPr>
                <w:rFonts w:asciiTheme="majorHAnsi" w:hAnsiTheme="majorHAnsi" w:cs="Times New Roman"/>
              </w:rPr>
              <w:t>1.29</w:t>
            </w:r>
          </w:p>
        </w:tc>
        <w:tc>
          <w:tcPr>
            <w:tcW w:w="3376" w:type="dxa"/>
            <w:tcBorders>
              <w:top w:val="single" w:sz="4" w:space="0" w:color="auto"/>
              <w:left w:val="nil"/>
              <w:bottom w:val="single" w:sz="4" w:space="0" w:color="auto"/>
              <w:right w:val="single" w:sz="4" w:space="0" w:color="auto"/>
            </w:tcBorders>
            <w:shd w:val="clear" w:color="auto" w:fill="auto"/>
          </w:tcPr>
          <w:p w14:paraId="08EDCA39" w14:textId="77777777" w:rsidR="00603897" w:rsidRPr="00342080" w:rsidRDefault="00603897" w:rsidP="00603897">
            <w:pPr>
              <w:shd w:val="clear" w:color="auto" w:fill="FFFFFF"/>
              <w:contextualSpacing/>
              <w:mirrorIndents/>
              <w:rPr>
                <w:rFonts w:asciiTheme="majorHAnsi" w:hAnsiTheme="majorHAnsi" w:cs="Times New Roman"/>
              </w:rPr>
            </w:pPr>
            <w:r w:rsidRPr="00342080">
              <w:rPr>
                <w:rFonts w:asciiTheme="majorHAnsi" w:hAnsiTheme="majorHAnsi" w:cs="Times New Roman"/>
              </w:rPr>
              <w:t xml:space="preserve">Rinkiniai </w:t>
            </w:r>
            <w:proofErr w:type="spellStart"/>
            <w:r w:rsidRPr="00342080">
              <w:rPr>
                <w:rFonts w:asciiTheme="majorHAnsi" w:hAnsiTheme="majorHAnsi" w:cs="Times New Roman"/>
              </w:rPr>
              <w:t>imunohematologinių</w:t>
            </w:r>
            <w:proofErr w:type="spellEnd"/>
            <w:r w:rsidRPr="00342080">
              <w:rPr>
                <w:rFonts w:asciiTheme="majorHAnsi" w:hAnsiTheme="majorHAnsi" w:cs="Times New Roman"/>
              </w:rPr>
              <w:t xml:space="preserve"> tyrimų vidinei kokybės kontrolei (VKK):</w:t>
            </w:r>
          </w:p>
        </w:tc>
        <w:tc>
          <w:tcPr>
            <w:tcW w:w="1549" w:type="dxa"/>
            <w:tcBorders>
              <w:top w:val="single" w:sz="4" w:space="0" w:color="auto"/>
              <w:left w:val="nil"/>
              <w:bottom w:val="single" w:sz="4" w:space="0" w:color="auto"/>
              <w:right w:val="single" w:sz="4" w:space="0" w:color="auto"/>
            </w:tcBorders>
            <w:shd w:val="clear" w:color="auto" w:fill="auto"/>
          </w:tcPr>
          <w:p w14:paraId="2573AD99" w14:textId="77777777" w:rsidR="00603897" w:rsidRPr="00342080" w:rsidRDefault="00603897" w:rsidP="00603897">
            <w:pPr>
              <w:shd w:val="clear" w:color="auto" w:fill="FFFFFF"/>
              <w:contextualSpacing/>
              <w:mirrorIndents/>
              <w:rPr>
                <w:rFonts w:asciiTheme="majorHAnsi" w:hAnsiTheme="majorHAnsi" w:cs="Times New Roman"/>
              </w:rPr>
            </w:pPr>
          </w:p>
        </w:tc>
        <w:tc>
          <w:tcPr>
            <w:tcW w:w="4961" w:type="dxa"/>
            <w:tcBorders>
              <w:top w:val="single" w:sz="4" w:space="0" w:color="auto"/>
              <w:left w:val="nil"/>
              <w:bottom w:val="single" w:sz="4" w:space="0" w:color="auto"/>
              <w:right w:val="single" w:sz="4" w:space="0" w:color="auto"/>
            </w:tcBorders>
            <w:shd w:val="clear" w:color="auto" w:fill="auto"/>
          </w:tcPr>
          <w:p w14:paraId="61D78598" w14:textId="77777777" w:rsidR="00603897" w:rsidRPr="00342080" w:rsidRDefault="00603897" w:rsidP="00603897">
            <w:pPr>
              <w:shd w:val="clear" w:color="auto" w:fill="FFFFFF"/>
              <w:contextualSpacing/>
              <w:mirrorIndents/>
              <w:rPr>
                <w:rFonts w:asciiTheme="majorHAnsi" w:hAnsiTheme="majorHAnsi" w:cs="Times New Roman"/>
              </w:rPr>
            </w:pPr>
            <w:r w:rsidRPr="00342080">
              <w:rPr>
                <w:rFonts w:asciiTheme="majorHAnsi" w:eastAsia="Times New Roman" w:hAnsiTheme="majorHAnsi" w:cs="Times New Roman"/>
              </w:rPr>
              <w:t xml:space="preserve">Žmogaus kraujo </w:t>
            </w:r>
            <w:proofErr w:type="spellStart"/>
            <w:r w:rsidRPr="00342080">
              <w:rPr>
                <w:rFonts w:asciiTheme="majorHAnsi" w:eastAsia="Times New Roman" w:hAnsiTheme="majorHAnsi" w:cs="Times New Roman"/>
              </w:rPr>
              <w:t>suspencija</w:t>
            </w:r>
            <w:proofErr w:type="spellEnd"/>
          </w:p>
        </w:tc>
        <w:tc>
          <w:tcPr>
            <w:tcW w:w="3699" w:type="dxa"/>
            <w:tcBorders>
              <w:top w:val="single" w:sz="4" w:space="0" w:color="auto"/>
              <w:left w:val="nil"/>
              <w:bottom w:val="single" w:sz="4" w:space="0" w:color="auto"/>
              <w:right w:val="single" w:sz="4" w:space="0" w:color="auto"/>
            </w:tcBorders>
          </w:tcPr>
          <w:p w14:paraId="242D0F35" w14:textId="75FDC80A" w:rsidR="00603897" w:rsidRPr="00342080" w:rsidRDefault="00603897" w:rsidP="00603897">
            <w:pPr>
              <w:shd w:val="clear" w:color="auto" w:fill="FFFFFF"/>
              <w:contextualSpacing/>
              <w:mirrorIndents/>
              <w:rPr>
                <w:rFonts w:asciiTheme="majorHAnsi" w:eastAsia="Times New Roman" w:hAnsiTheme="majorHAnsi" w:cs="Times New Roman"/>
              </w:rPr>
            </w:pPr>
            <w:r w:rsidRPr="00342080">
              <w:rPr>
                <w:rFonts w:asciiTheme="majorHAnsi" w:hAnsiTheme="majorHAnsi" w:cs="Times New Roman"/>
                <w:i/>
              </w:rPr>
              <w:t>įrašo tiekėjas</w:t>
            </w:r>
          </w:p>
        </w:tc>
      </w:tr>
      <w:tr w:rsidR="00603897" w:rsidRPr="00342080" w14:paraId="71D346AF"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460E1197" w14:textId="26656CC4" w:rsidR="00603897" w:rsidRPr="00342080" w:rsidRDefault="00603897" w:rsidP="00603897">
            <w:pPr>
              <w:contextualSpacing/>
              <w:mirrorIndents/>
              <w:rPr>
                <w:rFonts w:asciiTheme="majorHAnsi" w:hAnsiTheme="majorHAnsi" w:cs="Times New Roman"/>
              </w:rPr>
            </w:pPr>
            <w:r w:rsidRPr="00342080">
              <w:rPr>
                <w:rFonts w:asciiTheme="majorHAnsi" w:hAnsiTheme="majorHAnsi" w:cs="Times New Roman"/>
              </w:rPr>
              <w:t>1.29.1</w:t>
            </w:r>
          </w:p>
        </w:tc>
        <w:tc>
          <w:tcPr>
            <w:tcW w:w="3376" w:type="dxa"/>
            <w:tcBorders>
              <w:top w:val="single" w:sz="4" w:space="0" w:color="auto"/>
              <w:left w:val="nil"/>
              <w:bottom w:val="single" w:sz="4" w:space="0" w:color="auto"/>
              <w:right w:val="single" w:sz="4" w:space="0" w:color="auto"/>
            </w:tcBorders>
            <w:shd w:val="clear" w:color="auto" w:fill="auto"/>
          </w:tcPr>
          <w:p w14:paraId="24C5A599" w14:textId="3CEC8594" w:rsidR="00603897" w:rsidRPr="00342080" w:rsidRDefault="00603897" w:rsidP="00603897">
            <w:pPr>
              <w:shd w:val="clear" w:color="auto" w:fill="FFFFFF"/>
              <w:contextualSpacing/>
              <w:mirrorIndents/>
              <w:rPr>
                <w:rFonts w:asciiTheme="majorHAnsi" w:hAnsiTheme="majorHAnsi" w:cs="Times New Roman"/>
              </w:rPr>
            </w:pPr>
            <w:r w:rsidRPr="00342080">
              <w:rPr>
                <w:rFonts w:asciiTheme="majorHAnsi" w:hAnsiTheme="majorHAnsi" w:cs="Times New Roman"/>
              </w:rPr>
              <w:t>VKK1</w:t>
            </w:r>
          </w:p>
        </w:tc>
        <w:tc>
          <w:tcPr>
            <w:tcW w:w="1549" w:type="dxa"/>
            <w:tcBorders>
              <w:top w:val="single" w:sz="4" w:space="0" w:color="auto"/>
              <w:left w:val="nil"/>
              <w:bottom w:val="single" w:sz="4" w:space="0" w:color="auto"/>
              <w:right w:val="single" w:sz="4" w:space="0" w:color="auto"/>
            </w:tcBorders>
            <w:shd w:val="clear" w:color="auto" w:fill="auto"/>
          </w:tcPr>
          <w:p w14:paraId="58CD4B7E" w14:textId="77777777" w:rsidR="00603897" w:rsidRPr="00342080" w:rsidRDefault="00603897" w:rsidP="00603897">
            <w:pPr>
              <w:shd w:val="clear" w:color="auto" w:fill="FFFFFF"/>
              <w:contextualSpacing/>
              <w:mirrorIndents/>
              <w:rPr>
                <w:rFonts w:asciiTheme="majorHAnsi" w:hAnsiTheme="majorHAnsi" w:cs="Times New Roman"/>
              </w:rPr>
            </w:pPr>
            <w:r w:rsidRPr="00342080">
              <w:rPr>
                <w:rFonts w:asciiTheme="majorHAnsi" w:hAnsiTheme="majorHAnsi" w:cs="Times New Roman"/>
              </w:rPr>
              <w:t>60 rinkinių (4x6 ml)</w:t>
            </w:r>
          </w:p>
          <w:p w14:paraId="4D6EACF5" w14:textId="77777777" w:rsidR="00603897" w:rsidRPr="00342080" w:rsidRDefault="00603897" w:rsidP="00603897">
            <w:pPr>
              <w:shd w:val="clear" w:color="auto" w:fill="FFFFFF"/>
              <w:contextualSpacing/>
              <w:mirrorIndents/>
              <w:rPr>
                <w:rFonts w:asciiTheme="majorHAnsi" w:hAnsiTheme="majorHAnsi" w:cs="Times New Roman"/>
              </w:rPr>
            </w:pPr>
          </w:p>
        </w:tc>
        <w:tc>
          <w:tcPr>
            <w:tcW w:w="4961" w:type="dxa"/>
            <w:vMerge w:val="restart"/>
            <w:tcBorders>
              <w:top w:val="single" w:sz="4" w:space="0" w:color="auto"/>
              <w:left w:val="nil"/>
              <w:right w:val="single" w:sz="4" w:space="0" w:color="auto"/>
            </w:tcBorders>
            <w:shd w:val="clear" w:color="auto" w:fill="auto"/>
          </w:tcPr>
          <w:p w14:paraId="29EE0CB2" w14:textId="56D5FA9D" w:rsidR="00603897" w:rsidRPr="00342080" w:rsidRDefault="00603897" w:rsidP="00603897">
            <w:pPr>
              <w:shd w:val="clear" w:color="auto" w:fill="FFFFFF"/>
              <w:contextualSpacing/>
              <w:mirrorIndents/>
              <w:rPr>
                <w:rFonts w:asciiTheme="majorHAnsi" w:eastAsia="Times New Roman" w:hAnsiTheme="majorHAnsi" w:cs="Times New Roman"/>
              </w:rPr>
            </w:pPr>
            <w:r w:rsidRPr="00342080">
              <w:rPr>
                <w:rFonts w:asciiTheme="majorHAnsi" w:eastAsia="Times New Roman" w:hAnsiTheme="majorHAnsi" w:cs="Times New Roman"/>
              </w:rPr>
              <w:t xml:space="preserve">VKK1 ir VKK2 mėginiai, su žinomomis skirtingomis: ABO </w:t>
            </w:r>
            <w:r w:rsidRPr="00342080">
              <w:rPr>
                <w:rFonts w:asciiTheme="majorHAnsi" w:eastAsia="Times New Roman" w:hAnsiTheme="majorHAnsi" w:cs="Times New Roman"/>
                <w:spacing w:val="-2"/>
              </w:rPr>
              <w:t xml:space="preserve">kraujo grupėmis; </w:t>
            </w:r>
            <w:proofErr w:type="spellStart"/>
            <w:r w:rsidRPr="00342080">
              <w:rPr>
                <w:rFonts w:asciiTheme="majorHAnsi" w:eastAsia="Times New Roman" w:hAnsiTheme="majorHAnsi" w:cs="Times New Roman"/>
                <w:spacing w:val="-2"/>
              </w:rPr>
              <w:t>RhD</w:t>
            </w:r>
            <w:proofErr w:type="spellEnd"/>
            <w:r w:rsidRPr="00342080">
              <w:rPr>
                <w:rFonts w:asciiTheme="majorHAnsi" w:eastAsia="Times New Roman" w:hAnsiTheme="majorHAnsi" w:cs="Times New Roman"/>
                <w:spacing w:val="-2"/>
              </w:rPr>
              <w:t xml:space="preserve">; </w:t>
            </w:r>
            <w:proofErr w:type="spellStart"/>
            <w:r w:rsidRPr="00342080">
              <w:rPr>
                <w:rFonts w:asciiTheme="majorHAnsi" w:eastAsia="Times New Roman" w:hAnsiTheme="majorHAnsi" w:cs="Times New Roman"/>
                <w:spacing w:val="-1"/>
              </w:rPr>
              <w:t>Rh</w:t>
            </w:r>
            <w:proofErr w:type="spellEnd"/>
            <w:r w:rsidRPr="00342080">
              <w:rPr>
                <w:rFonts w:asciiTheme="majorHAnsi" w:eastAsia="Times New Roman" w:hAnsiTheme="majorHAnsi" w:cs="Times New Roman"/>
                <w:spacing w:val="-1"/>
              </w:rPr>
              <w:t xml:space="preserve"> fenotipu; K antigenu ir antikūnais prieš eritrocitų antigenus.</w:t>
            </w:r>
          </w:p>
        </w:tc>
        <w:tc>
          <w:tcPr>
            <w:tcW w:w="3699" w:type="dxa"/>
            <w:vMerge w:val="restart"/>
            <w:tcBorders>
              <w:top w:val="single" w:sz="4" w:space="0" w:color="auto"/>
              <w:left w:val="nil"/>
              <w:right w:val="single" w:sz="4" w:space="0" w:color="auto"/>
            </w:tcBorders>
          </w:tcPr>
          <w:p w14:paraId="2C69CC67" w14:textId="23F012C8" w:rsidR="00603897" w:rsidRPr="00342080" w:rsidRDefault="00603897" w:rsidP="00603897">
            <w:pPr>
              <w:shd w:val="clear" w:color="auto" w:fill="FFFFFF"/>
              <w:contextualSpacing/>
              <w:mirrorIndents/>
              <w:rPr>
                <w:rFonts w:asciiTheme="majorHAnsi" w:eastAsia="Times New Roman" w:hAnsiTheme="majorHAnsi" w:cs="Times New Roman"/>
              </w:rPr>
            </w:pPr>
            <w:r w:rsidRPr="00342080">
              <w:rPr>
                <w:rFonts w:asciiTheme="majorHAnsi" w:hAnsiTheme="majorHAnsi" w:cs="Times New Roman"/>
                <w:i/>
              </w:rPr>
              <w:t>įrašo tiekėjas</w:t>
            </w:r>
          </w:p>
        </w:tc>
      </w:tr>
      <w:tr w:rsidR="00603897" w:rsidRPr="00342080" w14:paraId="6C400CA7"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04A64778" w14:textId="55255C1A" w:rsidR="00603897" w:rsidRPr="00342080" w:rsidRDefault="00603897" w:rsidP="00603897">
            <w:pPr>
              <w:contextualSpacing/>
              <w:mirrorIndents/>
              <w:rPr>
                <w:rFonts w:asciiTheme="majorHAnsi" w:hAnsiTheme="majorHAnsi" w:cs="Times New Roman"/>
              </w:rPr>
            </w:pPr>
            <w:r w:rsidRPr="00342080">
              <w:rPr>
                <w:rFonts w:asciiTheme="majorHAnsi" w:hAnsiTheme="majorHAnsi" w:cs="Times New Roman"/>
              </w:rPr>
              <w:t>1.29.2</w:t>
            </w:r>
          </w:p>
        </w:tc>
        <w:tc>
          <w:tcPr>
            <w:tcW w:w="3376" w:type="dxa"/>
            <w:tcBorders>
              <w:top w:val="single" w:sz="4" w:space="0" w:color="auto"/>
              <w:left w:val="nil"/>
              <w:bottom w:val="single" w:sz="4" w:space="0" w:color="auto"/>
              <w:right w:val="single" w:sz="4" w:space="0" w:color="auto"/>
            </w:tcBorders>
            <w:shd w:val="clear" w:color="auto" w:fill="auto"/>
          </w:tcPr>
          <w:p w14:paraId="7A107BDE" w14:textId="38EEEFA6" w:rsidR="00603897" w:rsidRPr="00342080" w:rsidRDefault="00603897" w:rsidP="00603897">
            <w:pPr>
              <w:shd w:val="clear" w:color="auto" w:fill="FFFFFF"/>
              <w:contextualSpacing/>
              <w:mirrorIndents/>
              <w:rPr>
                <w:rFonts w:asciiTheme="majorHAnsi" w:hAnsiTheme="majorHAnsi" w:cs="Times New Roman"/>
              </w:rPr>
            </w:pPr>
            <w:r w:rsidRPr="00342080">
              <w:rPr>
                <w:rFonts w:asciiTheme="majorHAnsi" w:hAnsiTheme="majorHAnsi" w:cs="Times New Roman"/>
              </w:rPr>
              <w:t>VKK2</w:t>
            </w:r>
          </w:p>
        </w:tc>
        <w:tc>
          <w:tcPr>
            <w:tcW w:w="1549" w:type="dxa"/>
            <w:tcBorders>
              <w:top w:val="single" w:sz="4" w:space="0" w:color="auto"/>
              <w:left w:val="nil"/>
              <w:bottom w:val="single" w:sz="4" w:space="0" w:color="auto"/>
              <w:right w:val="single" w:sz="4" w:space="0" w:color="auto"/>
            </w:tcBorders>
            <w:shd w:val="clear" w:color="auto" w:fill="auto"/>
          </w:tcPr>
          <w:p w14:paraId="416C94A3" w14:textId="77777777" w:rsidR="00603897" w:rsidRPr="00342080" w:rsidRDefault="00603897" w:rsidP="00603897">
            <w:pPr>
              <w:shd w:val="clear" w:color="auto" w:fill="FFFFFF"/>
              <w:contextualSpacing/>
              <w:mirrorIndents/>
              <w:rPr>
                <w:rFonts w:asciiTheme="majorHAnsi" w:hAnsiTheme="majorHAnsi" w:cs="Times New Roman"/>
              </w:rPr>
            </w:pPr>
            <w:r w:rsidRPr="00342080">
              <w:rPr>
                <w:rFonts w:asciiTheme="majorHAnsi" w:hAnsiTheme="majorHAnsi" w:cs="Times New Roman"/>
              </w:rPr>
              <w:t>60 rinkinių (4x6 ml)</w:t>
            </w:r>
          </w:p>
          <w:p w14:paraId="656CEA19" w14:textId="77777777" w:rsidR="00603897" w:rsidRPr="00342080" w:rsidRDefault="00603897" w:rsidP="00603897">
            <w:pPr>
              <w:shd w:val="clear" w:color="auto" w:fill="FFFFFF"/>
              <w:contextualSpacing/>
              <w:mirrorIndents/>
              <w:rPr>
                <w:rFonts w:asciiTheme="majorHAnsi" w:hAnsiTheme="majorHAnsi" w:cs="Times New Roman"/>
              </w:rPr>
            </w:pPr>
          </w:p>
        </w:tc>
        <w:tc>
          <w:tcPr>
            <w:tcW w:w="4961" w:type="dxa"/>
            <w:vMerge/>
            <w:tcBorders>
              <w:left w:val="nil"/>
              <w:bottom w:val="single" w:sz="4" w:space="0" w:color="auto"/>
              <w:right w:val="single" w:sz="4" w:space="0" w:color="auto"/>
            </w:tcBorders>
            <w:shd w:val="clear" w:color="auto" w:fill="auto"/>
          </w:tcPr>
          <w:p w14:paraId="1E5DB8BF" w14:textId="77777777" w:rsidR="00603897" w:rsidRPr="00342080" w:rsidRDefault="00603897" w:rsidP="00603897">
            <w:pPr>
              <w:shd w:val="clear" w:color="auto" w:fill="FFFFFF"/>
              <w:contextualSpacing/>
              <w:mirrorIndents/>
              <w:rPr>
                <w:rFonts w:asciiTheme="majorHAnsi" w:eastAsia="Times New Roman" w:hAnsiTheme="majorHAnsi" w:cs="Times New Roman"/>
              </w:rPr>
            </w:pPr>
          </w:p>
        </w:tc>
        <w:tc>
          <w:tcPr>
            <w:tcW w:w="3699" w:type="dxa"/>
            <w:vMerge/>
            <w:tcBorders>
              <w:left w:val="nil"/>
              <w:bottom w:val="single" w:sz="4" w:space="0" w:color="auto"/>
              <w:right w:val="single" w:sz="4" w:space="0" w:color="auto"/>
            </w:tcBorders>
          </w:tcPr>
          <w:p w14:paraId="0C852DF0" w14:textId="77777777" w:rsidR="00603897" w:rsidRPr="00342080" w:rsidRDefault="00603897" w:rsidP="00603897">
            <w:pPr>
              <w:shd w:val="clear" w:color="auto" w:fill="FFFFFF"/>
              <w:contextualSpacing/>
              <w:mirrorIndents/>
              <w:rPr>
                <w:rFonts w:asciiTheme="majorHAnsi" w:eastAsia="Times New Roman" w:hAnsiTheme="majorHAnsi" w:cs="Times New Roman"/>
              </w:rPr>
            </w:pPr>
          </w:p>
        </w:tc>
      </w:tr>
      <w:tr w:rsidR="00603897" w:rsidRPr="00342080" w14:paraId="202062C1"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62DDA8BB" w14:textId="02354543" w:rsidR="00603897" w:rsidRPr="00342080" w:rsidRDefault="00603897" w:rsidP="00603897">
            <w:pPr>
              <w:contextualSpacing/>
              <w:mirrorIndents/>
              <w:rPr>
                <w:rFonts w:asciiTheme="majorHAnsi" w:hAnsiTheme="majorHAnsi" w:cs="Times New Roman"/>
              </w:rPr>
            </w:pPr>
            <w:r w:rsidRPr="00342080">
              <w:rPr>
                <w:rFonts w:asciiTheme="majorHAnsi" w:hAnsiTheme="majorHAnsi" w:cs="Times New Roman"/>
              </w:rPr>
              <w:t>1.29.3</w:t>
            </w:r>
          </w:p>
        </w:tc>
        <w:tc>
          <w:tcPr>
            <w:tcW w:w="3376" w:type="dxa"/>
            <w:tcBorders>
              <w:top w:val="single" w:sz="4" w:space="0" w:color="auto"/>
              <w:left w:val="nil"/>
              <w:bottom w:val="single" w:sz="4" w:space="0" w:color="auto"/>
              <w:right w:val="single" w:sz="4" w:space="0" w:color="auto"/>
            </w:tcBorders>
            <w:shd w:val="clear" w:color="auto" w:fill="auto"/>
          </w:tcPr>
          <w:p w14:paraId="6C9EE812" w14:textId="77777777" w:rsidR="00603897" w:rsidRPr="00342080" w:rsidRDefault="00603897" w:rsidP="00603897">
            <w:pPr>
              <w:shd w:val="clear" w:color="auto" w:fill="FFFFFF"/>
              <w:contextualSpacing/>
              <w:mirrorIndents/>
              <w:rPr>
                <w:rFonts w:asciiTheme="majorHAnsi" w:hAnsiTheme="majorHAnsi" w:cs="Times New Roman"/>
              </w:rPr>
            </w:pPr>
            <w:r w:rsidRPr="00342080">
              <w:rPr>
                <w:rFonts w:asciiTheme="majorHAnsi" w:hAnsiTheme="majorHAnsi" w:cs="Times New Roman"/>
              </w:rPr>
              <w:t>VKK3</w:t>
            </w:r>
          </w:p>
        </w:tc>
        <w:tc>
          <w:tcPr>
            <w:tcW w:w="1549" w:type="dxa"/>
            <w:tcBorders>
              <w:top w:val="single" w:sz="4" w:space="0" w:color="auto"/>
              <w:left w:val="nil"/>
              <w:bottom w:val="single" w:sz="4" w:space="0" w:color="auto"/>
              <w:right w:val="single" w:sz="4" w:space="0" w:color="auto"/>
            </w:tcBorders>
            <w:shd w:val="clear" w:color="auto" w:fill="auto"/>
          </w:tcPr>
          <w:p w14:paraId="2739E816" w14:textId="77777777" w:rsidR="00603897" w:rsidRPr="00342080" w:rsidRDefault="00603897" w:rsidP="00603897">
            <w:pPr>
              <w:shd w:val="clear" w:color="auto" w:fill="FFFFFF"/>
              <w:contextualSpacing/>
              <w:mirrorIndents/>
              <w:rPr>
                <w:rFonts w:asciiTheme="majorHAnsi" w:hAnsiTheme="majorHAnsi" w:cs="Times New Roman"/>
                <w:highlight w:val="yellow"/>
              </w:rPr>
            </w:pPr>
            <w:r w:rsidRPr="00342080">
              <w:rPr>
                <w:rFonts w:asciiTheme="majorHAnsi" w:hAnsiTheme="majorHAnsi" w:cs="Times New Roman"/>
              </w:rPr>
              <w:t>20 rinkinių (4x6 ml)</w:t>
            </w:r>
          </w:p>
        </w:tc>
        <w:tc>
          <w:tcPr>
            <w:tcW w:w="4961" w:type="dxa"/>
            <w:tcBorders>
              <w:top w:val="single" w:sz="4" w:space="0" w:color="auto"/>
              <w:left w:val="nil"/>
              <w:bottom w:val="single" w:sz="4" w:space="0" w:color="auto"/>
              <w:right w:val="single" w:sz="4" w:space="0" w:color="auto"/>
            </w:tcBorders>
            <w:shd w:val="clear" w:color="auto" w:fill="auto"/>
          </w:tcPr>
          <w:p w14:paraId="73895D0B" w14:textId="77777777" w:rsidR="00603897" w:rsidRPr="00342080" w:rsidRDefault="00603897" w:rsidP="00603897">
            <w:pPr>
              <w:shd w:val="clear" w:color="auto" w:fill="FFFFFF"/>
              <w:contextualSpacing/>
              <w:mirrorIndents/>
              <w:rPr>
                <w:rFonts w:asciiTheme="majorHAnsi" w:eastAsia="Times New Roman" w:hAnsiTheme="majorHAnsi" w:cs="Times New Roman"/>
              </w:rPr>
            </w:pPr>
            <w:r w:rsidRPr="00342080">
              <w:rPr>
                <w:rFonts w:asciiTheme="majorHAnsi" w:eastAsia="Times New Roman" w:hAnsiTheme="majorHAnsi" w:cs="Times New Roman"/>
              </w:rPr>
              <w:t>Kraujo grupė A2</w:t>
            </w:r>
          </w:p>
        </w:tc>
        <w:tc>
          <w:tcPr>
            <w:tcW w:w="3699" w:type="dxa"/>
            <w:tcBorders>
              <w:top w:val="single" w:sz="4" w:space="0" w:color="auto"/>
              <w:left w:val="nil"/>
              <w:bottom w:val="single" w:sz="4" w:space="0" w:color="auto"/>
              <w:right w:val="single" w:sz="4" w:space="0" w:color="auto"/>
            </w:tcBorders>
          </w:tcPr>
          <w:p w14:paraId="77C37304" w14:textId="4C0D52E7" w:rsidR="00603897" w:rsidRPr="00342080" w:rsidRDefault="00603897" w:rsidP="00603897">
            <w:pPr>
              <w:shd w:val="clear" w:color="auto" w:fill="FFFFFF"/>
              <w:contextualSpacing/>
              <w:mirrorIndents/>
              <w:rPr>
                <w:rFonts w:asciiTheme="majorHAnsi" w:eastAsia="Times New Roman" w:hAnsiTheme="majorHAnsi" w:cs="Times New Roman"/>
              </w:rPr>
            </w:pPr>
            <w:r w:rsidRPr="00342080">
              <w:rPr>
                <w:rFonts w:asciiTheme="majorHAnsi" w:hAnsiTheme="majorHAnsi" w:cs="Times New Roman"/>
                <w:i/>
              </w:rPr>
              <w:t>įrašo tiekėjas</w:t>
            </w:r>
          </w:p>
        </w:tc>
      </w:tr>
      <w:tr w:rsidR="00603897" w:rsidRPr="00342080" w14:paraId="6A83ED64"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15795B29" w14:textId="5C04C7D3" w:rsidR="00603897" w:rsidRPr="00342080" w:rsidRDefault="00603897" w:rsidP="00603897">
            <w:pPr>
              <w:contextualSpacing/>
              <w:mirrorIndents/>
              <w:rPr>
                <w:rFonts w:asciiTheme="majorHAnsi" w:hAnsiTheme="majorHAnsi" w:cs="Times New Roman"/>
              </w:rPr>
            </w:pPr>
            <w:r w:rsidRPr="00342080">
              <w:rPr>
                <w:rFonts w:asciiTheme="majorHAnsi" w:hAnsiTheme="majorHAnsi" w:cs="Times New Roman"/>
              </w:rPr>
              <w:t>1.29.4</w:t>
            </w:r>
          </w:p>
        </w:tc>
        <w:tc>
          <w:tcPr>
            <w:tcW w:w="3376" w:type="dxa"/>
            <w:tcBorders>
              <w:top w:val="single" w:sz="4" w:space="0" w:color="auto"/>
              <w:left w:val="nil"/>
              <w:bottom w:val="single" w:sz="4" w:space="0" w:color="auto"/>
              <w:right w:val="single" w:sz="4" w:space="0" w:color="auto"/>
            </w:tcBorders>
            <w:shd w:val="clear" w:color="auto" w:fill="auto"/>
          </w:tcPr>
          <w:p w14:paraId="6BAAED96" w14:textId="77777777" w:rsidR="00603897" w:rsidRPr="00342080" w:rsidRDefault="00603897" w:rsidP="00603897">
            <w:pPr>
              <w:shd w:val="clear" w:color="auto" w:fill="FFFFFF"/>
              <w:contextualSpacing/>
              <w:mirrorIndents/>
              <w:rPr>
                <w:rFonts w:asciiTheme="majorHAnsi" w:hAnsiTheme="majorHAnsi" w:cs="Times New Roman"/>
              </w:rPr>
            </w:pPr>
            <w:r w:rsidRPr="00342080">
              <w:rPr>
                <w:rFonts w:asciiTheme="majorHAnsi" w:hAnsiTheme="majorHAnsi" w:cs="Times New Roman"/>
              </w:rPr>
              <w:t>VKK4</w:t>
            </w:r>
          </w:p>
        </w:tc>
        <w:tc>
          <w:tcPr>
            <w:tcW w:w="1549" w:type="dxa"/>
            <w:tcBorders>
              <w:top w:val="single" w:sz="4" w:space="0" w:color="auto"/>
              <w:left w:val="nil"/>
              <w:bottom w:val="single" w:sz="4" w:space="0" w:color="auto"/>
              <w:right w:val="single" w:sz="4" w:space="0" w:color="auto"/>
            </w:tcBorders>
            <w:shd w:val="clear" w:color="auto" w:fill="auto"/>
          </w:tcPr>
          <w:p w14:paraId="17698E74" w14:textId="0A0B3D4C" w:rsidR="00603897" w:rsidRPr="00342080" w:rsidRDefault="00603897" w:rsidP="00603897">
            <w:pPr>
              <w:shd w:val="clear" w:color="auto" w:fill="FFFFFF"/>
              <w:contextualSpacing/>
              <w:mirrorIndents/>
              <w:rPr>
                <w:rFonts w:asciiTheme="majorHAnsi" w:hAnsiTheme="majorHAnsi" w:cs="Times New Roman"/>
              </w:rPr>
            </w:pPr>
            <w:r w:rsidRPr="00342080">
              <w:rPr>
                <w:rFonts w:asciiTheme="majorHAnsi" w:hAnsiTheme="majorHAnsi" w:cs="Times New Roman"/>
              </w:rPr>
              <w:t>60 rinkinių (1x6 ml)</w:t>
            </w:r>
          </w:p>
          <w:p w14:paraId="478AAE77" w14:textId="77777777" w:rsidR="00603897" w:rsidRPr="00342080" w:rsidRDefault="00603897" w:rsidP="00603897">
            <w:pPr>
              <w:shd w:val="clear" w:color="auto" w:fill="FFFFFF"/>
              <w:contextualSpacing/>
              <w:mirrorIndents/>
              <w:rPr>
                <w:rFonts w:asciiTheme="majorHAnsi" w:hAnsiTheme="majorHAnsi" w:cs="Times New Roman"/>
              </w:rPr>
            </w:pPr>
          </w:p>
        </w:tc>
        <w:tc>
          <w:tcPr>
            <w:tcW w:w="4961" w:type="dxa"/>
            <w:tcBorders>
              <w:top w:val="single" w:sz="4" w:space="0" w:color="auto"/>
              <w:left w:val="nil"/>
              <w:bottom w:val="single" w:sz="4" w:space="0" w:color="auto"/>
              <w:right w:val="single" w:sz="4" w:space="0" w:color="auto"/>
            </w:tcBorders>
            <w:shd w:val="clear" w:color="auto" w:fill="auto"/>
          </w:tcPr>
          <w:p w14:paraId="2E53D928" w14:textId="77777777" w:rsidR="00603897" w:rsidRPr="00342080" w:rsidRDefault="00603897" w:rsidP="00603897">
            <w:pPr>
              <w:shd w:val="clear" w:color="auto" w:fill="FFFFFF"/>
              <w:contextualSpacing/>
              <w:mirrorIndents/>
              <w:rPr>
                <w:rFonts w:asciiTheme="majorHAnsi" w:eastAsia="Times New Roman" w:hAnsiTheme="majorHAnsi" w:cs="Times New Roman"/>
              </w:rPr>
            </w:pPr>
            <w:r w:rsidRPr="00342080">
              <w:rPr>
                <w:rFonts w:asciiTheme="majorHAnsi" w:eastAsia="Times New Roman" w:hAnsiTheme="majorHAnsi" w:cs="Times New Roman"/>
              </w:rPr>
              <w:t>Silpnas D</w:t>
            </w:r>
          </w:p>
        </w:tc>
        <w:tc>
          <w:tcPr>
            <w:tcW w:w="3699" w:type="dxa"/>
            <w:tcBorders>
              <w:top w:val="single" w:sz="4" w:space="0" w:color="auto"/>
              <w:left w:val="nil"/>
              <w:bottom w:val="single" w:sz="4" w:space="0" w:color="auto"/>
              <w:right w:val="single" w:sz="4" w:space="0" w:color="auto"/>
            </w:tcBorders>
          </w:tcPr>
          <w:p w14:paraId="61BEA9C6" w14:textId="3632565D" w:rsidR="00603897" w:rsidRPr="00342080" w:rsidRDefault="00603897" w:rsidP="00603897">
            <w:pPr>
              <w:shd w:val="clear" w:color="auto" w:fill="FFFFFF"/>
              <w:contextualSpacing/>
              <w:mirrorIndents/>
              <w:rPr>
                <w:rFonts w:asciiTheme="majorHAnsi" w:eastAsia="Times New Roman" w:hAnsiTheme="majorHAnsi" w:cs="Times New Roman"/>
              </w:rPr>
            </w:pPr>
            <w:r w:rsidRPr="00342080">
              <w:rPr>
                <w:rFonts w:asciiTheme="majorHAnsi" w:hAnsiTheme="majorHAnsi" w:cs="Times New Roman"/>
                <w:i/>
              </w:rPr>
              <w:t>įrašo tiekėjas</w:t>
            </w:r>
          </w:p>
        </w:tc>
      </w:tr>
      <w:tr w:rsidR="00603897" w:rsidRPr="00342080" w14:paraId="02262F15"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6236F4B6" w14:textId="56158FAC" w:rsidR="00603897" w:rsidRPr="00342080" w:rsidRDefault="00603897" w:rsidP="00603897">
            <w:pPr>
              <w:contextualSpacing/>
              <w:mirrorIndents/>
              <w:rPr>
                <w:rFonts w:asciiTheme="majorHAnsi" w:hAnsiTheme="majorHAnsi" w:cs="Times New Roman"/>
              </w:rPr>
            </w:pPr>
            <w:r w:rsidRPr="00342080">
              <w:rPr>
                <w:rFonts w:asciiTheme="majorHAnsi" w:hAnsiTheme="majorHAnsi" w:cs="Times New Roman"/>
              </w:rPr>
              <w:t>1.29.5</w:t>
            </w:r>
          </w:p>
        </w:tc>
        <w:tc>
          <w:tcPr>
            <w:tcW w:w="3376" w:type="dxa"/>
            <w:tcBorders>
              <w:top w:val="single" w:sz="4" w:space="0" w:color="auto"/>
              <w:left w:val="nil"/>
              <w:bottom w:val="single" w:sz="4" w:space="0" w:color="auto"/>
              <w:right w:val="single" w:sz="4" w:space="0" w:color="auto"/>
            </w:tcBorders>
            <w:shd w:val="clear" w:color="auto" w:fill="auto"/>
          </w:tcPr>
          <w:p w14:paraId="7156CCB8" w14:textId="77777777" w:rsidR="00603897" w:rsidRPr="00342080" w:rsidRDefault="00603897" w:rsidP="00603897">
            <w:pPr>
              <w:shd w:val="clear" w:color="auto" w:fill="FFFFFF"/>
              <w:contextualSpacing/>
              <w:mirrorIndents/>
              <w:rPr>
                <w:rFonts w:asciiTheme="majorHAnsi" w:hAnsiTheme="majorHAnsi" w:cs="Times New Roman"/>
              </w:rPr>
            </w:pPr>
            <w:r w:rsidRPr="00342080">
              <w:rPr>
                <w:rFonts w:asciiTheme="majorHAnsi" w:hAnsiTheme="majorHAnsi" w:cs="Times New Roman"/>
              </w:rPr>
              <w:t>VKK5</w:t>
            </w:r>
          </w:p>
        </w:tc>
        <w:tc>
          <w:tcPr>
            <w:tcW w:w="1549" w:type="dxa"/>
            <w:tcBorders>
              <w:top w:val="single" w:sz="4" w:space="0" w:color="auto"/>
              <w:left w:val="nil"/>
              <w:bottom w:val="single" w:sz="4" w:space="0" w:color="auto"/>
              <w:right w:val="single" w:sz="4" w:space="0" w:color="auto"/>
            </w:tcBorders>
            <w:shd w:val="clear" w:color="auto" w:fill="auto"/>
          </w:tcPr>
          <w:p w14:paraId="29F8B08C" w14:textId="36F9CA78" w:rsidR="00603897" w:rsidRPr="00342080" w:rsidRDefault="00603897" w:rsidP="00603897">
            <w:pPr>
              <w:shd w:val="clear" w:color="auto" w:fill="FFFFFF"/>
              <w:contextualSpacing/>
              <w:mirrorIndents/>
              <w:rPr>
                <w:rFonts w:asciiTheme="majorHAnsi" w:hAnsiTheme="majorHAnsi" w:cs="Times New Roman"/>
              </w:rPr>
            </w:pPr>
            <w:r w:rsidRPr="00342080">
              <w:rPr>
                <w:rFonts w:asciiTheme="majorHAnsi" w:hAnsiTheme="majorHAnsi" w:cs="Times New Roman"/>
              </w:rPr>
              <w:t>30 rinkinių (1x6 ml)</w:t>
            </w:r>
          </w:p>
          <w:p w14:paraId="4499AE85" w14:textId="77777777" w:rsidR="00603897" w:rsidRPr="00342080" w:rsidRDefault="00603897" w:rsidP="00603897">
            <w:pPr>
              <w:shd w:val="clear" w:color="auto" w:fill="FFFFFF"/>
              <w:contextualSpacing/>
              <w:mirrorIndents/>
              <w:rPr>
                <w:rFonts w:asciiTheme="majorHAnsi" w:hAnsiTheme="majorHAnsi" w:cs="Times New Roman"/>
              </w:rPr>
            </w:pPr>
          </w:p>
        </w:tc>
        <w:tc>
          <w:tcPr>
            <w:tcW w:w="4961" w:type="dxa"/>
            <w:tcBorders>
              <w:top w:val="single" w:sz="4" w:space="0" w:color="auto"/>
              <w:left w:val="nil"/>
              <w:bottom w:val="single" w:sz="4" w:space="0" w:color="auto"/>
              <w:right w:val="single" w:sz="4" w:space="0" w:color="auto"/>
            </w:tcBorders>
            <w:shd w:val="clear" w:color="auto" w:fill="auto"/>
          </w:tcPr>
          <w:p w14:paraId="56C8FEFB" w14:textId="7F261683" w:rsidR="00603897" w:rsidRPr="00342080" w:rsidRDefault="00603897" w:rsidP="00603897">
            <w:pPr>
              <w:shd w:val="clear" w:color="auto" w:fill="FFFFFF" w:themeFill="background1"/>
              <w:contextualSpacing/>
              <w:mirrorIndents/>
              <w:rPr>
                <w:rFonts w:asciiTheme="majorHAnsi" w:eastAsia="Times New Roman" w:hAnsiTheme="majorHAnsi" w:cs="Times New Roman"/>
              </w:rPr>
            </w:pPr>
            <w:r w:rsidRPr="00342080">
              <w:rPr>
                <w:rFonts w:asciiTheme="majorHAnsi" w:eastAsia="Times New Roman" w:hAnsiTheme="majorHAnsi" w:cs="Times New Roman"/>
              </w:rPr>
              <w:t xml:space="preserve">Tiesioginis </w:t>
            </w:r>
            <w:proofErr w:type="spellStart"/>
            <w:r w:rsidRPr="00342080">
              <w:rPr>
                <w:rFonts w:asciiTheme="majorHAnsi" w:eastAsia="Times New Roman" w:hAnsiTheme="majorHAnsi" w:cs="Times New Roman"/>
              </w:rPr>
              <w:t>antiglobulino</w:t>
            </w:r>
            <w:proofErr w:type="spellEnd"/>
            <w:r w:rsidRPr="00342080">
              <w:rPr>
                <w:rFonts w:asciiTheme="majorHAnsi" w:eastAsia="Times New Roman" w:hAnsiTheme="majorHAnsi" w:cs="Times New Roman"/>
              </w:rPr>
              <w:t xml:space="preserve"> tyrimas </w:t>
            </w:r>
            <w:r w:rsidR="00F11AC9" w:rsidRPr="00342080">
              <w:rPr>
                <w:rFonts w:asciiTheme="majorHAnsi" w:eastAsia="Times New Roman" w:hAnsiTheme="majorHAnsi" w:cs="Times New Roman"/>
              </w:rPr>
              <w:t xml:space="preserve">su </w:t>
            </w:r>
            <w:proofErr w:type="spellStart"/>
            <w:r w:rsidR="00F11AC9" w:rsidRPr="00342080">
              <w:rPr>
                <w:rFonts w:asciiTheme="majorHAnsi" w:eastAsia="Times New Roman" w:hAnsiTheme="majorHAnsi" w:cs="Times New Roman"/>
              </w:rPr>
              <w:t>poli</w:t>
            </w:r>
            <w:r w:rsidR="00251755" w:rsidRPr="00342080">
              <w:rPr>
                <w:rFonts w:asciiTheme="majorHAnsi" w:eastAsia="Times New Roman" w:hAnsiTheme="majorHAnsi" w:cs="Times New Roman"/>
              </w:rPr>
              <w:t>specifiniu</w:t>
            </w:r>
            <w:proofErr w:type="spellEnd"/>
            <w:r w:rsidR="00251755" w:rsidRPr="00342080">
              <w:rPr>
                <w:rFonts w:asciiTheme="majorHAnsi" w:eastAsia="Times New Roman" w:hAnsiTheme="majorHAnsi" w:cs="Times New Roman"/>
              </w:rPr>
              <w:t xml:space="preserve"> reagentu </w:t>
            </w:r>
            <w:r w:rsidR="00DE4D22" w:rsidRPr="00342080">
              <w:rPr>
                <w:rFonts w:asciiTheme="majorHAnsi" w:eastAsia="Times New Roman" w:hAnsiTheme="majorHAnsi" w:cs="Times New Roman"/>
              </w:rPr>
              <w:t xml:space="preserve">– </w:t>
            </w:r>
            <w:r w:rsidRPr="00342080">
              <w:rPr>
                <w:rFonts w:asciiTheme="majorHAnsi" w:eastAsia="Times New Roman" w:hAnsiTheme="majorHAnsi" w:cs="Times New Roman"/>
              </w:rPr>
              <w:t xml:space="preserve">teigiamas, </w:t>
            </w:r>
            <w:r w:rsidR="00251755" w:rsidRPr="00342080">
              <w:rPr>
                <w:rFonts w:asciiTheme="majorHAnsi" w:eastAsia="Times New Roman" w:hAnsiTheme="majorHAnsi" w:cs="Times New Roman"/>
              </w:rPr>
              <w:t xml:space="preserve">tiesioginis </w:t>
            </w:r>
            <w:proofErr w:type="spellStart"/>
            <w:r w:rsidR="00251755" w:rsidRPr="00342080">
              <w:rPr>
                <w:rFonts w:asciiTheme="majorHAnsi" w:eastAsia="Times New Roman" w:hAnsiTheme="majorHAnsi" w:cs="Times New Roman"/>
              </w:rPr>
              <w:t>antiglobulino</w:t>
            </w:r>
            <w:proofErr w:type="spellEnd"/>
            <w:r w:rsidR="00251755" w:rsidRPr="00342080">
              <w:rPr>
                <w:rFonts w:asciiTheme="majorHAnsi" w:eastAsia="Times New Roman" w:hAnsiTheme="majorHAnsi" w:cs="Times New Roman"/>
              </w:rPr>
              <w:t xml:space="preserve"> tyrimas su </w:t>
            </w:r>
            <w:proofErr w:type="spellStart"/>
            <w:r w:rsidR="00DE4D22" w:rsidRPr="00342080">
              <w:rPr>
                <w:rFonts w:asciiTheme="majorHAnsi" w:eastAsia="Times New Roman" w:hAnsiTheme="majorHAnsi" w:cs="Times New Roman"/>
              </w:rPr>
              <w:t>anti-</w:t>
            </w:r>
            <w:r w:rsidRPr="00342080">
              <w:rPr>
                <w:rFonts w:asciiTheme="majorHAnsi" w:eastAsia="Times New Roman" w:hAnsiTheme="majorHAnsi" w:cs="Times New Roman"/>
              </w:rPr>
              <w:t>IgG</w:t>
            </w:r>
            <w:proofErr w:type="spellEnd"/>
            <w:r w:rsidRPr="00342080">
              <w:rPr>
                <w:rFonts w:asciiTheme="majorHAnsi" w:eastAsia="Times New Roman" w:hAnsiTheme="majorHAnsi" w:cs="Times New Roman"/>
              </w:rPr>
              <w:t xml:space="preserve"> </w:t>
            </w:r>
            <w:r w:rsidR="00DE4D22" w:rsidRPr="00342080">
              <w:rPr>
                <w:rFonts w:asciiTheme="majorHAnsi" w:eastAsia="Times New Roman" w:hAnsiTheme="majorHAnsi" w:cs="Times New Roman"/>
              </w:rPr>
              <w:t>–</w:t>
            </w:r>
            <w:r w:rsidRPr="00342080">
              <w:rPr>
                <w:rFonts w:asciiTheme="majorHAnsi" w:eastAsia="Times New Roman" w:hAnsiTheme="majorHAnsi" w:cs="Times New Roman"/>
              </w:rPr>
              <w:t>teigiamas</w:t>
            </w:r>
          </w:p>
        </w:tc>
        <w:tc>
          <w:tcPr>
            <w:tcW w:w="3699" w:type="dxa"/>
            <w:tcBorders>
              <w:top w:val="single" w:sz="4" w:space="0" w:color="auto"/>
              <w:left w:val="nil"/>
              <w:bottom w:val="single" w:sz="4" w:space="0" w:color="auto"/>
              <w:right w:val="single" w:sz="4" w:space="0" w:color="auto"/>
            </w:tcBorders>
          </w:tcPr>
          <w:p w14:paraId="77EAB4C7" w14:textId="4427FD95" w:rsidR="00603897" w:rsidRPr="00342080" w:rsidRDefault="00603897" w:rsidP="00603897">
            <w:pPr>
              <w:shd w:val="clear" w:color="auto" w:fill="FFFFFF" w:themeFill="background1"/>
              <w:contextualSpacing/>
              <w:mirrorIndents/>
              <w:rPr>
                <w:rFonts w:asciiTheme="majorHAnsi" w:eastAsia="Times New Roman" w:hAnsiTheme="majorHAnsi" w:cs="Times New Roman"/>
              </w:rPr>
            </w:pPr>
            <w:r w:rsidRPr="00342080">
              <w:rPr>
                <w:rFonts w:asciiTheme="majorHAnsi" w:hAnsiTheme="majorHAnsi" w:cs="Times New Roman"/>
                <w:i/>
              </w:rPr>
              <w:t>įrašo tiekėjas</w:t>
            </w:r>
          </w:p>
        </w:tc>
      </w:tr>
      <w:tr w:rsidR="00603897" w:rsidRPr="00342080" w14:paraId="54363DCB"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0DE8E49D" w14:textId="6AB45708" w:rsidR="00603897" w:rsidRPr="00342080" w:rsidRDefault="00603897" w:rsidP="00603897">
            <w:pPr>
              <w:contextualSpacing/>
              <w:mirrorIndents/>
              <w:rPr>
                <w:rFonts w:asciiTheme="majorHAnsi" w:hAnsiTheme="majorHAnsi" w:cs="Times New Roman"/>
              </w:rPr>
            </w:pPr>
            <w:r w:rsidRPr="00342080">
              <w:rPr>
                <w:rFonts w:asciiTheme="majorHAnsi" w:hAnsiTheme="majorHAnsi" w:cs="Times New Roman"/>
              </w:rPr>
              <w:t>1.29.6</w:t>
            </w:r>
          </w:p>
        </w:tc>
        <w:tc>
          <w:tcPr>
            <w:tcW w:w="3376" w:type="dxa"/>
            <w:tcBorders>
              <w:top w:val="single" w:sz="4" w:space="0" w:color="auto"/>
              <w:left w:val="nil"/>
              <w:bottom w:val="single" w:sz="4" w:space="0" w:color="auto"/>
              <w:right w:val="single" w:sz="4" w:space="0" w:color="auto"/>
            </w:tcBorders>
            <w:shd w:val="clear" w:color="auto" w:fill="auto"/>
          </w:tcPr>
          <w:p w14:paraId="3A97266B" w14:textId="77777777" w:rsidR="00603897" w:rsidRPr="00342080" w:rsidRDefault="00603897" w:rsidP="00603897">
            <w:pPr>
              <w:shd w:val="clear" w:color="auto" w:fill="FFFFFF"/>
              <w:contextualSpacing/>
              <w:mirrorIndents/>
              <w:rPr>
                <w:rFonts w:asciiTheme="majorHAnsi" w:hAnsiTheme="majorHAnsi" w:cs="Times New Roman"/>
              </w:rPr>
            </w:pPr>
            <w:r w:rsidRPr="00342080">
              <w:rPr>
                <w:rFonts w:asciiTheme="majorHAnsi" w:hAnsiTheme="majorHAnsi" w:cs="Times New Roman"/>
              </w:rPr>
              <w:t>VKK6</w:t>
            </w:r>
          </w:p>
        </w:tc>
        <w:tc>
          <w:tcPr>
            <w:tcW w:w="1549" w:type="dxa"/>
            <w:tcBorders>
              <w:top w:val="single" w:sz="4" w:space="0" w:color="auto"/>
              <w:left w:val="nil"/>
              <w:bottom w:val="single" w:sz="4" w:space="0" w:color="auto"/>
              <w:right w:val="single" w:sz="4" w:space="0" w:color="auto"/>
            </w:tcBorders>
            <w:shd w:val="clear" w:color="auto" w:fill="auto"/>
          </w:tcPr>
          <w:p w14:paraId="53A99702" w14:textId="510887D3" w:rsidR="00603897" w:rsidRPr="00342080" w:rsidRDefault="00603897" w:rsidP="00603897">
            <w:pPr>
              <w:shd w:val="clear" w:color="auto" w:fill="FFFFFF"/>
              <w:contextualSpacing/>
              <w:mirrorIndents/>
              <w:rPr>
                <w:rFonts w:asciiTheme="majorHAnsi" w:hAnsiTheme="majorHAnsi" w:cs="Times New Roman"/>
              </w:rPr>
            </w:pPr>
            <w:r w:rsidRPr="00342080">
              <w:rPr>
                <w:rFonts w:asciiTheme="majorHAnsi" w:hAnsiTheme="majorHAnsi" w:cs="Times New Roman"/>
              </w:rPr>
              <w:t>30 rinkinių (1x6 ml)</w:t>
            </w:r>
          </w:p>
          <w:p w14:paraId="2C131426" w14:textId="77777777" w:rsidR="00603897" w:rsidRPr="00342080" w:rsidRDefault="00603897" w:rsidP="00603897">
            <w:pPr>
              <w:shd w:val="clear" w:color="auto" w:fill="FFFFFF"/>
              <w:contextualSpacing/>
              <w:mirrorIndents/>
              <w:rPr>
                <w:rFonts w:asciiTheme="majorHAnsi" w:hAnsiTheme="majorHAnsi" w:cs="Times New Roman"/>
              </w:rPr>
            </w:pPr>
          </w:p>
        </w:tc>
        <w:tc>
          <w:tcPr>
            <w:tcW w:w="4961" w:type="dxa"/>
            <w:tcBorders>
              <w:top w:val="single" w:sz="4" w:space="0" w:color="auto"/>
              <w:left w:val="nil"/>
              <w:bottom w:val="single" w:sz="4" w:space="0" w:color="auto"/>
              <w:right w:val="single" w:sz="4" w:space="0" w:color="auto"/>
            </w:tcBorders>
            <w:shd w:val="clear" w:color="auto" w:fill="auto"/>
          </w:tcPr>
          <w:p w14:paraId="72F8C946" w14:textId="471C30E7" w:rsidR="00603897" w:rsidRPr="00342080" w:rsidRDefault="00613C4C" w:rsidP="00603897">
            <w:pPr>
              <w:shd w:val="clear" w:color="auto" w:fill="FFFFFF"/>
              <w:contextualSpacing/>
              <w:mirrorIndents/>
              <w:rPr>
                <w:rFonts w:asciiTheme="majorHAnsi" w:eastAsia="Times New Roman" w:hAnsiTheme="majorHAnsi" w:cs="Times New Roman"/>
              </w:rPr>
            </w:pPr>
            <w:r w:rsidRPr="00342080">
              <w:rPr>
                <w:rFonts w:asciiTheme="majorHAnsi" w:eastAsia="Times New Roman" w:hAnsiTheme="majorHAnsi" w:cs="Times New Roman"/>
              </w:rPr>
              <w:t xml:space="preserve">Tiesioginis </w:t>
            </w:r>
            <w:proofErr w:type="spellStart"/>
            <w:r w:rsidRPr="00342080">
              <w:rPr>
                <w:rFonts w:asciiTheme="majorHAnsi" w:eastAsia="Times New Roman" w:hAnsiTheme="majorHAnsi" w:cs="Times New Roman"/>
              </w:rPr>
              <w:t>antiglobulino</w:t>
            </w:r>
            <w:proofErr w:type="spellEnd"/>
            <w:r w:rsidRPr="00342080">
              <w:rPr>
                <w:rFonts w:asciiTheme="majorHAnsi" w:eastAsia="Times New Roman" w:hAnsiTheme="majorHAnsi" w:cs="Times New Roman"/>
              </w:rPr>
              <w:t xml:space="preserve"> tyrimas su </w:t>
            </w:r>
            <w:proofErr w:type="spellStart"/>
            <w:r w:rsidRPr="00342080">
              <w:rPr>
                <w:rFonts w:asciiTheme="majorHAnsi" w:eastAsia="Times New Roman" w:hAnsiTheme="majorHAnsi" w:cs="Times New Roman"/>
              </w:rPr>
              <w:t>polispecifiniu</w:t>
            </w:r>
            <w:proofErr w:type="spellEnd"/>
            <w:r w:rsidRPr="00342080">
              <w:rPr>
                <w:rFonts w:asciiTheme="majorHAnsi" w:eastAsia="Times New Roman" w:hAnsiTheme="majorHAnsi" w:cs="Times New Roman"/>
              </w:rPr>
              <w:t xml:space="preserve"> reagentu – teigiamas, tiesioginis </w:t>
            </w:r>
            <w:proofErr w:type="spellStart"/>
            <w:r w:rsidRPr="00342080">
              <w:rPr>
                <w:rFonts w:asciiTheme="majorHAnsi" w:eastAsia="Times New Roman" w:hAnsiTheme="majorHAnsi" w:cs="Times New Roman"/>
              </w:rPr>
              <w:t>antiglobulino</w:t>
            </w:r>
            <w:proofErr w:type="spellEnd"/>
            <w:r w:rsidRPr="00342080">
              <w:rPr>
                <w:rFonts w:asciiTheme="majorHAnsi" w:eastAsia="Times New Roman" w:hAnsiTheme="majorHAnsi" w:cs="Times New Roman"/>
              </w:rPr>
              <w:t xml:space="preserve"> tyrimas su anti-</w:t>
            </w:r>
            <w:r w:rsidR="00603897" w:rsidRPr="00342080">
              <w:rPr>
                <w:rFonts w:asciiTheme="majorHAnsi" w:eastAsia="Times New Roman" w:hAnsiTheme="majorHAnsi" w:cs="Times New Roman"/>
              </w:rPr>
              <w:t xml:space="preserve">C3b ir/arba </w:t>
            </w:r>
            <w:r w:rsidRPr="00342080">
              <w:rPr>
                <w:rFonts w:asciiTheme="majorHAnsi" w:eastAsia="Times New Roman" w:hAnsiTheme="majorHAnsi" w:cs="Times New Roman"/>
              </w:rPr>
              <w:t>anti-</w:t>
            </w:r>
            <w:r w:rsidR="00603897" w:rsidRPr="00342080">
              <w:rPr>
                <w:rFonts w:asciiTheme="majorHAnsi" w:eastAsia="Times New Roman" w:hAnsiTheme="majorHAnsi" w:cs="Times New Roman"/>
              </w:rPr>
              <w:t xml:space="preserve">C3d </w:t>
            </w:r>
            <w:r w:rsidRPr="00342080">
              <w:rPr>
                <w:rFonts w:asciiTheme="majorHAnsi" w:eastAsia="Times New Roman" w:hAnsiTheme="majorHAnsi" w:cs="Times New Roman"/>
              </w:rPr>
              <w:t xml:space="preserve">– </w:t>
            </w:r>
            <w:r w:rsidR="00603897" w:rsidRPr="00342080">
              <w:rPr>
                <w:rFonts w:asciiTheme="majorHAnsi" w:eastAsia="Times New Roman" w:hAnsiTheme="majorHAnsi" w:cs="Times New Roman"/>
              </w:rPr>
              <w:t>teigiamas</w:t>
            </w:r>
          </w:p>
        </w:tc>
        <w:tc>
          <w:tcPr>
            <w:tcW w:w="3699" w:type="dxa"/>
            <w:tcBorders>
              <w:top w:val="single" w:sz="4" w:space="0" w:color="auto"/>
              <w:left w:val="nil"/>
              <w:bottom w:val="single" w:sz="4" w:space="0" w:color="auto"/>
              <w:right w:val="single" w:sz="4" w:space="0" w:color="auto"/>
            </w:tcBorders>
          </w:tcPr>
          <w:p w14:paraId="4D4E699B" w14:textId="4D382820" w:rsidR="00603897" w:rsidRPr="00342080" w:rsidRDefault="00603897" w:rsidP="00603897">
            <w:pPr>
              <w:shd w:val="clear" w:color="auto" w:fill="FFFFFF"/>
              <w:contextualSpacing/>
              <w:mirrorIndents/>
              <w:rPr>
                <w:rFonts w:asciiTheme="majorHAnsi" w:eastAsia="Times New Roman" w:hAnsiTheme="majorHAnsi" w:cs="Times New Roman"/>
              </w:rPr>
            </w:pPr>
            <w:r w:rsidRPr="00342080">
              <w:rPr>
                <w:rFonts w:asciiTheme="majorHAnsi" w:hAnsiTheme="majorHAnsi" w:cs="Times New Roman"/>
                <w:i/>
              </w:rPr>
              <w:t>įrašo tiekėjas</w:t>
            </w:r>
          </w:p>
        </w:tc>
      </w:tr>
      <w:tr w:rsidR="00603897" w:rsidRPr="00342080" w14:paraId="39A60558"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48F141F1" w14:textId="71A8479B" w:rsidR="00603897" w:rsidRPr="00342080" w:rsidRDefault="00603897" w:rsidP="00603897">
            <w:pPr>
              <w:contextualSpacing/>
              <w:mirrorIndents/>
              <w:rPr>
                <w:rFonts w:asciiTheme="majorHAnsi" w:hAnsiTheme="majorHAnsi" w:cs="Times New Roman"/>
              </w:rPr>
            </w:pPr>
            <w:r w:rsidRPr="00342080">
              <w:rPr>
                <w:rFonts w:asciiTheme="majorHAnsi" w:hAnsiTheme="majorHAnsi" w:cs="Times New Roman"/>
              </w:rPr>
              <w:t>2.</w:t>
            </w:r>
          </w:p>
        </w:tc>
        <w:tc>
          <w:tcPr>
            <w:tcW w:w="3376" w:type="dxa"/>
            <w:tcBorders>
              <w:top w:val="single" w:sz="4" w:space="0" w:color="auto"/>
              <w:left w:val="nil"/>
              <w:bottom w:val="single" w:sz="4" w:space="0" w:color="auto"/>
              <w:right w:val="single" w:sz="4" w:space="0" w:color="auto"/>
            </w:tcBorders>
            <w:shd w:val="clear" w:color="auto" w:fill="auto"/>
          </w:tcPr>
          <w:p w14:paraId="6A7B8E18" w14:textId="4E694E40" w:rsidR="00603897" w:rsidRPr="00342080" w:rsidRDefault="00603897" w:rsidP="00603897">
            <w:pPr>
              <w:shd w:val="clear" w:color="auto" w:fill="FFFFFF"/>
              <w:contextualSpacing/>
              <w:mirrorIndents/>
              <w:rPr>
                <w:rFonts w:asciiTheme="majorHAnsi" w:hAnsiTheme="majorHAnsi" w:cs="Times New Roman"/>
              </w:rPr>
            </w:pPr>
            <w:proofErr w:type="spellStart"/>
            <w:r w:rsidRPr="00342080">
              <w:rPr>
                <w:rFonts w:asciiTheme="majorHAnsi" w:hAnsiTheme="majorHAnsi" w:cs="Times New Roman"/>
                <w:b/>
                <w:color w:val="000000" w:themeColor="text1"/>
              </w:rPr>
              <w:t>Imunohematologiniai</w:t>
            </w:r>
            <w:proofErr w:type="spellEnd"/>
            <w:r w:rsidRPr="00342080">
              <w:rPr>
                <w:rFonts w:asciiTheme="majorHAnsi" w:hAnsiTheme="majorHAnsi" w:cs="Times New Roman"/>
                <w:b/>
                <w:color w:val="000000" w:themeColor="text1"/>
              </w:rPr>
              <w:t xml:space="preserve"> tyrimai, atliekami </w:t>
            </w:r>
            <w:r w:rsidRPr="00342080">
              <w:rPr>
                <w:rFonts w:asciiTheme="majorHAnsi" w:hAnsiTheme="majorHAnsi" w:cs="Times New Roman"/>
                <w:b/>
                <w:color w:val="000000" w:themeColor="text1"/>
                <w:u w:val="single"/>
              </w:rPr>
              <w:t xml:space="preserve">automatizuotu </w:t>
            </w:r>
            <w:r w:rsidR="00B77F76" w:rsidRPr="00342080">
              <w:rPr>
                <w:rFonts w:asciiTheme="majorHAnsi" w:hAnsiTheme="majorHAnsi" w:cs="Times New Roman"/>
                <w:b/>
                <w:color w:val="000000" w:themeColor="text1"/>
                <w:u w:val="single"/>
              </w:rPr>
              <w:t>ir/</w:t>
            </w:r>
            <w:r w:rsidRPr="00342080">
              <w:rPr>
                <w:rFonts w:asciiTheme="majorHAnsi" w:hAnsiTheme="majorHAnsi" w:cs="Times New Roman"/>
                <w:b/>
                <w:color w:val="000000" w:themeColor="text1"/>
                <w:u w:val="single"/>
              </w:rPr>
              <w:t>arba rankiniu</w:t>
            </w:r>
            <w:r w:rsidRPr="00342080">
              <w:rPr>
                <w:rFonts w:asciiTheme="majorHAnsi" w:hAnsiTheme="majorHAnsi" w:cs="Times New Roman"/>
                <w:b/>
                <w:color w:val="000000" w:themeColor="text1"/>
              </w:rPr>
              <w:t xml:space="preserve"> būdu (</w:t>
            </w:r>
            <w:proofErr w:type="spellStart"/>
            <w:r w:rsidR="00EB6191" w:rsidRPr="00342080">
              <w:rPr>
                <w:rFonts w:asciiTheme="majorHAnsi" w:hAnsiTheme="majorHAnsi" w:cs="Times New Roman"/>
                <w:b/>
                <w:bCs/>
              </w:rPr>
              <w:t>hemagliutinacijos</w:t>
            </w:r>
            <w:proofErr w:type="spellEnd"/>
            <w:r w:rsidR="00EB6191" w:rsidRPr="00342080">
              <w:rPr>
                <w:rFonts w:asciiTheme="majorHAnsi" w:hAnsiTheme="majorHAnsi" w:cs="Times New Roman"/>
                <w:b/>
                <w:bCs/>
              </w:rPr>
              <w:t xml:space="preserve"> reakcija stulpelyje</w:t>
            </w:r>
            <w:r w:rsidR="00EB6191" w:rsidRPr="00342080">
              <w:rPr>
                <w:rFonts w:asciiTheme="majorHAnsi" w:hAnsiTheme="majorHAnsi" w:cs="Times New Roman"/>
                <w:b/>
                <w:color w:val="000000" w:themeColor="text1"/>
              </w:rPr>
              <w:t xml:space="preserve"> </w:t>
            </w:r>
            <w:r w:rsidRPr="00342080">
              <w:rPr>
                <w:rFonts w:asciiTheme="majorHAnsi" w:hAnsiTheme="majorHAnsi" w:cs="Times New Roman"/>
                <w:b/>
                <w:color w:val="000000" w:themeColor="text1"/>
              </w:rPr>
              <w:t>)</w:t>
            </w:r>
          </w:p>
        </w:tc>
        <w:tc>
          <w:tcPr>
            <w:tcW w:w="1549" w:type="dxa"/>
            <w:tcBorders>
              <w:top w:val="single" w:sz="4" w:space="0" w:color="auto"/>
              <w:left w:val="nil"/>
              <w:bottom w:val="single" w:sz="4" w:space="0" w:color="auto"/>
              <w:right w:val="single" w:sz="4" w:space="0" w:color="auto"/>
            </w:tcBorders>
            <w:shd w:val="clear" w:color="auto" w:fill="auto"/>
          </w:tcPr>
          <w:p w14:paraId="21071CDE" w14:textId="77777777" w:rsidR="00603897" w:rsidRPr="00342080" w:rsidRDefault="00603897" w:rsidP="00603897">
            <w:pPr>
              <w:shd w:val="clear" w:color="auto" w:fill="FFFFFF"/>
              <w:contextualSpacing/>
              <w:mirrorIndents/>
              <w:rPr>
                <w:rFonts w:asciiTheme="majorHAnsi" w:hAnsiTheme="majorHAnsi" w:cs="Times New Roman"/>
              </w:rPr>
            </w:pPr>
          </w:p>
        </w:tc>
        <w:tc>
          <w:tcPr>
            <w:tcW w:w="4961" w:type="dxa"/>
            <w:tcBorders>
              <w:top w:val="single" w:sz="4" w:space="0" w:color="auto"/>
              <w:left w:val="nil"/>
              <w:bottom w:val="single" w:sz="4" w:space="0" w:color="auto"/>
              <w:right w:val="single" w:sz="4" w:space="0" w:color="auto"/>
            </w:tcBorders>
            <w:shd w:val="clear" w:color="auto" w:fill="auto"/>
          </w:tcPr>
          <w:p w14:paraId="28EB2493" w14:textId="7A78E958" w:rsidR="00603897" w:rsidRPr="00342080" w:rsidRDefault="00EB6191" w:rsidP="00603897">
            <w:pPr>
              <w:shd w:val="clear" w:color="auto" w:fill="FFFFFF"/>
              <w:contextualSpacing/>
              <w:mirrorIndents/>
              <w:rPr>
                <w:rFonts w:asciiTheme="majorHAnsi" w:eastAsia="Times New Roman" w:hAnsiTheme="majorHAnsi" w:cs="Times New Roman"/>
              </w:rPr>
            </w:pPr>
            <w:r w:rsidRPr="00342080">
              <w:rPr>
                <w:rFonts w:asciiTheme="majorHAnsi" w:eastAsia="Times New Roman" w:hAnsiTheme="majorHAnsi" w:cs="Times New Roman"/>
              </w:rPr>
              <w:t>Pasiūlyti nebūtina</w:t>
            </w:r>
          </w:p>
        </w:tc>
        <w:tc>
          <w:tcPr>
            <w:tcW w:w="3699" w:type="dxa"/>
            <w:tcBorders>
              <w:top w:val="single" w:sz="4" w:space="0" w:color="auto"/>
              <w:left w:val="nil"/>
              <w:bottom w:val="single" w:sz="4" w:space="0" w:color="auto"/>
              <w:right w:val="single" w:sz="4" w:space="0" w:color="auto"/>
            </w:tcBorders>
          </w:tcPr>
          <w:p w14:paraId="5FE6F085" w14:textId="2A5F2669" w:rsidR="00603897" w:rsidRPr="00342080" w:rsidRDefault="00603897" w:rsidP="00603897">
            <w:pPr>
              <w:shd w:val="clear" w:color="auto" w:fill="FFFFFF"/>
              <w:contextualSpacing/>
              <w:mirrorIndents/>
              <w:rPr>
                <w:rFonts w:asciiTheme="majorHAnsi" w:eastAsia="Times New Roman" w:hAnsiTheme="majorHAnsi" w:cs="Times New Roman"/>
              </w:rPr>
            </w:pPr>
          </w:p>
        </w:tc>
      </w:tr>
      <w:tr w:rsidR="00603897" w:rsidRPr="00342080" w14:paraId="1A8410F9"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11B4DF57" w14:textId="07240E9D" w:rsidR="00603897" w:rsidRPr="00342080" w:rsidRDefault="00603897" w:rsidP="00603897">
            <w:pPr>
              <w:contextualSpacing/>
              <w:mirrorIndents/>
              <w:rPr>
                <w:rFonts w:asciiTheme="majorHAnsi" w:hAnsiTheme="majorHAnsi" w:cs="Times New Roman"/>
              </w:rPr>
            </w:pPr>
            <w:r w:rsidRPr="00342080">
              <w:rPr>
                <w:rFonts w:asciiTheme="majorHAnsi" w:hAnsiTheme="majorHAnsi" w:cs="Times New Roman"/>
              </w:rPr>
              <w:t>2.1</w:t>
            </w:r>
          </w:p>
        </w:tc>
        <w:tc>
          <w:tcPr>
            <w:tcW w:w="3376" w:type="dxa"/>
            <w:tcBorders>
              <w:top w:val="single" w:sz="4" w:space="0" w:color="auto"/>
              <w:left w:val="nil"/>
              <w:bottom w:val="single" w:sz="4" w:space="0" w:color="auto"/>
              <w:right w:val="single" w:sz="4" w:space="0" w:color="auto"/>
            </w:tcBorders>
            <w:shd w:val="clear" w:color="auto" w:fill="auto"/>
          </w:tcPr>
          <w:p w14:paraId="62E8C327" w14:textId="31E06307" w:rsidR="00603897" w:rsidRPr="00342080" w:rsidRDefault="00603897" w:rsidP="00603897">
            <w:pPr>
              <w:shd w:val="clear" w:color="auto" w:fill="FFFFFF"/>
              <w:contextualSpacing/>
              <w:mirrorIndents/>
              <w:rPr>
                <w:rFonts w:asciiTheme="majorHAnsi" w:hAnsiTheme="majorHAnsi" w:cs="Times New Roman"/>
              </w:rPr>
            </w:pPr>
            <w:r w:rsidRPr="00342080">
              <w:rPr>
                <w:rFonts w:asciiTheme="majorHAnsi" w:hAnsiTheme="majorHAnsi" w:cs="Times New Roman"/>
              </w:rPr>
              <w:t>D antigeno variantų nustatymas eritrocituose</w:t>
            </w:r>
          </w:p>
        </w:tc>
        <w:tc>
          <w:tcPr>
            <w:tcW w:w="1549" w:type="dxa"/>
            <w:tcBorders>
              <w:top w:val="single" w:sz="4" w:space="0" w:color="auto"/>
              <w:left w:val="nil"/>
              <w:bottom w:val="single" w:sz="4" w:space="0" w:color="auto"/>
              <w:right w:val="single" w:sz="4" w:space="0" w:color="auto"/>
            </w:tcBorders>
            <w:shd w:val="clear" w:color="auto" w:fill="auto"/>
          </w:tcPr>
          <w:p w14:paraId="16939200" w14:textId="785984FB" w:rsidR="00603897" w:rsidRPr="00342080" w:rsidRDefault="00603897" w:rsidP="00603897">
            <w:pPr>
              <w:shd w:val="clear" w:color="auto" w:fill="FFFFFF"/>
              <w:contextualSpacing/>
              <w:mirrorIndents/>
              <w:rPr>
                <w:rFonts w:asciiTheme="majorHAnsi" w:hAnsiTheme="majorHAnsi" w:cs="Times New Roman"/>
              </w:rPr>
            </w:pPr>
            <w:r w:rsidRPr="00342080">
              <w:rPr>
                <w:rFonts w:asciiTheme="majorHAnsi" w:hAnsiTheme="majorHAnsi" w:cs="Times New Roman"/>
              </w:rPr>
              <w:t>200</w:t>
            </w:r>
          </w:p>
        </w:tc>
        <w:tc>
          <w:tcPr>
            <w:tcW w:w="4961" w:type="dxa"/>
            <w:tcBorders>
              <w:top w:val="single" w:sz="4" w:space="0" w:color="auto"/>
              <w:left w:val="nil"/>
              <w:bottom w:val="single" w:sz="4" w:space="0" w:color="auto"/>
              <w:right w:val="single" w:sz="4" w:space="0" w:color="auto"/>
            </w:tcBorders>
            <w:shd w:val="clear" w:color="auto" w:fill="auto"/>
          </w:tcPr>
          <w:p w14:paraId="3654D3E1" w14:textId="1A1AF400" w:rsidR="00245B20" w:rsidRPr="00342080" w:rsidRDefault="00245B20" w:rsidP="00603897">
            <w:pPr>
              <w:shd w:val="clear" w:color="auto" w:fill="FFFFFF"/>
              <w:contextualSpacing/>
              <w:mirrorIndents/>
              <w:rPr>
                <w:rFonts w:asciiTheme="majorHAnsi" w:eastAsia="Times New Roman" w:hAnsiTheme="majorHAnsi" w:cs="Times New Roman"/>
              </w:rPr>
            </w:pPr>
            <w:r w:rsidRPr="00342080">
              <w:rPr>
                <w:rFonts w:asciiTheme="majorHAnsi" w:hAnsiTheme="majorHAnsi" w:cs="Times New Roman"/>
              </w:rPr>
              <w:t>Tyrimas atliekamas, naudojant ne mažiau ne</w:t>
            </w:r>
            <w:r w:rsidR="007946CF" w:rsidRPr="00342080">
              <w:rPr>
                <w:rFonts w:asciiTheme="majorHAnsi" w:hAnsiTheme="majorHAnsi" w:cs="Times New Roman"/>
              </w:rPr>
              <w:t>i</w:t>
            </w:r>
            <w:r w:rsidRPr="00342080">
              <w:rPr>
                <w:rFonts w:asciiTheme="majorHAnsi" w:hAnsiTheme="majorHAnsi" w:cs="Times New Roman"/>
              </w:rPr>
              <w:t xml:space="preserve"> penkių </w:t>
            </w:r>
            <w:proofErr w:type="spellStart"/>
            <w:r w:rsidRPr="00342080">
              <w:rPr>
                <w:rFonts w:asciiTheme="majorHAnsi" w:hAnsiTheme="majorHAnsi" w:cs="Times New Roman"/>
              </w:rPr>
              <w:t>monokloninių</w:t>
            </w:r>
            <w:proofErr w:type="spellEnd"/>
            <w:r w:rsidRPr="00342080">
              <w:rPr>
                <w:rFonts w:asciiTheme="majorHAnsi" w:hAnsiTheme="majorHAnsi" w:cs="Times New Roman"/>
              </w:rPr>
              <w:t xml:space="preserve"> antikūnų </w:t>
            </w:r>
            <w:r w:rsidR="00EF3E6F" w:rsidRPr="00342080">
              <w:rPr>
                <w:rFonts w:asciiTheme="majorHAnsi" w:hAnsiTheme="majorHAnsi" w:cs="Times New Roman"/>
              </w:rPr>
              <w:t>(būti</w:t>
            </w:r>
            <w:r w:rsidR="00AD36B8" w:rsidRPr="00342080">
              <w:rPr>
                <w:rFonts w:asciiTheme="majorHAnsi" w:hAnsiTheme="majorHAnsi" w:cs="Times New Roman"/>
              </w:rPr>
              <w:t xml:space="preserve">ni </w:t>
            </w:r>
            <w:proofErr w:type="spellStart"/>
            <w:r w:rsidR="00AD36B8" w:rsidRPr="00342080">
              <w:rPr>
                <w:rFonts w:asciiTheme="majorHAnsi" w:hAnsiTheme="majorHAnsi" w:cs="Times New Roman"/>
              </w:rPr>
              <w:t>anti</w:t>
            </w:r>
            <w:proofErr w:type="spellEnd"/>
            <w:r w:rsidR="00AD36B8" w:rsidRPr="00342080">
              <w:rPr>
                <w:rFonts w:asciiTheme="majorHAnsi" w:hAnsiTheme="majorHAnsi" w:cs="Times New Roman"/>
              </w:rPr>
              <w:t xml:space="preserve">-DII, </w:t>
            </w:r>
            <w:proofErr w:type="spellStart"/>
            <w:r w:rsidR="00AD36B8" w:rsidRPr="00342080">
              <w:rPr>
                <w:rFonts w:asciiTheme="majorHAnsi" w:hAnsiTheme="majorHAnsi" w:cs="Times New Roman"/>
              </w:rPr>
              <w:t>anti</w:t>
            </w:r>
            <w:proofErr w:type="spellEnd"/>
            <w:r w:rsidR="00AD36B8" w:rsidRPr="00342080">
              <w:rPr>
                <w:rFonts w:asciiTheme="majorHAnsi" w:hAnsiTheme="majorHAnsi" w:cs="Times New Roman"/>
              </w:rPr>
              <w:t xml:space="preserve">-DIV, </w:t>
            </w:r>
            <w:proofErr w:type="spellStart"/>
            <w:r w:rsidR="00AD36B8" w:rsidRPr="00342080">
              <w:rPr>
                <w:rFonts w:asciiTheme="majorHAnsi" w:hAnsiTheme="majorHAnsi" w:cs="Times New Roman"/>
              </w:rPr>
              <w:t>anti</w:t>
            </w:r>
            <w:proofErr w:type="spellEnd"/>
            <w:r w:rsidR="00AD36B8" w:rsidRPr="00342080">
              <w:rPr>
                <w:rFonts w:asciiTheme="majorHAnsi" w:hAnsiTheme="majorHAnsi" w:cs="Times New Roman"/>
              </w:rPr>
              <w:t>-D</w:t>
            </w:r>
            <w:r w:rsidR="00C60879" w:rsidRPr="00342080">
              <w:rPr>
                <w:rFonts w:asciiTheme="majorHAnsi" w:hAnsiTheme="majorHAnsi" w:cs="Times New Roman"/>
              </w:rPr>
              <w:t xml:space="preserve">V, </w:t>
            </w:r>
            <w:proofErr w:type="spellStart"/>
            <w:r w:rsidR="00C60879" w:rsidRPr="00342080">
              <w:rPr>
                <w:rFonts w:asciiTheme="majorHAnsi" w:hAnsiTheme="majorHAnsi" w:cs="Times New Roman"/>
              </w:rPr>
              <w:t>anti</w:t>
            </w:r>
            <w:proofErr w:type="spellEnd"/>
            <w:r w:rsidR="00C60879" w:rsidRPr="00342080">
              <w:rPr>
                <w:rFonts w:asciiTheme="majorHAnsi" w:hAnsiTheme="majorHAnsi" w:cs="Times New Roman"/>
              </w:rPr>
              <w:t xml:space="preserve">-DVI ir </w:t>
            </w:r>
            <w:proofErr w:type="spellStart"/>
            <w:r w:rsidR="00C60879" w:rsidRPr="00342080">
              <w:rPr>
                <w:rFonts w:asciiTheme="majorHAnsi" w:hAnsiTheme="majorHAnsi" w:cs="Times New Roman"/>
              </w:rPr>
              <w:t>anti</w:t>
            </w:r>
            <w:proofErr w:type="spellEnd"/>
            <w:r w:rsidR="00C60879" w:rsidRPr="00342080">
              <w:rPr>
                <w:rFonts w:asciiTheme="majorHAnsi" w:hAnsiTheme="majorHAnsi" w:cs="Times New Roman"/>
              </w:rPr>
              <w:t xml:space="preserve">-DVII) </w:t>
            </w:r>
            <w:r w:rsidRPr="00342080">
              <w:rPr>
                <w:rFonts w:asciiTheme="majorHAnsi" w:hAnsiTheme="majorHAnsi" w:cs="Times New Roman"/>
              </w:rPr>
              <w:t xml:space="preserve">prieš D </w:t>
            </w:r>
            <w:r w:rsidR="00322D13" w:rsidRPr="00342080">
              <w:rPr>
                <w:rFonts w:asciiTheme="majorHAnsi" w:hAnsiTheme="majorHAnsi" w:cs="Times New Roman"/>
              </w:rPr>
              <w:t xml:space="preserve">antigeno variantus </w:t>
            </w:r>
            <w:r w:rsidRPr="00342080">
              <w:rPr>
                <w:rFonts w:asciiTheme="majorHAnsi" w:hAnsiTheme="majorHAnsi" w:cs="Times New Roman"/>
              </w:rPr>
              <w:t xml:space="preserve">rinkinį </w:t>
            </w:r>
            <w:r w:rsidR="00E93B7C" w:rsidRPr="00342080">
              <w:rPr>
                <w:rFonts w:asciiTheme="majorHAnsi" w:hAnsiTheme="majorHAnsi" w:cs="Times New Roman"/>
              </w:rPr>
              <w:t xml:space="preserve">ir </w:t>
            </w:r>
            <w:r w:rsidR="00C60879" w:rsidRPr="00342080">
              <w:rPr>
                <w:rFonts w:asciiTheme="majorHAnsi" w:hAnsiTheme="majorHAnsi" w:cs="Times New Roman"/>
              </w:rPr>
              <w:t xml:space="preserve">stulpelių korteles su </w:t>
            </w:r>
            <w:proofErr w:type="spellStart"/>
            <w:r w:rsidR="00C60879" w:rsidRPr="00342080">
              <w:rPr>
                <w:rFonts w:asciiTheme="majorHAnsi" w:hAnsiTheme="majorHAnsi" w:cs="Times New Roman"/>
              </w:rPr>
              <w:lastRenderedPageBreak/>
              <w:t>polispecifiniu</w:t>
            </w:r>
            <w:proofErr w:type="spellEnd"/>
            <w:r w:rsidR="00C60879" w:rsidRPr="00342080">
              <w:rPr>
                <w:rFonts w:asciiTheme="majorHAnsi" w:hAnsiTheme="majorHAnsi" w:cs="Times New Roman"/>
              </w:rPr>
              <w:t xml:space="preserve"> žmogaus </w:t>
            </w:r>
            <w:proofErr w:type="spellStart"/>
            <w:r w:rsidR="00C60879" w:rsidRPr="00342080">
              <w:rPr>
                <w:rFonts w:asciiTheme="majorHAnsi" w:hAnsiTheme="majorHAnsi" w:cs="Times New Roman"/>
              </w:rPr>
              <w:t>antiglobulinu</w:t>
            </w:r>
            <w:proofErr w:type="spellEnd"/>
            <w:r w:rsidR="00C60879" w:rsidRPr="00342080">
              <w:rPr>
                <w:rFonts w:asciiTheme="majorHAnsi" w:hAnsiTheme="majorHAnsi" w:cs="Times New Roman"/>
              </w:rPr>
              <w:t xml:space="preserve"> (</w:t>
            </w:r>
            <w:proofErr w:type="spellStart"/>
            <w:r w:rsidR="00C60879" w:rsidRPr="00342080">
              <w:rPr>
                <w:rFonts w:asciiTheme="majorHAnsi" w:hAnsiTheme="majorHAnsi" w:cs="Times New Roman"/>
              </w:rPr>
              <w:t>anti-IgG</w:t>
            </w:r>
            <w:proofErr w:type="spellEnd"/>
            <w:r w:rsidR="00C60879" w:rsidRPr="00342080">
              <w:rPr>
                <w:rFonts w:asciiTheme="majorHAnsi" w:hAnsiTheme="majorHAnsi" w:cs="Times New Roman"/>
              </w:rPr>
              <w:t xml:space="preserve"> ir anti-C3d).</w:t>
            </w:r>
          </w:p>
        </w:tc>
        <w:tc>
          <w:tcPr>
            <w:tcW w:w="3699" w:type="dxa"/>
            <w:tcBorders>
              <w:top w:val="single" w:sz="4" w:space="0" w:color="auto"/>
              <w:left w:val="nil"/>
              <w:bottom w:val="single" w:sz="4" w:space="0" w:color="auto"/>
              <w:right w:val="single" w:sz="4" w:space="0" w:color="auto"/>
            </w:tcBorders>
          </w:tcPr>
          <w:p w14:paraId="6F513C52" w14:textId="0C6AACBE" w:rsidR="00603897" w:rsidRPr="00342080" w:rsidRDefault="00603897" w:rsidP="00603897">
            <w:pPr>
              <w:shd w:val="clear" w:color="auto" w:fill="FFFFFF"/>
              <w:contextualSpacing/>
              <w:mirrorIndents/>
              <w:rPr>
                <w:rFonts w:asciiTheme="majorHAnsi" w:eastAsia="Times New Roman" w:hAnsiTheme="majorHAnsi" w:cs="Times New Roman"/>
              </w:rPr>
            </w:pPr>
            <w:r w:rsidRPr="00342080">
              <w:rPr>
                <w:rFonts w:asciiTheme="majorHAnsi" w:hAnsiTheme="majorHAnsi" w:cs="Times New Roman"/>
                <w:i/>
              </w:rPr>
              <w:lastRenderedPageBreak/>
              <w:t>įrašo tiekėjas</w:t>
            </w:r>
          </w:p>
        </w:tc>
      </w:tr>
      <w:tr w:rsidR="00603897" w:rsidRPr="00342080" w14:paraId="2AABD2D2"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0316557B" w14:textId="0D5149FF" w:rsidR="00603897" w:rsidRPr="00342080" w:rsidRDefault="00603897" w:rsidP="00603897">
            <w:pPr>
              <w:contextualSpacing/>
              <w:mirrorIndents/>
              <w:rPr>
                <w:rFonts w:asciiTheme="majorHAnsi" w:hAnsiTheme="majorHAnsi" w:cs="Times New Roman"/>
              </w:rPr>
            </w:pPr>
            <w:r w:rsidRPr="00342080">
              <w:rPr>
                <w:rFonts w:asciiTheme="majorHAnsi" w:hAnsiTheme="majorHAnsi" w:cs="Times New Roman"/>
              </w:rPr>
              <w:t>2.2</w:t>
            </w:r>
          </w:p>
        </w:tc>
        <w:tc>
          <w:tcPr>
            <w:tcW w:w="3376" w:type="dxa"/>
            <w:tcBorders>
              <w:top w:val="single" w:sz="4" w:space="0" w:color="auto"/>
              <w:left w:val="nil"/>
              <w:bottom w:val="single" w:sz="4" w:space="0" w:color="auto"/>
              <w:right w:val="single" w:sz="4" w:space="0" w:color="auto"/>
            </w:tcBorders>
            <w:shd w:val="clear" w:color="auto" w:fill="auto"/>
          </w:tcPr>
          <w:p w14:paraId="0ADA0197" w14:textId="25BCEA33" w:rsidR="00603897" w:rsidRPr="00342080" w:rsidRDefault="00603897" w:rsidP="00603897">
            <w:pPr>
              <w:shd w:val="clear" w:color="auto" w:fill="FFFFFF"/>
              <w:contextualSpacing/>
              <w:mirrorIndents/>
              <w:rPr>
                <w:rFonts w:asciiTheme="majorHAnsi" w:hAnsiTheme="majorHAnsi" w:cs="Times New Roman"/>
              </w:rPr>
            </w:pPr>
            <w:r w:rsidRPr="00342080">
              <w:rPr>
                <w:rFonts w:asciiTheme="majorHAnsi" w:hAnsiTheme="majorHAnsi" w:cs="Times New Roman"/>
              </w:rPr>
              <w:t>Antikūnai prieš eritrocitų antigenus naudojant I-II-III donorų eritrocitus</w:t>
            </w:r>
            <w:r w:rsidR="00AF114B" w:rsidRPr="00342080">
              <w:rPr>
                <w:rFonts w:asciiTheme="majorHAnsi" w:hAnsiTheme="majorHAnsi" w:cs="Times New Roman"/>
              </w:rPr>
              <w:t>,</w:t>
            </w:r>
            <w:r w:rsidRPr="00342080">
              <w:rPr>
                <w:rFonts w:asciiTheme="majorHAnsi" w:hAnsiTheme="majorHAnsi" w:cs="Times New Roman"/>
              </w:rPr>
              <w:t xml:space="preserve"> </w:t>
            </w:r>
            <w:r w:rsidR="00AF114B" w:rsidRPr="00342080">
              <w:rPr>
                <w:rFonts w:asciiTheme="majorHAnsi" w:hAnsiTheme="majorHAnsi" w:cs="Times New Roman"/>
              </w:rPr>
              <w:t>paveiktus anti-CD38 antikūnus neutralizuojančiais reagentais</w:t>
            </w:r>
          </w:p>
        </w:tc>
        <w:tc>
          <w:tcPr>
            <w:tcW w:w="1549" w:type="dxa"/>
            <w:tcBorders>
              <w:top w:val="single" w:sz="4" w:space="0" w:color="auto"/>
              <w:left w:val="nil"/>
              <w:bottom w:val="single" w:sz="4" w:space="0" w:color="auto"/>
              <w:right w:val="single" w:sz="4" w:space="0" w:color="auto"/>
            </w:tcBorders>
            <w:shd w:val="clear" w:color="auto" w:fill="auto"/>
          </w:tcPr>
          <w:p w14:paraId="687BB048" w14:textId="670F4FFF" w:rsidR="00603897" w:rsidRPr="00342080" w:rsidRDefault="00A1628B" w:rsidP="00603897">
            <w:pPr>
              <w:shd w:val="clear" w:color="auto" w:fill="FFFFFF"/>
              <w:contextualSpacing/>
              <w:mirrorIndents/>
              <w:rPr>
                <w:rFonts w:asciiTheme="majorHAnsi" w:hAnsiTheme="majorHAnsi" w:cs="Times New Roman"/>
                <w:highlight w:val="yellow"/>
              </w:rPr>
            </w:pPr>
            <w:r w:rsidRPr="00342080">
              <w:rPr>
                <w:rFonts w:asciiTheme="majorHAnsi" w:hAnsiTheme="majorHAnsi" w:cs="Times New Roman"/>
              </w:rPr>
              <w:t>150</w:t>
            </w:r>
          </w:p>
        </w:tc>
        <w:tc>
          <w:tcPr>
            <w:tcW w:w="4961" w:type="dxa"/>
            <w:tcBorders>
              <w:top w:val="single" w:sz="4" w:space="0" w:color="auto"/>
              <w:left w:val="nil"/>
              <w:bottom w:val="single" w:sz="4" w:space="0" w:color="auto"/>
              <w:right w:val="single" w:sz="4" w:space="0" w:color="auto"/>
            </w:tcBorders>
            <w:shd w:val="clear" w:color="auto" w:fill="auto"/>
          </w:tcPr>
          <w:p w14:paraId="633081AA" w14:textId="5FD41012" w:rsidR="00A51B3F" w:rsidRPr="00342080" w:rsidRDefault="004B6901" w:rsidP="007D3616">
            <w:pPr>
              <w:rPr>
                <w:rFonts w:asciiTheme="majorHAnsi" w:hAnsiTheme="majorHAnsi" w:cs="Times New Roman"/>
              </w:rPr>
            </w:pPr>
            <w:r w:rsidRPr="00342080">
              <w:rPr>
                <w:rFonts w:asciiTheme="majorHAnsi" w:hAnsiTheme="majorHAnsi" w:cs="Times New Roman"/>
              </w:rPr>
              <w:t>Reagentas</w:t>
            </w:r>
            <w:r w:rsidR="00A51B3F" w:rsidRPr="00342080">
              <w:rPr>
                <w:rFonts w:asciiTheme="majorHAnsi" w:hAnsiTheme="majorHAnsi" w:cs="Times New Roman"/>
              </w:rPr>
              <w:t xml:space="preserve"> mažinantis </w:t>
            </w:r>
            <w:proofErr w:type="spellStart"/>
            <w:r w:rsidR="00A51B3F" w:rsidRPr="00342080">
              <w:rPr>
                <w:rFonts w:asciiTheme="majorHAnsi" w:hAnsiTheme="majorHAnsi" w:cs="Times New Roman"/>
              </w:rPr>
              <w:t>agliutinuojantį</w:t>
            </w:r>
            <w:proofErr w:type="spellEnd"/>
            <w:r w:rsidR="00A51B3F" w:rsidRPr="00342080">
              <w:rPr>
                <w:rFonts w:asciiTheme="majorHAnsi" w:hAnsiTheme="majorHAnsi" w:cs="Times New Roman"/>
              </w:rPr>
              <w:t xml:space="preserve"> pacientų gydymui naudojamų </w:t>
            </w:r>
            <w:proofErr w:type="spellStart"/>
            <w:r w:rsidR="00A51B3F" w:rsidRPr="00342080">
              <w:rPr>
                <w:rFonts w:asciiTheme="majorHAnsi" w:hAnsiTheme="majorHAnsi" w:cs="Times New Roman"/>
              </w:rPr>
              <w:t>monokloninių</w:t>
            </w:r>
            <w:proofErr w:type="spellEnd"/>
            <w:r w:rsidR="00A51B3F" w:rsidRPr="00342080">
              <w:rPr>
                <w:rFonts w:asciiTheme="majorHAnsi" w:hAnsiTheme="majorHAnsi" w:cs="Times New Roman"/>
              </w:rPr>
              <w:t xml:space="preserve"> antikūnų prieš CD38 poveikį. </w:t>
            </w:r>
            <w:r w:rsidR="00ED186B" w:rsidRPr="00342080">
              <w:rPr>
                <w:rFonts w:asciiTheme="majorHAnsi" w:hAnsiTheme="majorHAnsi" w:cs="Times New Roman"/>
              </w:rPr>
              <w:t>Reagentas p</w:t>
            </w:r>
            <w:r w:rsidR="00A51B3F" w:rsidRPr="00342080">
              <w:rPr>
                <w:rFonts w:asciiTheme="majorHAnsi" w:hAnsiTheme="majorHAnsi" w:cs="Times New Roman"/>
              </w:rPr>
              <w:t xml:space="preserve">aruoštas naudoti, </w:t>
            </w:r>
            <w:proofErr w:type="spellStart"/>
            <w:r w:rsidR="00A51B3F" w:rsidRPr="00342080">
              <w:rPr>
                <w:rFonts w:asciiTheme="majorHAnsi" w:hAnsiTheme="majorHAnsi" w:cs="Times New Roman"/>
              </w:rPr>
              <w:t>neinterferuoja</w:t>
            </w:r>
            <w:proofErr w:type="spellEnd"/>
            <w:r w:rsidR="00A51B3F" w:rsidRPr="00342080">
              <w:rPr>
                <w:rFonts w:asciiTheme="majorHAnsi" w:hAnsiTheme="majorHAnsi" w:cs="Times New Roman"/>
              </w:rPr>
              <w:t xml:space="preserve"> su </w:t>
            </w:r>
            <w:proofErr w:type="spellStart"/>
            <w:r w:rsidR="00A51B3F" w:rsidRPr="00342080">
              <w:rPr>
                <w:rFonts w:asciiTheme="majorHAnsi" w:hAnsiTheme="majorHAnsi" w:cs="Times New Roman"/>
              </w:rPr>
              <w:t>Duffy</w:t>
            </w:r>
            <w:proofErr w:type="spellEnd"/>
            <w:r w:rsidR="00A51B3F" w:rsidRPr="00342080">
              <w:rPr>
                <w:rFonts w:asciiTheme="majorHAnsi" w:hAnsiTheme="majorHAnsi" w:cs="Times New Roman"/>
              </w:rPr>
              <w:t xml:space="preserve"> sistema. </w:t>
            </w:r>
            <w:r w:rsidR="00425801" w:rsidRPr="00342080">
              <w:rPr>
                <w:rFonts w:asciiTheme="majorHAnsi" w:hAnsiTheme="majorHAnsi" w:cs="Times New Roman"/>
              </w:rPr>
              <w:t>Donorų</w:t>
            </w:r>
            <w:r w:rsidR="00453272" w:rsidRPr="00342080">
              <w:rPr>
                <w:rFonts w:asciiTheme="majorHAnsi" w:hAnsiTheme="majorHAnsi" w:cs="Times New Roman"/>
              </w:rPr>
              <w:t xml:space="preserve"> e</w:t>
            </w:r>
            <w:r w:rsidR="00F9622F" w:rsidRPr="00342080">
              <w:rPr>
                <w:rFonts w:asciiTheme="majorHAnsi" w:hAnsiTheme="majorHAnsi" w:cs="Times New Roman"/>
              </w:rPr>
              <w:t xml:space="preserve">ritrocitų </w:t>
            </w:r>
            <w:r w:rsidR="00A51B3F" w:rsidRPr="00342080">
              <w:rPr>
                <w:rFonts w:asciiTheme="majorHAnsi" w:hAnsiTheme="majorHAnsi" w:cs="Times New Roman"/>
              </w:rPr>
              <w:t xml:space="preserve">paruošimo trukmė ne daugiau negu </w:t>
            </w:r>
            <w:r w:rsidR="00F9622F" w:rsidRPr="00342080">
              <w:rPr>
                <w:rFonts w:asciiTheme="majorHAnsi" w:hAnsiTheme="majorHAnsi" w:cs="Times New Roman"/>
              </w:rPr>
              <w:t>2</w:t>
            </w:r>
            <w:r w:rsidR="00A51B3F" w:rsidRPr="00342080">
              <w:rPr>
                <w:rFonts w:asciiTheme="majorHAnsi" w:hAnsiTheme="majorHAnsi" w:cs="Times New Roman"/>
              </w:rPr>
              <w:t>0 min.</w:t>
            </w:r>
            <w:r w:rsidR="00A064F7" w:rsidRPr="00342080">
              <w:rPr>
                <w:rFonts w:asciiTheme="majorHAnsi" w:hAnsiTheme="majorHAnsi" w:cs="Times New Roman"/>
              </w:rPr>
              <w:t xml:space="preserve"> </w:t>
            </w:r>
            <w:r w:rsidR="005E3E31" w:rsidRPr="00342080">
              <w:rPr>
                <w:rFonts w:asciiTheme="majorHAnsi" w:hAnsiTheme="majorHAnsi" w:cs="Times New Roman"/>
              </w:rPr>
              <w:t xml:space="preserve">Jei gamintojas nurodo </w:t>
            </w:r>
            <w:r w:rsidR="00CC2BEB" w:rsidRPr="00342080">
              <w:rPr>
                <w:rFonts w:asciiTheme="majorHAnsi" w:hAnsiTheme="majorHAnsi" w:cs="Times New Roman"/>
              </w:rPr>
              <w:t xml:space="preserve">pateikti </w:t>
            </w:r>
            <w:r w:rsidR="005E3E31" w:rsidRPr="00342080">
              <w:rPr>
                <w:rFonts w:asciiTheme="majorHAnsi" w:hAnsiTheme="majorHAnsi" w:cs="Times New Roman"/>
              </w:rPr>
              <w:t xml:space="preserve">reagentus kontrolei atlikti. </w:t>
            </w:r>
            <w:r w:rsidR="00A064F7" w:rsidRPr="00342080">
              <w:rPr>
                <w:rFonts w:asciiTheme="majorHAnsi" w:hAnsiTheme="majorHAnsi" w:cs="Times New Roman"/>
              </w:rPr>
              <w:t>Paruošt</w:t>
            </w:r>
            <w:r w:rsidR="00F9622F" w:rsidRPr="00342080">
              <w:rPr>
                <w:rFonts w:asciiTheme="majorHAnsi" w:hAnsiTheme="majorHAnsi" w:cs="Times New Roman"/>
              </w:rPr>
              <w:t>i</w:t>
            </w:r>
            <w:r w:rsidR="00A064F7" w:rsidRPr="00342080">
              <w:rPr>
                <w:rFonts w:asciiTheme="majorHAnsi" w:hAnsiTheme="majorHAnsi" w:cs="Times New Roman"/>
              </w:rPr>
              <w:t xml:space="preserve"> </w:t>
            </w:r>
            <w:r w:rsidR="00F9622F" w:rsidRPr="00342080">
              <w:rPr>
                <w:rFonts w:asciiTheme="majorHAnsi" w:hAnsiTheme="majorHAnsi" w:cs="Times New Roman"/>
              </w:rPr>
              <w:t xml:space="preserve">eritrocitai </w:t>
            </w:r>
            <w:r w:rsidR="00A064F7" w:rsidRPr="00342080">
              <w:rPr>
                <w:rFonts w:asciiTheme="majorHAnsi" w:hAnsiTheme="majorHAnsi" w:cs="Times New Roman"/>
              </w:rPr>
              <w:t>tinkam</w:t>
            </w:r>
            <w:r w:rsidR="00F9622F" w:rsidRPr="00342080">
              <w:rPr>
                <w:rFonts w:asciiTheme="majorHAnsi" w:hAnsiTheme="majorHAnsi" w:cs="Times New Roman"/>
              </w:rPr>
              <w:t>i</w:t>
            </w:r>
            <w:r w:rsidR="00A064F7" w:rsidRPr="00342080">
              <w:rPr>
                <w:rFonts w:asciiTheme="majorHAnsi" w:hAnsiTheme="majorHAnsi" w:cs="Times New Roman"/>
              </w:rPr>
              <w:t xml:space="preserve"> tyrimui su </w:t>
            </w:r>
            <w:r w:rsidR="00F9622F" w:rsidRPr="00342080">
              <w:rPr>
                <w:rFonts w:asciiTheme="majorHAnsi" w:hAnsiTheme="majorHAnsi" w:cs="Times New Roman"/>
              </w:rPr>
              <w:t xml:space="preserve">kitais </w:t>
            </w:r>
            <w:r w:rsidR="00502A6F" w:rsidRPr="00342080">
              <w:rPr>
                <w:rFonts w:asciiTheme="majorHAnsi" w:hAnsiTheme="majorHAnsi" w:cs="Times New Roman"/>
              </w:rPr>
              <w:t>tyrimui naudojamais reagentais</w:t>
            </w:r>
            <w:r w:rsidR="008103A2" w:rsidRPr="00342080">
              <w:rPr>
                <w:rFonts w:asciiTheme="majorHAnsi" w:hAnsiTheme="majorHAnsi" w:cs="Times New Roman"/>
              </w:rPr>
              <w:t>.</w:t>
            </w:r>
          </w:p>
          <w:p w14:paraId="6C26B45A" w14:textId="2A3A9D9A" w:rsidR="0015118D" w:rsidRPr="00342080" w:rsidRDefault="0015118D" w:rsidP="007D3616">
            <w:pPr>
              <w:shd w:val="clear" w:color="auto" w:fill="FFFFFF"/>
              <w:contextualSpacing/>
              <w:mirrorIndents/>
              <w:rPr>
                <w:rFonts w:asciiTheme="majorHAnsi" w:hAnsiTheme="majorHAnsi" w:cs="Times New Roman"/>
                <w:highlight w:val="green"/>
              </w:rPr>
            </w:pPr>
            <w:r w:rsidRPr="00342080">
              <w:rPr>
                <w:rFonts w:asciiTheme="majorHAnsi" w:hAnsiTheme="majorHAnsi" w:cs="Times New Roman"/>
              </w:rPr>
              <w:t xml:space="preserve">Antikūnų nustatymas atliekamas, naudojant trijų donorų standartinius eritrocitus </w:t>
            </w:r>
            <w:r w:rsidR="007D3616" w:rsidRPr="00342080">
              <w:rPr>
                <w:rFonts w:asciiTheme="majorHAnsi" w:hAnsiTheme="majorHAnsi" w:cs="Times New Roman"/>
              </w:rPr>
              <w:t>paveiktus anti-CD38 antikūnus neutralizuojančiais reagentais</w:t>
            </w:r>
            <w:r w:rsidR="00043EF2" w:rsidRPr="00342080">
              <w:rPr>
                <w:rFonts w:asciiTheme="majorHAnsi" w:hAnsiTheme="majorHAnsi" w:cs="Times New Roman"/>
              </w:rPr>
              <w:t xml:space="preserve"> </w:t>
            </w:r>
            <w:r w:rsidRPr="00342080">
              <w:rPr>
                <w:rFonts w:asciiTheme="majorHAnsi" w:hAnsiTheme="majorHAnsi" w:cs="Times New Roman"/>
              </w:rPr>
              <w:t xml:space="preserve">ir stulpelių korteles su </w:t>
            </w:r>
            <w:proofErr w:type="spellStart"/>
            <w:r w:rsidRPr="00342080">
              <w:rPr>
                <w:rFonts w:asciiTheme="majorHAnsi" w:hAnsiTheme="majorHAnsi" w:cs="Times New Roman"/>
              </w:rPr>
              <w:t>polispecifiniu</w:t>
            </w:r>
            <w:proofErr w:type="spellEnd"/>
            <w:r w:rsidRPr="00342080">
              <w:rPr>
                <w:rFonts w:asciiTheme="majorHAnsi" w:hAnsiTheme="majorHAnsi" w:cs="Times New Roman"/>
              </w:rPr>
              <w:t xml:space="preserve"> žmogaus </w:t>
            </w:r>
            <w:proofErr w:type="spellStart"/>
            <w:r w:rsidRPr="00342080">
              <w:rPr>
                <w:rFonts w:asciiTheme="majorHAnsi" w:hAnsiTheme="majorHAnsi" w:cs="Times New Roman"/>
              </w:rPr>
              <w:t>antiglobulinu</w:t>
            </w:r>
            <w:proofErr w:type="spellEnd"/>
            <w:r w:rsidRPr="00342080">
              <w:rPr>
                <w:rFonts w:asciiTheme="majorHAnsi" w:hAnsiTheme="majorHAnsi" w:cs="Times New Roman"/>
              </w:rPr>
              <w:t xml:space="preserve"> (</w:t>
            </w:r>
            <w:proofErr w:type="spellStart"/>
            <w:r w:rsidRPr="00342080">
              <w:rPr>
                <w:rFonts w:asciiTheme="majorHAnsi" w:hAnsiTheme="majorHAnsi" w:cs="Times New Roman"/>
              </w:rPr>
              <w:t>anti-IgG</w:t>
            </w:r>
            <w:proofErr w:type="spellEnd"/>
            <w:r w:rsidRPr="00342080">
              <w:rPr>
                <w:rFonts w:asciiTheme="majorHAnsi" w:hAnsiTheme="majorHAnsi" w:cs="Times New Roman"/>
              </w:rPr>
              <w:t xml:space="preserve"> ir anti-C3d).</w:t>
            </w:r>
          </w:p>
        </w:tc>
        <w:tc>
          <w:tcPr>
            <w:tcW w:w="3699" w:type="dxa"/>
            <w:tcBorders>
              <w:top w:val="single" w:sz="4" w:space="0" w:color="auto"/>
              <w:left w:val="nil"/>
              <w:bottom w:val="single" w:sz="4" w:space="0" w:color="auto"/>
              <w:right w:val="single" w:sz="4" w:space="0" w:color="auto"/>
            </w:tcBorders>
          </w:tcPr>
          <w:p w14:paraId="23E1DB6E" w14:textId="7371B1DD" w:rsidR="00603897" w:rsidRPr="00342080" w:rsidRDefault="00603897" w:rsidP="00603897">
            <w:pPr>
              <w:shd w:val="clear" w:color="auto" w:fill="FFFFFF"/>
              <w:contextualSpacing/>
              <w:mirrorIndents/>
              <w:rPr>
                <w:rFonts w:asciiTheme="majorHAnsi" w:eastAsia="Times New Roman" w:hAnsiTheme="majorHAnsi" w:cs="Times New Roman"/>
              </w:rPr>
            </w:pPr>
            <w:r w:rsidRPr="00342080">
              <w:rPr>
                <w:rFonts w:asciiTheme="majorHAnsi" w:hAnsiTheme="majorHAnsi" w:cs="Times New Roman"/>
                <w:i/>
              </w:rPr>
              <w:t>įrašo tiekėjas</w:t>
            </w:r>
          </w:p>
        </w:tc>
      </w:tr>
      <w:tr w:rsidR="00603897" w:rsidRPr="00342080" w14:paraId="68C5C055"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1D13CE4E" w14:textId="02906E84" w:rsidR="00603897" w:rsidRPr="00342080" w:rsidRDefault="00603897" w:rsidP="00603897">
            <w:pPr>
              <w:contextualSpacing/>
              <w:mirrorIndents/>
              <w:rPr>
                <w:rFonts w:asciiTheme="majorHAnsi" w:hAnsiTheme="majorHAnsi" w:cs="Times New Roman"/>
              </w:rPr>
            </w:pPr>
            <w:r w:rsidRPr="00342080">
              <w:rPr>
                <w:rFonts w:asciiTheme="majorHAnsi" w:hAnsiTheme="majorHAnsi" w:cs="Times New Roman"/>
              </w:rPr>
              <w:t>2.3</w:t>
            </w:r>
          </w:p>
        </w:tc>
        <w:tc>
          <w:tcPr>
            <w:tcW w:w="3376" w:type="dxa"/>
            <w:tcBorders>
              <w:top w:val="single" w:sz="4" w:space="0" w:color="auto"/>
              <w:left w:val="nil"/>
              <w:bottom w:val="single" w:sz="4" w:space="0" w:color="auto"/>
              <w:right w:val="single" w:sz="4" w:space="0" w:color="auto"/>
            </w:tcBorders>
            <w:shd w:val="clear" w:color="auto" w:fill="auto"/>
          </w:tcPr>
          <w:p w14:paraId="0897F902" w14:textId="77777777" w:rsidR="00603897" w:rsidRPr="00342080" w:rsidRDefault="00603897" w:rsidP="00603897">
            <w:pPr>
              <w:shd w:val="clear" w:color="auto" w:fill="FFFFFF"/>
              <w:contextualSpacing/>
              <w:mirrorIndents/>
              <w:rPr>
                <w:rFonts w:asciiTheme="majorHAnsi" w:hAnsiTheme="majorHAnsi" w:cs="Times New Roman"/>
              </w:rPr>
            </w:pPr>
            <w:r w:rsidRPr="00342080">
              <w:rPr>
                <w:rFonts w:asciiTheme="majorHAnsi" w:hAnsiTheme="majorHAnsi" w:cs="Times New Roman"/>
              </w:rPr>
              <w:t>Antikūnų esančių ant eritrocitų išplovimas (eliucija).</w:t>
            </w:r>
          </w:p>
          <w:p w14:paraId="51B9487E" w14:textId="77777777" w:rsidR="00603897" w:rsidRPr="00342080" w:rsidRDefault="00603897" w:rsidP="00603897">
            <w:pPr>
              <w:shd w:val="clear" w:color="auto" w:fill="FFFFFF"/>
              <w:contextualSpacing/>
              <w:mirrorIndents/>
              <w:rPr>
                <w:rFonts w:asciiTheme="majorHAnsi" w:hAnsiTheme="majorHAnsi" w:cs="Times New Roman"/>
              </w:rPr>
            </w:pPr>
            <w:r w:rsidRPr="00342080">
              <w:rPr>
                <w:rFonts w:asciiTheme="majorHAnsi" w:hAnsiTheme="majorHAnsi" w:cs="Times New Roman"/>
              </w:rPr>
              <w:t xml:space="preserve">Antikūnai prieš eritrocitų antigenus </w:t>
            </w:r>
            <w:proofErr w:type="spellStart"/>
            <w:r w:rsidRPr="00342080">
              <w:rPr>
                <w:rFonts w:asciiTheme="majorHAnsi" w:hAnsiTheme="majorHAnsi" w:cs="Times New Roman"/>
              </w:rPr>
              <w:t>eliuate</w:t>
            </w:r>
            <w:proofErr w:type="spellEnd"/>
            <w:r w:rsidRPr="00342080">
              <w:rPr>
                <w:rFonts w:asciiTheme="majorHAnsi" w:hAnsiTheme="majorHAnsi" w:cs="Times New Roman"/>
              </w:rPr>
              <w:t xml:space="preserve"> naudojant I-II-III donorų eritrocitus</w:t>
            </w:r>
          </w:p>
          <w:p w14:paraId="1BDE455A" w14:textId="2F2D55F8" w:rsidR="00595BB8" w:rsidRPr="00342080" w:rsidRDefault="00595BB8" w:rsidP="00603897">
            <w:pPr>
              <w:shd w:val="clear" w:color="auto" w:fill="FFFFFF"/>
              <w:contextualSpacing/>
              <w:mirrorIndents/>
              <w:rPr>
                <w:rFonts w:asciiTheme="majorHAnsi" w:hAnsiTheme="majorHAnsi" w:cs="Times New Roman"/>
              </w:rPr>
            </w:pPr>
            <w:r w:rsidRPr="00342080">
              <w:rPr>
                <w:rFonts w:asciiTheme="majorHAnsi" w:hAnsiTheme="majorHAnsi" w:cs="Times New Roman"/>
              </w:rPr>
              <w:t>Antikūnų prieš eritrocitų antigenus identifikavimas plazmoje</w:t>
            </w:r>
          </w:p>
        </w:tc>
        <w:tc>
          <w:tcPr>
            <w:tcW w:w="1549" w:type="dxa"/>
            <w:tcBorders>
              <w:top w:val="single" w:sz="4" w:space="0" w:color="auto"/>
              <w:left w:val="nil"/>
              <w:bottom w:val="single" w:sz="4" w:space="0" w:color="auto"/>
              <w:right w:val="single" w:sz="4" w:space="0" w:color="auto"/>
            </w:tcBorders>
            <w:shd w:val="clear" w:color="auto" w:fill="auto"/>
          </w:tcPr>
          <w:p w14:paraId="69A7E41F" w14:textId="77777777" w:rsidR="00603897" w:rsidRPr="00342080" w:rsidRDefault="00603897" w:rsidP="00603897">
            <w:pPr>
              <w:contextualSpacing/>
              <w:mirrorIndents/>
              <w:rPr>
                <w:rFonts w:asciiTheme="majorHAnsi" w:hAnsiTheme="majorHAnsi" w:cs="Times New Roman"/>
              </w:rPr>
            </w:pPr>
            <w:r w:rsidRPr="00342080">
              <w:rPr>
                <w:rFonts w:asciiTheme="majorHAnsi" w:hAnsiTheme="majorHAnsi" w:cs="Times New Roman"/>
              </w:rPr>
              <w:t>60</w:t>
            </w:r>
          </w:p>
          <w:p w14:paraId="39175E52" w14:textId="77777777" w:rsidR="00603897" w:rsidRPr="00342080" w:rsidRDefault="00603897" w:rsidP="00603897">
            <w:pPr>
              <w:shd w:val="clear" w:color="auto" w:fill="FFFFFF"/>
              <w:contextualSpacing/>
              <w:mirrorIndents/>
              <w:rPr>
                <w:rFonts w:asciiTheme="majorHAnsi" w:hAnsiTheme="majorHAnsi" w:cs="Times New Roman"/>
                <w:highlight w:val="yellow"/>
              </w:rPr>
            </w:pPr>
          </w:p>
        </w:tc>
        <w:tc>
          <w:tcPr>
            <w:tcW w:w="4961" w:type="dxa"/>
            <w:tcBorders>
              <w:top w:val="single" w:sz="4" w:space="0" w:color="auto"/>
              <w:left w:val="nil"/>
              <w:bottom w:val="single" w:sz="4" w:space="0" w:color="auto"/>
              <w:right w:val="single" w:sz="4" w:space="0" w:color="auto"/>
            </w:tcBorders>
            <w:shd w:val="clear" w:color="auto" w:fill="auto"/>
            <w:vAlign w:val="center"/>
          </w:tcPr>
          <w:p w14:paraId="4DC6D84E" w14:textId="77777777" w:rsidR="00603897" w:rsidRPr="00342080" w:rsidRDefault="00603897" w:rsidP="00603897">
            <w:pPr>
              <w:shd w:val="clear" w:color="auto" w:fill="FFFFFF"/>
              <w:contextualSpacing/>
              <w:mirrorIndents/>
              <w:rPr>
                <w:rFonts w:asciiTheme="majorHAnsi" w:hAnsiTheme="majorHAnsi" w:cs="Times New Roman"/>
              </w:rPr>
            </w:pPr>
            <w:r w:rsidRPr="00342080">
              <w:rPr>
                <w:rFonts w:asciiTheme="majorHAnsi" w:hAnsiTheme="majorHAnsi" w:cs="Times New Roman"/>
              </w:rPr>
              <w:t xml:space="preserve">Antikūnų esančių ant eritrocitų išplovimui naudojamas rūgštinis metodas. </w:t>
            </w:r>
          </w:p>
          <w:p w14:paraId="0C9B5436" w14:textId="3FE4AA2D" w:rsidR="00F0434C" w:rsidRPr="00342080" w:rsidRDefault="00603897" w:rsidP="00603897">
            <w:pPr>
              <w:shd w:val="clear" w:color="auto" w:fill="FFFFFF"/>
              <w:contextualSpacing/>
              <w:mirrorIndents/>
              <w:rPr>
                <w:rFonts w:asciiTheme="majorHAnsi" w:hAnsiTheme="majorHAnsi" w:cs="Times New Roman"/>
              </w:rPr>
            </w:pPr>
            <w:r w:rsidRPr="00342080">
              <w:rPr>
                <w:rFonts w:asciiTheme="majorHAnsi" w:hAnsiTheme="majorHAnsi" w:cs="Times New Roman"/>
              </w:rPr>
              <w:t xml:space="preserve">Išplautų </w:t>
            </w:r>
            <w:r w:rsidR="00F0434C" w:rsidRPr="00342080">
              <w:rPr>
                <w:rFonts w:asciiTheme="majorHAnsi" w:hAnsiTheme="majorHAnsi" w:cs="Times New Roman"/>
              </w:rPr>
              <w:t>antikūnų</w:t>
            </w:r>
            <w:r w:rsidRPr="00342080">
              <w:rPr>
                <w:rFonts w:asciiTheme="majorHAnsi" w:hAnsiTheme="majorHAnsi" w:cs="Times New Roman"/>
              </w:rPr>
              <w:t xml:space="preserve"> nustatym</w:t>
            </w:r>
            <w:r w:rsidR="00F0434C" w:rsidRPr="00342080">
              <w:rPr>
                <w:rFonts w:asciiTheme="majorHAnsi" w:hAnsiTheme="majorHAnsi" w:cs="Times New Roman"/>
              </w:rPr>
              <w:t xml:space="preserve">as atliekamas, naudojant trijų donorų standartinius eritrocitus ir stulpelių korteles su </w:t>
            </w:r>
            <w:proofErr w:type="spellStart"/>
            <w:r w:rsidR="00F0434C" w:rsidRPr="00342080">
              <w:rPr>
                <w:rFonts w:asciiTheme="majorHAnsi" w:hAnsiTheme="majorHAnsi" w:cs="Times New Roman"/>
              </w:rPr>
              <w:t>polispecifiniu</w:t>
            </w:r>
            <w:proofErr w:type="spellEnd"/>
            <w:r w:rsidR="00F0434C" w:rsidRPr="00342080">
              <w:rPr>
                <w:rFonts w:asciiTheme="majorHAnsi" w:hAnsiTheme="majorHAnsi" w:cs="Times New Roman"/>
              </w:rPr>
              <w:t xml:space="preserve"> žmogaus </w:t>
            </w:r>
            <w:proofErr w:type="spellStart"/>
            <w:r w:rsidR="00F0434C" w:rsidRPr="00342080">
              <w:rPr>
                <w:rFonts w:asciiTheme="majorHAnsi" w:hAnsiTheme="majorHAnsi" w:cs="Times New Roman"/>
              </w:rPr>
              <w:t>antiglobulinu</w:t>
            </w:r>
            <w:proofErr w:type="spellEnd"/>
            <w:r w:rsidR="00F0434C" w:rsidRPr="00342080">
              <w:rPr>
                <w:rFonts w:asciiTheme="majorHAnsi" w:hAnsiTheme="majorHAnsi" w:cs="Times New Roman"/>
              </w:rPr>
              <w:t xml:space="preserve"> (</w:t>
            </w:r>
            <w:proofErr w:type="spellStart"/>
            <w:r w:rsidR="00F0434C" w:rsidRPr="00342080">
              <w:rPr>
                <w:rFonts w:asciiTheme="majorHAnsi" w:hAnsiTheme="majorHAnsi" w:cs="Times New Roman"/>
              </w:rPr>
              <w:t>anti-IgG</w:t>
            </w:r>
            <w:proofErr w:type="spellEnd"/>
            <w:r w:rsidR="00F0434C" w:rsidRPr="00342080">
              <w:rPr>
                <w:rFonts w:asciiTheme="majorHAnsi" w:hAnsiTheme="majorHAnsi" w:cs="Times New Roman"/>
              </w:rPr>
              <w:t xml:space="preserve"> ir anti-C3d).</w:t>
            </w:r>
          </w:p>
          <w:p w14:paraId="0515D1F8" w14:textId="706704FB" w:rsidR="00D7386D" w:rsidRPr="00342080" w:rsidRDefault="00D7386D" w:rsidP="00603897">
            <w:pPr>
              <w:shd w:val="clear" w:color="auto" w:fill="FFFFFF"/>
              <w:contextualSpacing/>
              <w:mirrorIndents/>
              <w:rPr>
                <w:rFonts w:asciiTheme="majorHAnsi" w:hAnsiTheme="majorHAnsi" w:cs="Times New Roman"/>
              </w:rPr>
            </w:pPr>
            <w:r w:rsidRPr="00342080">
              <w:rPr>
                <w:rFonts w:asciiTheme="majorHAnsi" w:hAnsiTheme="majorHAnsi" w:cs="Times New Roman"/>
              </w:rPr>
              <w:t>Išplautų antikūnų identifikavim</w:t>
            </w:r>
            <w:r w:rsidR="00EA2CD7" w:rsidRPr="00342080">
              <w:rPr>
                <w:rFonts w:asciiTheme="majorHAnsi" w:hAnsiTheme="majorHAnsi" w:cs="Times New Roman"/>
              </w:rPr>
              <w:t>as</w:t>
            </w:r>
            <w:r w:rsidRPr="00342080">
              <w:rPr>
                <w:rFonts w:asciiTheme="majorHAnsi" w:hAnsiTheme="majorHAnsi" w:cs="Times New Roman"/>
              </w:rPr>
              <w:t xml:space="preserve"> </w:t>
            </w:r>
            <w:r w:rsidR="00615876" w:rsidRPr="00342080">
              <w:rPr>
                <w:rFonts w:asciiTheme="majorHAnsi" w:hAnsiTheme="majorHAnsi" w:cs="Times New Roman"/>
              </w:rPr>
              <w:t xml:space="preserve">atliekamas, naudojant vienuolikos donorų standartinius eritrocitus ir stulpelių korteles su </w:t>
            </w:r>
            <w:proofErr w:type="spellStart"/>
            <w:r w:rsidR="00615876" w:rsidRPr="00342080">
              <w:rPr>
                <w:rFonts w:asciiTheme="majorHAnsi" w:hAnsiTheme="majorHAnsi" w:cs="Times New Roman"/>
              </w:rPr>
              <w:t>polispecifiniu</w:t>
            </w:r>
            <w:proofErr w:type="spellEnd"/>
            <w:r w:rsidR="00615876" w:rsidRPr="00342080">
              <w:rPr>
                <w:rFonts w:asciiTheme="majorHAnsi" w:hAnsiTheme="majorHAnsi" w:cs="Times New Roman"/>
              </w:rPr>
              <w:t xml:space="preserve"> žmogaus </w:t>
            </w:r>
            <w:proofErr w:type="spellStart"/>
            <w:r w:rsidR="00615876" w:rsidRPr="00342080">
              <w:rPr>
                <w:rFonts w:asciiTheme="majorHAnsi" w:hAnsiTheme="majorHAnsi" w:cs="Times New Roman"/>
              </w:rPr>
              <w:t>antiglobulinu</w:t>
            </w:r>
            <w:proofErr w:type="spellEnd"/>
            <w:r w:rsidR="00615876" w:rsidRPr="00342080">
              <w:rPr>
                <w:rFonts w:asciiTheme="majorHAnsi" w:hAnsiTheme="majorHAnsi" w:cs="Times New Roman"/>
              </w:rPr>
              <w:t xml:space="preserve"> (</w:t>
            </w:r>
            <w:proofErr w:type="spellStart"/>
            <w:r w:rsidR="00615876" w:rsidRPr="00342080">
              <w:rPr>
                <w:rFonts w:asciiTheme="majorHAnsi" w:hAnsiTheme="majorHAnsi" w:cs="Times New Roman"/>
              </w:rPr>
              <w:t>anti-IgG</w:t>
            </w:r>
            <w:proofErr w:type="spellEnd"/>
            <w:r w:rsidR="00615876" w:rsidRPr="00342080">
              <w:rPr>
                <w:rFonts w:asciiTheme="majorHAnsi" w:hAnsiTheme="majorHAnsi" w:cs="Times New Roman"/>
              </w:rPr>
              <w:t xml:space="preserve"> ir anti-C3d).</w:t>
            </w:r>
          </w:p>
          <w:p w14:paraId="508A3459" w14:textId="58571BB0" w:rsidR="00603897" w:rsidRPr="00342080" w:rsidRDefault="00603897" w:rsidP="00603897">
            <w:pPr>
              <w:shd w:val="clear" w:color="auto" w:fill="FFFFFF"/>
              <w:contextualSpacing/>
              <w:mirrorIndents/>
              <w:rPr>
                <w:rFonts w:asciiTheme="majorHAnsi" w:hAnsiTheme="majorHAnsi" w:cs="Times New Roman"/>
                <w:highlight w:val="green"/>
              </w:rPr>
            </w:pPr>
          </w:p>
        </w:tc>
        <w:tc>
          <w:tcPr>
            <w:tcW w:w="3699" w:type="dxa"/>
            <w:tcBorders>
              <w:top w:val="single" w:sz="4" w:space="0" w:color="auto"/>
              <w:left w:val="nil"/>
              <w:bottom w:val="single" w:sz="4" w:space="0" w:color="auto"/>
              <w:right w:val="single" w:sz="4" w:space="0" w:color="auto"/>
            </w:tcBorders>
          </w:tcPr>
          <w:p w14:paraId="61071BE3" w14:textId="6BC15801" w:rsidR="00603897" w:rsidRPr="00342080" w:rsidRDefault="00603897" w:rsidP="00603897">
            <w:pPr>
              <w:contextualSpacing/>
              <w:mirrorIndents/>
              <w:rPr>
                <w:rFonts w:asciiTheme="majorHAnsi" w:eastAsia="Times New Roman" w:hAnsiTheme="majorHAnsi" w:cs="Times New Roman"/>
              </w:rPr>
            </w:pPr>
            <w:r w:rsidRPr="00342080">
              <w:rPr>
                <w:rFonts w:asciiTheme="majorHAnsi" w:hAnsiTheme="majorHAnsi" w:cs="Times New Roman"/>
                <w:i/>
              </w:rPr>
              <w:t>įrašo tiekėjas</w:t>
            </w:r>
          </w:p>
        </w:tc>
      </w:tr>
      <w:tr w:rsidR="00286973" w:rsidRPr="00342080" w14:paraId="62D30FD5" w14:textId="77777777" w:rsidTr="00194FC8">
        <w:trPr>
          <w:trHeight w:val="389"/>
        </w:trPr>
        <w:tc>
          <w:tcPr>
            <w:tcW w:w="882" w:type="dxa"/>
            <w:tcBorders>
              <w:top w:val="single" w:sz="4" w:space="0" w:color="auto"/>
              <w:left w:val="single" w:sz="4" w:space="0" w:color="auto"/>
              <w:bottom w:val="single" w:sz="4" w:space="0" w:color="auto"/>
              <w:right w:val="single" w:sz="4" w:space="0" w:color="auto"/>
            </w:tcBorders>
            <w:shd w:val="clear" w:color="auto" w:fill="auto"/>
          </w:tcPr>
          <w:p w14:paraId="578FCB32" w14:textId="79EC7E3D" w:rsidR="00286973" w:rsidRPr="00342080" w:rsidRDefault="00286973" w:rsidP="00655158">
            <w:pPr>
              <w:contextualSpacing/>
              <w:mirrorIndents/>
              <w:rPr>
                <w:rFonts w:asciiTheme="majorHAnsi" w:hAnsiTheme="majorHAnsi" w:cs="Times New Roman"/>
              </w:rPr>
            </w:pPr>
            <w:r w:rsidRPr="00342080">
              <w:rPr>
                <w:rFonts w:asciiTheme="majorHAnsi" w:hAnsiTheme="majorHAnsi" w:cs="Times New Roman"/>
              </w:rPr>
              <w:t>2.4</w:t>
            </w:r>
          </w:p>
        </w:tc>
        <w:tc>
          <w:tcPr>
            <w:tcW w:w="3376" w:type="dxa"/>
            <w:tcBorders>
              <w:top w:val="single" w:sz="4" w:space="0" w:color="auto"/>
              <w:left w:val="nil"/>
              <w:bottom w:val="single" w:sz="4" w:space="0" w:color="auto"/>
              <w:right w:val="single" w:sz="4" w:space="0" w:color="auto"/>
            </w:tcBorders>
            <w:shd w:val="clear" w:color="auto" w:fill="auto"/>
          </w:tcPr>
          <w:p w14:paraId="427317AD" w14:textId="4BB06041" w:rsidR="00286973" w:rsidRPr="00342080" w:rsidRDefault="009E6FBE" w:rsidP="00655158">
            <w:pPr>
              <w:shd w:val="clear" w:color="auto" w:fill="FFFFFF"/>
              <w:contextualSpacing/>
              <w:mirrorIndents/>
              <w:rPr>
                <w:rFonts w:asciiTheme="majorHAnsi" w:hAnsiTheme="majorHAnsi" w:cs="Times New Roman"/>
              </w:rPr>
            </w:pPr>
            <w:r w:rsidRPr="00342080">
              <w:rPr>
                <w:rFonts w:asciiTheme="majorHAnsi" w:hAnsiTheme="majorHAnsi" w:cs="Times New Roman"/>
              </w:rPr>
              <w:t>Donoro ir recipiento kraujo suderinamumas</w:t>
            </w:r>
            <w:r w:rsidR="00286973" w:rsidRPr="00342080">
              <w:rPr>
                <w:rFonts w:asciiTheme="majorHAnsi" w:hAnsiTheme="majorHAnsi" w:cs="Times New Roman"/>
              </w:rPr>
              <w:t xml:space="preserve">, </w:t>
            </w:r>
            <w:r w:rsidR="00796B8F" w:rsidRPr="00342080">
              <w:rPr>
                <w:rFonts w:asciiTheme="majorHAnsi" w:hAnsiTheme="majorHAnsi"/>
              </w:rPr>
              <w:t xml:space="preserve"> </w:t>
            </w:r>
            <w:r w:rsidR="00796B8F" w:rsidRPr="00342080">
              <w:rPr>
                <w:rFonts w:asciiTheme="majorHAnsi" w:hAnsiTheme="majorHAnsi" w:cs="Times New Roman"/>
              </w:rPr>
              <w:t>kai donoro eritrocitai paveikti anti-CD38 antikūnus neutralizuojančiu reagentu</w:t>
            </w:r>
          </w:p>
        </w:tc>
        <w:tc>
          <w:tcPr>
            <w:tcW w:w="1549" w:type="dxa"/>
            <w:tcBorders>
              <w:top w:val="single" w:sz="4" w:space="0" w:color="auto"/>
              <w:left w:val="nil"/>
              <w:bottom w:val="single" w:sz="4" w:space="0" w:color="auto"/>
              <w:right w:val="single" w:sz="4" w:space="0" w:color="auto"/>
            </w:tcBorders>
            <w:shd w:val="clear" w:color="auto" w:fill="auto"/>
          </w:tcPr>
          <w:p w14:paraId="546031DF" w14:textId="0C1F1901" w:rsidR="00286973" w:rsidRPr="00342080" w:rsidRDefault="00A1628B" w:rsidP="00655158">
            <w:pPr>
              <w:shd w:val="clear" w:color="auto" w:fill="FFFFFF"/>
              <w:contextualSpacing/>
              <w:mirrorIndents/>
              <w:rPr>
                <w:rFonts w:asciiTheme="majorHAnsi" w:hAnsiTheme="majorHAnsi" w:cs="Times New Roman"/>
                <w:highlight w:val="yellow"/>
              </w:rPr>
            </w:pPr>
            <w:r w:rsidRPr="00342080">
              <w:rPr>
                <w:rFonts w:asciiTheme="majorHAnsi" w:hAnsiTheme="majorHAnsi" w:cs="Times New Roman"/>
              </w:rPr>
              <w:t>150</w:t>
            </w:r>
          </w:p>
        </w:tc>
        <w:tc>
          <w:tcPr>
            <w:tcW w:w="4961" w:type="dxa"/>
            <w:tcBorders>
              <w:top w:val="single" w:sz="4" w:space="0" w:color="auto"/>
              <w:left w:val="nil"/>
              <w:bottom w:val="single" w:sz="4" w:space="0" w:color="auto"/>
              <w:right w:val="single" w:sz="4" w:space="0" w:color="auto"/>
            </w:tcBorders>
            <w:shd w:val="clear" w:color="auto" w:fill="auto"/>
          </w:tcPr>
          <w:p w14:paraId="66791052" w14:textId="720806E7" w:rsidR="00EB19AA" w:rsidRPr="00342080" w:rsidRDefault="00EB19AA" w:rsidP="00EB19AA">
            <w:pPr>
              <w:rPr>
                <w:rFonts w:asciiTheme="majorHAnsi" w:hAnsiTheme="majorHAnsi" w:cs="Times New Roman"/>
              </w:rPr>
            </w:pPr>
            <w:r w:rsidRPr="00342080">
              <w:rPr>
                <w:rFonts w:asciiTheme="majorHAnsi" w:hAnsiTheme="majorHAnsi" w:cs="Times New Roman"/>
              </w:rPr>
              <w:t xml:space="preserve">Reagentas mažinantis </w:t>
            </w:r>
            <w:proofErr w:type="spellStart"/>
            <w:r w:rsidRPr="00342080">
              <w:rPr>
                <w:rFonts w:asciiTheme="majorHAnsi" w:hAnsiTheme="majorHAnsi" w:cs="Times New Roman"/>
              </w:rPr>
              <w:t>agliutinuojantį</w:t>
            </w:r>
            <w:proofErr w:type="spellEnd"/>
            <w:r w:rsidRPr="00342080">
              <w:rPr>
                <w:rFonts w:asciiTheme="majorHAnsi" w:hAnsiTheme="majorHAnsi" w:cs="Times New Roman"/>
              </w:rPr>
              <w:t xml:space="preserve"> pacientų gydymui naudojamų </w:t>
            </w:r>
            <w:proofErr w:type="spellStart"/>
            <w:r w:rsidRPr="00342080">
              <w:rPr>
                <w:rFonts w:asciiTheme="majorHAnsi" w:hAnsiTheme="majorHAnsi" w:cs="Times New Roman"/>
              </w:rPr>
              <w:t>monokloninių</w:t>
            </w:r>
            <w:proofErr w:type="spellEnd"/>
            <w:r w:rsidRPr="00342080">
              <w:rPr>
                <w:rFonts w:asciiTheme="majorHAnsi" w:hAnsiTheme="majorHAnsi" w:cs="Times New Roman"/>
              </w:rPr>
              <w:t xml:space="preserve"> antikūnų prieš CD38 poveikį. Reagentas paruoštas naudoti, </w:t>
            </w:r>
            <w:proofErr w:type="spellStart"/>
            <w:r w:rsidRPr="00342080">
              <w:rPr>
                <w:rFonts w:asciiTheme="majorHAnsi" w:hAnsiTheme="majorHAnsi" w:cs="Times New Roman"/>
              </w:rPr>
              <w:t>neinterferuoja</w:t>
            </w:r>
            <w:proofErr w:type="spellEnd"/>
            <w:r w:rsidRPr="00342080">
              <w:rPr>
                <w:rFonts w:asciiTheme="majorHAnsi" w:hAnsiTheme="majorHAnsi" w:cs="Times New Roman"/>
              </w:rPr>
              <w:t xml:space="preserve"> su </w:t>
            </w:r>
            <w:proofErr w:type="spellStart"/>
            <w:r w:rsidRPr="00342080">
              <w:rPr>
                <w:rFonts w:asciiTheme="majorHAnsi" w:hAnsiTheme="majorHAnsi" w:cs="Times New Roman"/>
              </w:rPr>
              <w:t>Duffy</w:t>
            </w:r>
            <w:proofErr w:type="spellEnd"/>
            <w:r w:rsidRPr="00342080">
              <w:rPr>
                <w:rFonts w:asciiTheme="majorHAnsi" w:hAnsiTheme="majorHAnsi" w:cs="Times New Roman"/>
              </w:rPr>
              <w:t xml:space="preserve"> sistema. Donor</w:t>
            </w:r>
            <w:r w:rsidR="004717F9" w:rsidRPr="00342080">
              <w:rPr>
                <w:rFonts w:asciiTheme="majorHAnsi" w:hAnsiTheme="majorHAnsi" w:cs="Times New Roman"/>
              </w:rPr>
              <w:t>o</w:t>
            </w:r>
            <w:r w:rsidRPr="00342080">
              <w:rPr>
                <w:rFonts w:asciiTheme="majorHAnsi" w:hAnsiTheme="majorHAnsi" w:cs="Times New Roman"/>
              </w:rPr>
              <w:t xml:space="preserve"> eritrocitų paruošimo trukmė ne daugiau negu 20 min. </w:t>
            </w:r>
            <w:r w:rsidRPr="00342080">
              <w:rPr>
                <w:rFonts w:asciiTheme="majorHAnsi" w:hAnsiTheme="majorHAnsi"/>
              </w:rPr>
              <w:t xml:space="preserve"> </w:t>
            </w:r>
            <w:r w:rsidR="005E3E31" w:rsidRPr="00342080">
              <w:rPr>
                <w:rFonts w:asciiTheme="majorHAnsi" w:hAnsiTheme="majorHAnsi" w:cs="Times New Roman"/>
              </w:rPr>
              <w:t xml:space="preserve">Jei gamintojas nurodo pateikti reagentus kontrolei atlikti. </w:t>
            </w:r>
            <w:r w:rsidRPr="00342080">
              <w:rPr>
                <w:rFonts w:asciiTheme="majorHAnsi" w:hAnsiTheme="majorHAnsi" w:cs="Times New Roman"/>
              </w:rPr>
              <w:t>Paruošti eritrocitai tinkami tyrimui su kitais tyrimui naudojamais reagentais.</w:t>
            </w:r>
          </w:p>
          <w:p w14:paraId="096612AE" w14:textId="21DA8C87" w:rsidR="00286973" w:rsidRPr="00342080" w:rsidRDefault="00735267" w:rsidP="00DF603C">
            <w:pPr>
              <w:rPr>
                <w:rFonts w:asciiTheme="majorHAnsi" w:hAnsiTheme="majorHAnsi" w:cs="Times New Roman"/>
                <w:highlight w:val="green"/>
              </w:rPr>
            </w:pPr>
            <w:r w:rsidRPr="00342080">
              <w:rPr>
                <w:rFonts w:asciiTheme="majorHAnsi" w:hAnsiTheme="majorHAnsi" w:cs="Times New Roman"/>
              </w:rPr>
              <w:t>Tyrimas</w:t>
            </w:r>
            <w:r w:rsidR="008A7971" w:rsidRPr="00342080">
              <w:rPr>
                <w:rFonts w:asciiTheme="majorHAnsi" w:hAnsiTheme="majorHAnsi" w:cs="Times New Roman"/>
              </w:rPr>
              <w:t xml:space="preserve"> </w:t>
            </w:r>
            <w:r w:rsidR="00A41BF4" w:rsidRPr="00342080">
              <w:rPr>
                <w:rFonts w:asciiTheme="majorHAnsi" w:hAnsiTheme="majorHAnsi" w:cs="Times New Roman"/>
              </w:rPr>
              <w:t xml:space="preserve">atliekamas naudojant </w:t>
            </w:r>
            <w:r w:rsidR="00555C6E" w:rsidRPr="00342080">
              <w:rPr>
                <w:rFonts w:asciiTheme="majorHAnsi" w:hAnsiTheme="majorHAnsi" w:cs="Times New Roman"/>
              </w:rPr>
              <w:t xml:space="preserve">donoro eritrocitus paveiktus anti-CD38 antikūnus </w:t>
            </w:r>
            <w:r w:rsidR="00555C6E" w:rsidRPr="00342080">
              <w:rPr>
                <w:rFonts w:asciiTheme="majorHAnsi" w:hAnsiTheme="majorHAnsi" w:cs="Times New Roman"/>
              </w:rPr>
              <w:lastRenderedPageBreak/>
              <w:t xml:space="preserve">neutralizuojančiu reagentu ir </w:t>
            </w:r>
            <w:r w:rsidR="00A41BF4" w:rsidRPr="00342080">
              <w:rPr>
                <w:rFonts w:asciiTheme="majorHAnsi" w:hAnsiTheme="majorHAnsi" w:cs="Times New Roman"/>
              </w:rPr>
              <w:t xml:space="preserve">stulpelių </w:t>
            </w:r>
            <w:r w:rsidR="007C0834" w:rsidRPr="00342080">
              <w:rPr>
                <w:rFonts w:asciiTheme="majorHAnsi" w:hAnsiTheme="majorHAnsi" w:cs="Times New Roman"/>
              </w:rPr>
              <w:t xml:space="preserve">korteles su </w:t>
            </w:r>
            <w:proofErr w:type="spellStart"/>
            <w:r w:rsidR="007C0834" w:rsidRPr="00342080">
              <w:rPr>
                <w:rFonts w:asciiTheme="majorHAnsi" w:hAnsiTheme="majorHAnsi" w:cs="Times New Roman"/>
              </w:rPr>
              <w:t>polispecifiniu</w:t>
            </w:r>
            <w:proofErr w:type="spellEnd"/>
            <w:r w:rsidR="007C0834" w:rsidRPr="00342080">
              <w:rPr>
                <w:rFonts w:asciiTheme="majorHAnsi" w:hAnsiTheme="majorHAnsi" w:cs="Times New Roman"/>
              </w:rPr>
              <w:t xml:space="preserve"> žmogaus </w:t>
            </w:r>
            <w:proofErr w:type="spellStart"/>
            <w:r w:rsidR="007C0834" w:rsidRPr="00342080">
              <w:rPr>
                <w:rFonts w:asciiTheme="majorHAnsi" w:hAnsiTheme="majorHAnsi" w:cs="Times New Roman"/>
              </w:rPr>
              <w:t>antiglobulinu</w:t>
            </w:r>
            <w:proofErr w:type="spellEnd"/>
            <w:r w:rsidR="007C0834" w:rsidRPr="00342080">
              <w:rPr>
                <w:rFonts w:asciiTheme="majorHAnsi" w:hAnsiTheme="majorHAnsi" w:cs="Times New Roman"/>
              </w:rPr>
              <w:t xml:space="preserve"> (</w:t>
            </w:r>
            <w:proofErr w:type="spellStart"/>
            <w:r w:rsidR="007C0834" w:rsidRPr="00342080">
              <w:rPr>
                <w:rFonts w:asciiTheme="majorHAnsi" w:hAnsiTheme="majorHAnsi" w:cs="Times New Roman"/>
              </w:rPr>
              <w:t>anti-IgG</w:t>
            </w:r>
            <w:proofErr w:type="spellEnd"/>
            <w:r w:rsidR="007C0834" w:rsidRPr="00342080">
              <w:rPr>
                <w:rFonts w:asciiTheme="majorHAnsi" w:hAnsiTheme="majorHAnsi" w:cs="Times New Roman"/>
              </w:rPr>
              <w:t xml:space="preserve"> ir anti-C3d).</w:t>
            </w:r>
          </w:p>
        </w:tc>
        <w:tc>
          <w:tcPr>
            <w:tcW w:w="3699" w:type="dxa"/>
            <w:tcBorders>
              <w:top w:val="single" w:sz="4" w:space="0" w:color="auto"/>
              <w:left w:val="nil"/>
              <w:bottom w:val="single" w:sz="4" w:space="0" w:color="auto"/>
              <w:right w:val="single" w:sz="4" w:space="0" w:color="auto"/>
            </w:tcBorders>
          </w:tcPr>
          <w:p w14:paraId="2BE74872" w14:textId="37A0DBCB" w:rsidR="00286973" w:rsidRPr="00342080" w:rsidRDefault="00603897" w:rsidP="00655158">
            <w:pPr>
              <w:shd w:val="clear" w:color="auto" w:fill="FFFFFF"/>
              <w:contextualSpacing/>
              <w:mirrorIndents/>
              <w:rPr>
                <w:rFonts w:asciiTheme="majorHAnsi" w:eastAsia="Times New Roman" w:hAnsiTheme="majorHAnsi" w:cs="Times New Roman"/>
              </w:rPr>
            </w:pPr>
            <w:r w:rsidRPr="00342080">
              <w:rPr>
                <w:rFonts w:asciiTheme="majorHAnsi" w:hAnsiTheme="majorHAnsi" w:cs="Times New Roman"/>
                <w:i/>
              </w:rPr>
              <w:lastRenderedPageBreak/>
              <w:t>įrašo tiekėjas</w:t>
            </w:r>
          </w:p>
        </w:tc>
      </w:tr>
    </w:tbl>
    <w:p w14:paraId="4EF70B1E" w14:textId="77777777" w:rsidR="009C6B0D" w:rsidRPr="00342080" w:rsidRDefault="009C6B0D" w:rsidP="009B2B27">
      <w:pPr>
        <w:spacing w:before="100" w:beforeAutospacing="1"/>
        <w:ind w:left="284" w:right="284"/>
        <w:contextualSpacing/>
        <w:mirrorIndents/>
        <w:rPr>
          <w:rFonts w:asciiTheme="majorHAnsi" w:hAnsiTheme="majorHAnsi" w:cs="Times New Roman"/>
        </w:rPr>
      </w:pPr>
    </w:p>
    <w:sectPr w:rsidR="009C6B0D" w:rsidRPr="00342080" w:rsidSect="00364E79">
      <w:headerReference w:type="default" r:id="rId11"/>
      <w:footerReference w:type="default" r:id="rId12"/>
      <w:pgSz w:w="16838" w:h="11906" w:orient="landscape" w:code="9"/>
      <w:pgMar w:top="1418" w:right="85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C9B0B" w14:textId="77777777" w:rsidR="008B7865" w:rsidRDefault="008B7865" w:rsidP="009408ED">
      <w:r>
        <w:separator/>
      </w:r>
    </w:p>
  </w:endnote>
  <w:endnote w:type="continuationSeparator" w:id="0">
    <w:p w14:paraId="7F3B68A8" w14:textId="77777777" w:rsidR="008B7865" w:rsidRDefault="008B7865" w:rsidP="0094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117278"/>
      <w:docPartObj>
        <w:docPartGallery w:val="Page Numbers (Bottom of Page)"/>
        <w:docPartUnique/>
      </w:docPartObj>
    </w:sdtPr>
    <w:sdtEndPr>
      <w:rPr>
        <w:noProof/>
      </w:rPr>
    </w:sdtEndPr>
    <w:sdtContent>
      <w:p w14:paraId="2889220C" w14:textId="6085FE45" w:rsidR="009408D7" w:rsidRDefault="009408D7">
        <w:pPr>
          <w:pStyle w:val="Footer"/>
          <w:jc w:val="right"/>
        </w:pPr>
        <w:r>
          <w:fldChar w:fldCharType="begin"/>
        </w:r>
        <w:r>
          <w:instrText xml:space="preserve"> PAGE   \* MERGEFORMAT </w:instrText>
        </w:r>
        <w:r>
          <w:fldChar w:fldCharType="separate"/>
        </w:r>
        <w:r w:rsidR="00172C80">
          <w:rPr>
            <w:noProof/>
          </w:rPr>
          <w:t>9</w:t>
        </w:r>
        <w:r>
          <w:rPr>
            <w:noProof/>
          </w:rPr>
          <w:fldChar w:fldCharType="end"/>
        </w:r>
      </w:p>
    </w:sdtContent>
  </w:sdt>
  <w:p w14:paraId="2FEBF1D0" w14:textId="77777777" w:rsidR="009408D7" w:rsidRDefault="00940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92807" w14:textId="77777777" w:rsidR="008B7865" w:rsidRDefault="008B7865" w:rsidP="009408ED">
      <w:r>
        <w:separator/>
      </w:r>
    </w:p>
  </w:footnote>
  <w:footnote w:type="continuationSeparator" w:id="0">
    <w:p w14:paraId="572E5008" w14:textId="77777777" w:rsidR="008B7865" w:rsidRDefault="008B7865" w:rsidP="00940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B95F" w14:textId="77777777" w:rsidR="007F2DA4" w:rsidRDefault="007F2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4625D3D"/>
    <w:multiLevelType w:val="hybridMultilevel"/>
    <w:tmpl w:val="6546BB7C"/>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117B05"/>
    <w:multiLevelType w:val="hybridMultilevel"/>
    <w:tmpl w:val="9D1EF6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470A42"/>
    <w:multiLevelType w:val="hybridMultilevel"/>
    <w:tmpl w:val="81A290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B391BBA"/>
    <w:multiLevelType w:val="multilevel"/>
    <w:tmpl w:val="D488DDD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DB96B85"/>
    <w:multiLevelType w:val="hybridMultilevel"/>
    <w:tmpl w:val="33606F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773404"/>
    <w:multiLevelType w:val="hybridMultilevel"/>
    <w:tmpl w:val="7E562006"/>
    <w:lvl w:ilvl="0" w:tplc="0427000F">
      <w:start w:val="1"/>
      <w:numFmt w:val="decimal"/>
      <w:lvlText w:val="%1."/>
      <w:lvlJc w:val="left"/>
      <w:pPr>
        <w:ind w:left="720" w:hanging="360"/>
      </w:pPr>
    </w:lvl>
    <w:lvl w:ilvl="1" w:tplc="04270019">
      <w:start w:val="1"/>
      <w:numFmt w:val="lowerLetter"/>
      <w:lvlText w:val="%2."/>
      <w:lvlJc w:val="left"/>
      <w:pPr>
        <w:ind w:left="1495"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4001E5"/>
    <w:multiLevelType w:val="multilevel"/>
    <w:tmpl w:val="9A623E68"/>
    <w:lvl w:ilvl="0">
      <w:start w:val="1"/>
      <w:numFmt w:val="decimal"/>
      <w:lvlText w:val="%1."/>
      <w:lvlJc w:val="left"/>
      <w:pPr>
        <w:ind w:left="390" w:hanging="360"/>
      </w:pPr>
      <w:rPr>
        <w:rFonts w:hint="default"/>
        <w:sz w:val="22"/>
      </w:rPr>
    </w:lvl>
    <w:lvl w:ilvl="1">
      <w:start w:val="1"/>
      <w:numFmt w:val="decimal"/>
      <w:isLgl/>
      <w:lvlText w:val="%1.%2."/>
      <w:lvlJc w:val="left"/>
      <w:pPr>
        <w:ind w:left="723" w:hanging="405"/>
      </w:pPr>
      <w:rPr>
        <w:rFonts w:hint="default"/>
      </w:rPr>
    </w:lvl>
    <w:lvl w:ilvl="2">
      <w:start w:val="1"/>
      <w:numFmt w:val="decimal"/>
      <w:isLgl/>
      <w:lvlText w:val="%1.%2.%3."/>
      <w:lvlJc w:val="left"/>
      <w:pPr>
        <w:ind w:left="1326" w:hanging="720"/>
      </w:pPr>
      <w:rPr>
        <w:rFonts w:hint="default"/>
      </w:rPr>
    </w:lvl>
    <w:lvl w:ilvl="3">
      <w:start w:val="1"/>
      <w:numFmt w:val="decimal"/>
      <w:isLgl/>
      <w:lvlText w:val="%1.%2.%3.%4."/>
      <w:lvlJc w:val="left"/>
      <w:pPr>
        <w:ind w:left="1614" w:hanging="720"/>
      </w:pPr>
      <w:rPr>
        <w:rFonts w:hint="default"/>
      </w:rPr>
    </w:lvl>
    <w:lvl w:ilvl="4">
      <w:start w:val="1"/>
      <w:numFmt w:val="decimal"/>
      <w:isLgl/>
      <w:lvlText w:val="%1.%2.%3.%4.%5."/>
      <w:lvlJc w:val="left"/>
      <w:pPr>
        <w:ind w:left="2262" w:hanging="1080"/>
      </w:pPr>
      <w:rPr>
        <w:rFonts w:hint="default"/>
      </w:rPr>
    </w:lvl>
    <w:lvl w:ilvl="5">
      <w:start w:val="1"/>
      <w:numFmt w:val="decimal"/>
      <w:isLgl/>
      <w:lvlText w:val="%1.%2.%3.%4.%5.%6."/>
      <w:lvlJc w:val="left"/>
      <w:pPr>
        <w:ind w:left="2550" w:hanging="1080"/>
      </w:pPr>
      <w:rPr>
        <w:rFonts w:hint="default"/>
      </w:rPr>
    </w:lvl>
    <w:lvl w:ilvl="6">
      <w:start w:val="1"/>
      <w:numFmt w:val="decimal"/>
      <w:isLgl/>
      <w:lvlText w:val="%1.%2.%3.%4.%5.%6.%7."/>
      <w:lvlJc w:val="left"/>
      <w:pPr>
        <w:ind w:left="3198" w:hanging="1440"/>
      </w:pPr>
      <w:rPr>
        <w:rFonts w:hint="default"/>
      </w:rPr>
    </w:lvl>
    <w:lvl w:ilvl="7">
      <w:start w:val="1"/>
      <w:numFmt w:val="decimal"/>
      <w:isLgl/>
      <w:lvlText w:val="%1.%2.%3.%4.%5.%6.%7.%8."/>
      <w:lvlJc w:val="left"/>
      <w:pPr>
        <w:ind w:left="3486" w:hanging="1440"/>
      </w:pPr>
      <w:rPr>
        <w:rFonts w:hint="default"/>
      </w:rPr>
    </w:lvl>
    <w:lvl w:ilvl="8">
      <w:start w:val="1"/>
      <w:numFmt w:val="decimal"/>
      <w:isLgl/>
      <w:lvlText w:val="%1.%2.%3.%4.%5.%6.%7.%8.%9."/>
      <w:lvlJc w:val="left"/>
      <w:pPr>
        <w:ind w:left="4134" w:hanging="1800"/>
      </w:pPr>
      <w:rPr>
        <w:rFonts w:hint="default"/>
      </w:rPr>
    </w:lvl>
  </w:abstractNum>
  <w:abstractNum w:abstractNumId="9" w15:restartNumberingAfterBreak="0">
    <w:nsid w:val="37E04857"/>
    <w:multiLevelType w:val="hybridMultilevel"/>
    <w:tmpl w:val="0AACDDF6"/>
    <w:lvl w:ilvl="0" w:tplc="0427000F">
      <w:start w:val="1"/>
      <w:numFmt w:val="decimal"/>
      <w:lvlText w:val="%1."/>
      <w:lvlJc w:val="left"/>
      <w:pPr>
        <w:ind w:left="748" w:hanging="360"/>
      </w:p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10" w15:restartNumberingAfterBreak="0">
    <w:nsid w:val="38FA14DE"/>
    <w:multiLevelType w:val="hybridMultilevel"/>
    <w:tmpl w:val="6444E5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4BF1677"/>
    <w:multiLevelType w:val="hybridMultilevel"/>
    <w:tmpl w:val="C16CE42C"/>
    <w:lvl w:ilvl="0" w:tplc="FAAE942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2C006B"/>
    <w:multiLevelType w:val="multilevel"/>
    <w:tmpl w:val="D8A613D6"/>
    <w:lvl w:ilvl="0">
      <w:start w:val="1"/>
      <w:numFmt w:val="decimal"/>
      <w:lvlText w:val="%1."/>
      <w:lvlJc w:val="left"/>
      <w:pPr>
        <w:ind w:left="720" w:hanging="360"/>
      </w:pPr>
      <w:rPr>
        <w:rFonts w:hint="default"/>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624C23"/>
    <w:multiLevelType w:val="multilevel"/>
    <w:tmpl w:val="6CF8E70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BDE481F"/>
    <w:multiLevelType w:val="hybridMultilevel"/>
    <w:tmpl w:val="1DFA56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5C76F9E"/>
    <w:multiLevelType w:val="hybridMultilevel"/>
    <w:tmpl w:val="415254CC"/>
    <w:lvl w:ilvl="0" w:tplc="A42821C6">
      <w:start w:val="1"/>
      <w:numFmt w:val="decimal"/>
      <w:lvlText w:val="%1."/>
      <w:lvlJc w:val="left"/>
      <w:pPr>
        <w:ind w:left="750" w:hanging="360"/>
      </w:pPr>
      <w:rPr>
        <w:rFonts w:ascii="Times New Roman" w:eastAsiaTheme="minorEastAsia" w:hAnsi="Times New Roman" w:cs="Times New Roman"/>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6" w15:restartNumberingAfterBreak="0">
    <w:nsid w:val="5F2979A8"/>
    <w:multiLevelType w:val="multilevel"/>
    <w:tmpl w:val="DCBE1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1FE18AE"/>
    <w:multiLevelType w:val="hybridMultilevel"/>
    <w:tmpl w:val="E650428E"/>
    <w:lvl w:ilvl="0" w:tplc="0427000F">
      <w:start w:val="1"/>
      <w:numFmt w:val="decimal"/>
      <w:lvlText w:val="%1."/>
      <w:lvlJc w:val="left"/>
      <w:pPr>
        <w:ind w:left="755" w:hanging="360"/>
      </w:pPr>
    </w:lvl>
    <w:lvl w:ilvl="1" w:tplc="04270019" w:tentative="1">
      <w:start w:val="1"/>
      <w:numFmt w:val="lowerLetter"/>
      <w:lvlText w:val="%2."/>
      <w:lvlJc w:val="left"/>
      <w:pPr>
        <w:ind w:left="1475" w:hanging="360"/>
      </w:pPr>
    </w:lvl>
    <w:lvl w:ilvl="2" w:tplc="0427001B" w:tentative="1">
      <w:start w:val="1"/>
      <w:numFmt w:val="lowerRoman"/>
      <w:lvlText w:val="%3."/>
      <w:lvlJc w:val="right"/>
      <w:pPr>
        <w:ind w:left="2195" w:hanging="180"/>
      </w:pPr>
    </w:lvl>
    <w:lvl w:ilvl="3" w:tplc="0427000F" w:tentative="1">
      <w:start w:val="1"/>
      <w:numFmt w:val="decimal"/>
      <w:lvlText w:val="%4."/>
      <w:lvlJc w:val="left"/>
      <w:pPr>
        <w:ind w:left="2915" w:hanging="360"/>
      </w:pPr>
    </w:lvl>
    <w:lvl w:ilvl="4" w:tplc="04270019" w:tentative="1">
      <w:start w:val="1"/>
      <w:numFmt w:val="lowerLetter"/>
      <w:lvlText w:val="%5."/>
      <w:lvlJc w:val="left"/>
      <w:pPr>
        <w:ind w:left="3635" w:hanging="360"/>
      </w:pPr>
    </w:lvl>
    <w:lvl w:ilvl="5" w:tplc="0427001B" w:tentative="1">
      <w:start w:val="1"/>
      <w:numFmt w:val="lowerRoman"/>
      <w:lvlText w:val="%6."/>
      <w:lvlJc w:val="right"/>
      <w:pPr>
        <w:ind w:left="4355" w:hanging="180"/>
      </w:pPr>
    </w:lvl>
    <w:lvl w:ilvl="6" w:tplc="0427000F" w:tentative="1">
      <w:start w:val="1"/>
      <w:numFmt w:val="decimal"/>
      <w:lvlText w:val="%7."/>
      <w:lvlJc w:val="left"/>
      <w:pPr>
        <w:ind w:left="5075" w:hanging="360"/>
      </w:pPr>
    </w:lvl>
    <w:lvl w:ilvl="7" w:tplc="04270019" w:tentative="1">
      <w:start w:val="1"/>
      <w:numFmt w:val="lowerLetter"/>
      <w:lvlText w:val="%8."/>
      <w:lvlJc w:val="left"/>
      <w:pPr>
        <w:ind w:left="5795" w:hanging="360"/>
      </w:pPr>
    </w:lvl>
    <w:lvl w:ilvl="8" w:tplc="0427001B" w:tentative="1">
      <w:start w:val="1"/>
      <w:numFmt w:val="lowerRoman"/>
      <w:lvlText w:val="%9."/>
      <w:lvlJc w:val="right"/>
      <w:pPr>
        <w:ind w:left="6515" w:hanging="180"/>
      </w:pPr>
    </w:lvl>
  </w:abstractNum>
  <w:abstractNum w:abstractNumId="18" w15:restartNumberingAfterBreak="0">
    <w:nsid w:val="62A51FE7"/>
    <w:multiLevelType w:val="hybridMultilevel"/>
    <w:tmpl w:val="2AD22B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18665E"/>
    <w:multiLevelType w:val="hybridMultilevel"/>
    <w:tmpl w:val="DEFCF280"/>
    <w:lvl w:ilvl="0" w:tplc="C080A462">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0" w15:restartNumberingAfterBreak="0">
    <w:nsid w:val="64EF6A19"/>
    <w:multiLevelType w:val="hybridMultilevel"/>
    <w:tmpl w:val="C85619EE"/>
    <w:lvl w:ilvl="0" w:tplc="1F34566C">
      <w:start w:val="1"/>
      <w:numFmt w:val="decimal"/>
      <w:lvlText w:val="%1."/>
      <w:lvlJc w:val="left"/>
      <w:pPr>
        <w:ind w:left="720" w:hanging="360"/>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B060D36"/>
    <w:multiLevelType w:val="hybridMultilevel"/>
    <w:tmpl w:val="6C5C99E8"/>
    <w:lvl w:ilvl="0" w:tplc="3F6C763C">
      <w:start w:val="1"/>
      <w:numFmt w:val="decimal"/>
      <w:lvlText w:val="%1."/>
      <w:lvlJc w:val="left"/>
      <w:pPr>
        <w:ind w:left="367" w:hanging="360"/>
      </w:pPr>
      <w:rPr>
        <w:rFonts w:hint="default"/>
      </w:rPr>
    </w:lvl>
    <w:lvl w:ilvl="1" w:tplc="04270019" w:tentative="1">
      <w:start w:val="1"/>
      <w:numFmt w:val="lowerLetter"/>
      <w:lvlText w:val="%2."/>
      <w:lvlJc w:val="left"/>
      <w:pPr>
        <w:ind w:left="1087" w:hanging="360"/>
      </w:pPr>
    </w:lvl>
    <w:lvl w:ilvl="2" w:tplc="0427001B" w:tentative="1">
      <w:start w:val="1"/>
      <w:numFmt w:val="lowerRoman"/>
      <w:lvlText w:val="%3."/>
      <w:lvlJc w:val="right"/>
      <w:pPr>
        <w:ind w:left="1807" w:hanging="180"/>
      </w:pPr>
    </w:lvl>
    <w:lvl w:ilvl="3" w:tplc="0427000F" w:tentative="1">
      <w:start w:val="1"/>
      <w:numFmt w:val="decimal"/>
      <w:lvlText w:val="%4."/>
      <w:lvlJc w:val="left"/>
      <w:pPr>
        <w:ind w:left="2527" w:hanging="360"/>
      </w:pPr>
    </w:lvl>
    <w:lvl w:ilvl="4" w:tplc="04270019" w:tentative="1">
      <w:start w:val="1"/>
      <w:numFmt w:val="lowerLetter"/>
      <w:lvlText w:val="%5."/>
      <w:lvlJc w:val="left"/>
      <w:pPr>
        <w:ind w:left="3247" w:hanging="360"/>
      </w:pPr>
    </w:lvl>
    <w:lvl w:ilvl="5" w:tplc="0427001B" w:tentative="1">
      <w:start w:val="1"/>
      <w:numFmt w:val="lowerRoman"/>
      <w:lvlText w:val="%6."/>
      <w:lvlJc w:val="right"/>
      <w:pPr>
        <w:ind w:left="3967" w:hanging="180"/>
      </w:pPr>
    </w:lvl>
    <w:lvl w:ilvl="6" w:tplc="0427000F" w:tentative="1">
      <w:start w:val="1"/>
      <w:numFmt w:val="decimal"/>
      <w:lvlText w:val="%7."/>
      <w:lvlJc w:val="left"/>
      <w:pPr>
        <w:ind w:left="4687" w:hanging="360"/>
      </w:pPr>
    </w:lvl>
    <w:lvl w:ilvl="7" w:tplc="04270019" w:tentative="1">
      <w:start w:val="1"/>
      <w:numFmt w:val="lowerLetter"/>
      <w:lvlText w:val="%8."/>
      <w:lvlJc w:val="left"/>
      <w:pPr>
        <w:ind w:left="5407" w:hanging="360"/>
      </w:pPr>
    </w:lvl>
    <w:lvl w:ilvl="8" w:tplc="0427001B" w:tentative="1">
      <w:start w:val="1"/>
      <w:numFmt w:val="lowerRoman"/>
      <w:lvlText w:val="%9."/>
      <w:lvlJc w:val="right"/>
      <w:pPr>
        <w:ind w:left="6127" w:hanging="180"/>
      </w:pPr>
    </w:lvl>
  </w:abstractNum>
  <w:abstractNum w:abstractNumId="22" w15:restartNumberingAfterBreak="0">
    <w:nsid w:val="6C3A2DCA"/>
    <w:multiLevelType w:val="hybridMultilevel"/>
    <w:tmpl w:val="BFACA2A0"/>
    <w:lvl w:ilvl="0" w:tplc="0427000F">
      <w:start w:val="1"/>
      <w:numFmt w:val="decimal"/>
      <w:lvlText w:val="%1."/>
      <w:lvlJc w:val="left"/>
      <w:pPr>
        <w:ind w:left="720" w:hanging="360"/>
      </w:pPr>
    </w:lvl>
    <w:lvl w:ilvl="1" w:tplc="04270019">
      <w:start w:val="1"/>
      <w:numFmt w:val="lowerLetter"/>
      <w:lvlText w:val="%2."/>
      <w:lvlJc w:val="left"/>
      <w:pPr>
        <w:ind w:left="1495"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04121A"/>
    <w:multiLevelType w:val="multilevel"/>
    <w:tmpl w:val="6B68D442"/>
    <w:lvl w:ilvl="0">
      <w:start w:val="1"/>
      <w:numFmt w:val="decimal"/>
      <w:lvlText w:val="%1."/>
      <w:lvlJc w:val="left"/>
      <w:pPr>
        <w:ind w:left="390" w:hanging="360"/>
      </w:pPr>
      <w:rPr>
        <w:rFonts w:hint="default"/>
        <w:sz w:val="22"/>
      </w:rPr>
    </w:lvl>
    <w:lvl w:ilvl="1">
      <w:start w:val="1"/>
      <w:numFmt w:val="decimal"/>
      <w:isLgl/>
      <w:lvlText w:val="%1.%2."/>
      <w:lvlJc w:val="left"/>
      <w:pPr>
        <w:ind w:left="723" w:hanging="405"/>
      </w:pPr>
      <w:rPr>
        <w:rFonts w:hint="default"/>
      </w:rPr>
    </w:lvl>
    <w:lvl w:ilvl="2">
      <w:start w:val="1"/>
      <w:numFmt w:val="decimal"/>
      <w:isLgl/>
      <w:lvlText w:val="%1.%2.%3."/>
      <w:lvlJc w:val="left"/>
      <w:pPr>
        <w:ind w:left="1326" w:hanging="720"/>
      </w:pPr>
      <w:rPr>
        <w:rFonts w:hint="default"/>
      </w:rPr>
    </w:lvl>
    <w:lvl w:ilvl="3">
      <w:start w:val="1"/>
      <w:numFmt w:val="decimal"/>
      <w:isLgl/>
      <w:lvlText w:val="%1.%2.%3.%4."/>
      <w:lvlJc w:val="left"/>
      <w:pPr>
        <w:ind w:left="1614" w:hanging="720"/>
      </w:pPr>
      <w:rPr>
        <w:rFonts w:hint="default"/>
      </w:rPr>
    </w:lvl>
    <w:lvl w:ilvl="4">
      <w:start w:val="1"/>
      <w:numFmt w:val="decimal"/>
      <w:isLgl/>
      <w:lvlText w:val="%1.%2.%3.%4.%5."/>
      <w:lvlJc w:val="left"/>
      <w:pPr>
        <w:ind w:left="2262" w:hanging="1080"/>
      </w:pPr>
      <w:rPr>
        <w:rFonts w:hint="default"/>
      </w:rPr>
    </w:lvl>
    <w:lvl w:ilvl="5">
      <w:start w:val="1"/>
      <w:numFmt w:val="decimal"/>
      <w:isLgl/>
      <w:lvlText w:val="%1.%2.%3.%4.%5.%6."/>
      <w:lvlJc w:val="left"/>
      <w:pPr>
        <w:ind w:left="2550" w:hanging="1080"/>
      </w:pPr>
      <w:rPr>
        <w:rFonts w:hint="default"/>
      </w:rPr>
    </w:lvl>
    <w:lvl w:ilvl="6">
      <w:start w:val="1"/>
      <w:numFmt w:val="decimal"/>
      <w:isLgl/>
      <w:lvlText w:val="%1.%2.%3.%4.%5.%6.%7."/>
      <w:lvlJc w:val="left"/>
      <w:pPr>
        <w:ind w:left="3198" w:hanging="1440"/>
      </w:pPr>
      <w:rPr>
        <w:rFonts w:hint="default"/>
      </w:rPr>
    </w:lvl>
    <w:lvl w:ilvl="7">
      <w:start w:val="1"/>
      <w:numFmt w:val="decimal"/>
      <w:isLgl/>
      <w:lvlText w:val="%1.%2.%3.%4.%5.%6.%7.%8."/>
      <w:lvlJc w:val="left"/>
      <w:pPr>
        <w:ind w:left="3486" w:hanging="1440"/>
      </w:pPr>
      <w:rPr>
        <w:rFonts w:hint="default"/>
      </w:rPr>
    </w:lvl>
    <w:lvl w:ilvl="8">
      <w:start w:val="1"/>
      <w:numFmt w:val="decimal"/>
      <w:isLgl/>
      <w:lvlText w:val="%1.%2.%3.%4.%5.%6.%7.%8.%9."/>
      <w:lvlJc w:val="left"/>
      <w:pPr>
        <w:ind w:left="4134" w:hanging="1800"/>
      </w:pPr>
      <w:rPr>
        <w:rFonts w:hint="default"/>
      </w:rPr>
    </w:lvl>
  </w:abstractNum>
  <w:abstractNum w:abstractNumId="24" w15:restartNumberingAfterBreak="0">
    <w:nsid w:val="6EB14551"/>
    <w:multiLevelType w:val="hybridMultilevel"/>
    <w:tmpl w:val="C9A2F6E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247397"/>
    <w:multiLevelType w:val="singleLevel"/>
    <w:tmpl w:val="55CE1888"/>
    <w:lvl w:ilvl="0">
      <w:start w:val="1"/>
      <w:numFmt w:val="decimal"/>
      <w:lvlText w:val="1.%1."/>
      <w:legacy w:legacy="1" w:legacySpace="0" w:legacyIndent="439"/>
      <w:lvlJc w:val="left"/>
      <w:rPr>
        <w:rFonts w:ascii="Times New Roman" w:hAnsi="Times New Roman" w:cs="Times New Roman" w:hint="default"/>
      </w:rPr>
    </w:lvl>
  </w:abstractNum>
  <w:abstractNum w:abstractNumId="26" w15:restartNumberingAfterBreak="0">
    <w:nsid w:val="7248038F"/>
    <w:multiLevelType w:val="multilevel"/>
    <w:tmpl w:val="6CF8E70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11"/>
  </w:num>
  <w:num w:numId="3">
    <w:abstractNumId w:val="24"/>
  </w:num>
  <w:num w:numId="4">
    <w:abstractNumId w:val="26"/>
  </w:num>
  <w:num w:numId="5">
    <w:abstractNumId w:val="25"/>
  </w:num>
  <w:num w:numId="6">
    <w:abstractNumId w:val="25"/>
    <w:lvlOverride w:ilvl="0">
      <w:lvl w:ilvl="0">
        <w:start w:val="4"/>
        <w:numFmt w:val="decimal"/>
        <w:lvlText w:val="1.%1."/>
        <w:legacy w:legacy="1" w:legacySpace="0" w:legacyIndent="381"/>
        <w:lvlJc w:val="left"/>
        <w:rPr>
          <w:rFonts w:ascii="Times New Roman" w:hAnsi="Times New Roman" w:cs="Times New Roman" w:hint="default"/>
        </w:rPr>
      </w:lvl>
    </w:lvlOverride>
  </w:num>
  <w:num w:numId="7">
    <w:abstractNumId w:val="22"/>
  </w:num>
  <w:num w:numId="8">
    <w:abstractNumId w:val="12"/>
  </w:num>
  <w:num w:numId="9">
    <w:abstractNumId w:val="4"/>
  </w:num>
  <w:num w:numId="10">
    <w:abstractNumId w:val="7"/>
  </w:num>
  <w:num w:numId="11">
    <w:abstractNumId w:val="21"/>
  </w:num>
  <w:num w:numId="12">
    <w:abstractNumId w:val="2"/>
  </w:num>
  <w:num w:numId="13">
    <w:abstractNumId w:val="9"/>
  </w:num>
  <w:num w:numId="14">
    <w:abstractNumId w:val="20"/>
  </w:num>
  <w:num w:numId="15">
    <w:abstractNumId w:val="19"/>
  </w:num>
  <w:num w:numId="16">
    <w:abstractNumId w:val="23"/>
  </w:num>
  <w:num w:numId="17">
    <w:abstractNumId w:val="6"/>
  </w:num>
  <w:num w:numId="18">
    <w:abstractNumId w:val="0"/>
  </w:num>
  <w:num w:numId="19">
    <w:abstractNumId w:val="10"/>
  </w:num>
  <w:num w:numId="20">
    <w:abstractNumId w:val="1"/>
  </w:num>
  <w:num w:numId="21">
    <w:abstractNumId w:val="17"/>
  </w:num>
  <w:num w:numId="22">
    <w:abstractNumId w:val="8"/>
  </w:num>
  <w:num w:numId="23">
    <w:abstractNumId w:val="15"/>
  </w:num>
  <w:num w:numId="24">
    <w:abstractNumId w:val="13"/>
  </w:num>
  <w:num w:numId="25">
    <w:abstractNumId w:val="3"/>
  </w:num>
  <w:num w:numId="26">
    <w:abstractNumId w:val="14"/>
  </w:num>
  <w:num w:numId="27">
    <w:abstractNumId w:val="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QwNTI1MTKyMLU0MjZX0lEKTi0uzszPAykwtKwFAGmiV1ktAAAA"/>
  </w:docVars>
  <w:rsids>
    <w:rsidRoot w:val="00EC50D5"/>
    <w:rsid w:val="00000F57"/>
    <w:rsid w:val="00003437"/>
    <w:rsid w:val="000036DE"/>
    <w:rsid w:val="0000499E"/>
    <w:rsid w:val="00005B32"/>
    <w:rsid w:val="000148A8"/>
    <w:rsid w:val="00022A52"/>
    <w:rsid w:val="00026565"/>
    <w:rsid w:val="000267DF"/>
    <w:rsid w:val="00031040"/>
    <w:rsid w:val="000314F0"/>
    <w:rsid w:val="0004309E"/>
    <w:rsid w:val="00043EF2"/>
    <w:rsid w:val="00044B89"/>
    <w:rsid w:val="00044FF2"/>
    <w:rsid w:val="00053259"/>
    <w:rsid w:val="000559CD"/>
    <w:rsid w:val="00070368"/>
    <w:rsid w:val="00070F23"/>
    <w:rsid w:val="00073133"/>
    <w:rsid w:val="0007709C"/>
    <w:rsid w:val="0008118C"/>
    <w:rsid w:val="00081DE8"/>
    <w:rsid w:val="00087D79"/>
    <w:rsid w:val="000934E7"/>
    <w:rsid w:val="000A1A03"/>
    <w:rsid w:val="000A2BC9"/>
    <w:rsid w:val="000A4113"/>
    <w:rsid w:val="000A5EB3"/>
    <w:rsid w:val="000A6714"/>
    <w:rsid w:val="000A67CE"/>
    <w:rsid w:val="000B1726"/>
    <w:rsid w:val="000D19E9"/>
    <w:rsid w:val="000E3250"/>
    <w:rsid w:val="000E4C61"/>
    <w:rsid w:val="000E5912"/>
    <w:rsid w:val="000F362A"/>
    <w:rsid w:val="00103381"/>
    <w:rsid w:val="00110074"/>
    <w:rsid w:val="001141EF"/>
    <w:rsid w:val="001211E6"/>
    <w:rsid w:val="0012420C"/>
    <w:rsid w:val="00127EA4"/>
    <w:rsid w:val="00134A3B"/>
    <w:rsid w:val="00137AEF"/>
    <w:rsid w:val="00142448"/>
    <w:rsid w:val="00142706"/>
    <w:rsid w:val="00142FAF"/>
    <w:rsid w:val="0014307F"/>
    <w:rsid w:val="0015118D"/>
    <w:rsid w:val="00151BD9"/>
    <w:rsid w:val="00152126"/>
    <w:rsid w:val="00154DA3"/>
    <w:rsid w:val="00155803"/>
    <w:rsid w:val="00163175"/>
    <w:rsid w:val="00164B95"/>
    <w:rsid w:val="00166FE3"/>
    <w:rsid w:val="00170FA7"/>
    <w:rsid w:val="00172C80"/>
    <w:rsid w:val="001730F4"/>
    <w:rsid w:val="00173980"/>
    <w:rsid w:val="001808D8"/>
    <w:rsid w:val="00180A01"/>
    <w:rsid w:val="00181B5F"/>
    <w:rsid w:val="001859CE"/>
    <w:rsid w:val="001879A6"/>
    <w:rsid w:val="00190172"/>
    <w:rsid w:val="00194FC8"/>
    <w:rsid w:val="001952DA"/>
    <w:rsid w:val="00197F47"/>
    <w:rsid w:val="001A3015"/>
    <w:rsid w:val="001D19D4"/>
    <w:rsid w:val="001D69BE"/>
    <w:rsid w:val="001D6DF2"/>
    <w:rsid w:val="001E2415"/>
    <w:rsid w:val="001E305C"/>
    <w:rsid w:val="001F1FDC"/>
    <w:rsid w:val="001F283F"/>
    <w:rsid w:val="001F4654"/>
    <w:rsid w:val="001F712C"/>
    <w:rsid w:val="002014F2"/>
    <w:rsid w:val="00205204"/>
    <w:rsid w:val="00210749"/>
    <w:rsid w:val="0021268B"/>
    <w:rsid w:val="002176F8"/>
    <w:rsid w:val="00217D90"/>
    <w:rsid w:val="002203F9"/>
    <w:rsid w:val="00221C66"/>
    <w:rsid w:val="0022303A"/>
    <w:rsid w:val="0022600B"/>
    <w:rsid w:val="00226CE2"/>
    <w:rsid w:val="00226D7D"/>
    <w:rsid w:val="00233997"/>
    <w:rsid w:val="002352B6"/>
    <w:rsid w:val="00235DB7"/>
    <w:rsid w:val="002364A2"/>
    <w:rsid w:val="00237779"/>
    <w:rsid w:val="00237F62"/>
    <w:rsid w:val="00240EA6"/>
    <w:rsid w:val="002424EB"/>
    <w:rsid w:val="00245B20"/>
    <w:rsid w:val="00250D77"/>
    <w:rsid w:val="00251755"/>
    <w:rsid w:val="002552E1"/>
    <w:rsid w:val="002607E9"/>
    <w:rsid w:val="00274013"/>
    <w:rsid w:val="002770A4"/>
    <w:rsid w:val="00283EE8"/>
    <w:rsid w:val="002848C0"/>
    <w:rsid w:val="002850E6"/>
    <w:rsid w:val="00286973"/>
    <w:rsid w:val="00292F9B"/>
    <w:rsid w:val="002965E9"/>
    <w:rsid w:val="002A1DD1"/>
    <w:rsid w:val="002A445F"/>
    <w:rsid w:val="002B3E3C"/>
    <w:rsid w:val="002B5CDF"/>
    <w:rsid w:val="002B626E"/>
    <w:rsid w:val="002C33CA"/>
    <w:rsid w:val="002C3517"/>
    <w:rsid w:val="002E4F43"/>
    <w:rsid w:val="002F3C3E"/>
    <w:rsid w:val="003014EC"/>
    <w:rsid w:val="00310479"/>
    <w:rsid w:val="00311FF5"/>
    <w:rsid w:val="00314685"/>
    <w:rsid w:val="00322D13"/>
    <w:rsid w:val="00325023"/>
    <w:rsid w:val="00325CC0"/>
    <w:rsid w:val="00327E4A"/>
    <w:rsid w:val="00331CD1"/>
    <w:rsid w:val="00334FEE"/>
    <w:rsid w:val="00335652"/>
    <w:rsid w:val="0034099A"/>
    <w:rsid w:val="003415B9"/>
    <w:rsid w:val="00342080"/>
    <w:rsid w:val="0035536B"/>
    <w:rsid w:val="00360207"/>
    <w:rsid w:val="00361A3E"/>
    <w:rsid w:val="00364E79"/>
    <w:rsid w:val="00371887"/>
    <w:rsid w:val="003731FB"/>
    <w:rsid w:val="003751F5"/>
    <w:rsid w:val="00376B04"/>
    <w:rsid w:val="00381743"/>
    <w:rsid w:val="00381FC2"/>
    <w:rsid w:val="00396641"/>
    <w:rsid w:val="00396C28"/>
    <w:rsid w:val="003A1842"/>
    <w:rsid w:val="003A29C4"/>
    <w:rsid w:val="003B2324"/>
    <w:rsid w:val="003B3C31"/>
    <w:rsid w:val="003B4A47"/>
    <w:rsid w:val="003B4C70"/>
    <w:rsid w:val="003C3077"/>
    <w:rsid w:val="003C47D2"/>
    <w:rsid w:val="003D286B"/>
    <w:rsid w:val="003D3AF8"/>
    <w:rsid w:val="003D6D4D"/>
    <w:rsid w:val="003D772A"/>
    <w:rsid w:val="003D7E81"/>
    <w:rsid w:val="003E19E1"/>
    <w:rsid w:val="003E3D81"/>
    <w:rsid w:val="003F33D5"/>
    <w:rsid w:val="003F3615"/>
    <w:rsid w:val="003F5322"/>
    <w:rsid w:val="00404C2D"/>
    <w:rsid w:val="00405890"/>
    <w:rsid w:val="00406B07"/>
    <w:rsid w:val="00412B2F"/>
    <w:rsid w:val="004146B8"/>
    <w:rsid w:val="004149B9"/>
    <w:rsid w:val="00416C42"/>
    <w:rsid w:val="0042072F"/>
    <w:rsid w:val="00425801"/>
    <w:rsid w:val="0042651B"/>
    <w:rsid w:val="004268A1"/>
    <w:rsid w:val="00427B40"/>
    <w:rsid w:val="00437218"/>
    <w:rsid w:val="004415E6"/>
    <w:rsid w:val="00443189"/>
    <w:rsid w:val="004443C8"/>
    <w:rsid w:val="0045208B"/>
    <w:rsid w:val="00453272"/>
    <w:rsid w:val="00455309"/>
    <w:rsid w:val="00456257"/>
    <w:rsid w:val="00456ED5"/>
    <w:rsid w:val="00457513"/>
    <w:rsid w:val="00461C42"/>
    <w:rsid w:val="004717F9"/>
    <w:rsid w:val="00480269"/>
    <w:rsid w:val="00483AE6"/>
    <w:rsid w:val="00484A9C"/>
    <w:rsid w:val="004A3AA2"/>
    <w:rsid w:val="004B6901"/>
    <w:rsid w:val="004C6F54"/>
    <w:rsid w:val="004C755B"/>
    <w:rsid w:val="004E11E5"/>
    <w:rsid w:val="004E2229"/>
    <w:rsid w:val="004E5099"/>
    <w:rsid w:val="004E6DD5"/>
    <w:rsid w:val="004F19DB"/>
    <w:rsid w:val="004F414B"/>
    <w:rsid w:val="004F4300"/>
    <w:rsid w:val="004F4834"/>
    <w:rsid w:val="004F4961"/>
    <w:rsid w:val="005009C8"/>
    <w:rsid w:val="00501399"/>
    <w:rsid w:val="00502A6F"/>
    <w:rsid w:val="00503798"/>
    <w:rsid w:val="00503EF3"/>
    <w:rsid w:val="005069E4"/>
    <w:rsid w:val="00513A91"/>
    <w:rsid w:val="00514411"/>
    <w:rsid w:val="0052067A"/>
    <w:rsid w:val="00522523"/>
    <w:rsid w:val="005300F5"/>
    <w:rsid w:val="005305E2"/>
    <w:rsid w:val="00530E18"/>
    <w:rsid w:val="00532349"/>
    <w:rsid w:val="00536D5B"/>
    <w:rsid w:val="00537A8B"/>
    <w:rsid w:val="00542A90"/>
    <w:rsid w:val="00542A95"/>
    <w:rsid w:val="005473FF"/>
    <w:rsid w:val="00555C6E"/>
    <w:rsid w:val="00556F83"/>
    <w:rsid w:val="00557AA2"/>
    <w:rsid w:val="00561E47"/>
    <w:rsid w:val="00561E90"/>
    <w:rsid w:val="00564354"/>
    <w:rsid w:val="00567817"/>
    <w:rsid w:val="0057278F"/>
    <w:rsid w:val="005759F7"/>
    <w:rsid w:val="00591474"/>
    <w:rsid w:val="005930A0"/>
    <w:rsid w:val="005932D5"/>
    <w:rsid w:val="005951B5"/>
    <w:rsid w:val="00595BB8"/>
    <w:rsid w:val="00597156"/>
    <w:rsid w:val="00597A64"/>
    <w:rsid w:val="005A66F2"/>
    <w:rsid w:val="005C5D58"/>
    <w:rsid w:val="005C6052"/>
    <w:rsid w:val="005D41DA"/>
    <w:rsid w:val="005D78D7"/>
    <w:rsid w:val="005D78DE"/>
    <w:rsid w:val="005E3D09"/>
    <w:rsid w:val="005E3E31"/>
    <w:rsid w:val="005E584D"/>
    <w:rsid w:val="005F02D4"/>
    <w:rsid w:val="005F111C"/>
    <w:rsid w:val="0060305E"/>
    <w:rsid w:val="00603897"/>
    <w:rsid w:val="00603EA1"/>
    <w:rsid w:val="00605B4E"/>
    <w:rsid w:val="006061F8"/>
    <w:rsid w:val="00607A35"/>
    <w:rsid w:val="006132B7"/>
    <w:rsid w:val="00613C4C"/>
    <w:rsid w:val="00615876"/>
    <w:rsid w:val="00623A00"/>
    <w:rsid w:val="00631A57"/>
    <w:rsid w:val="00642D61"/>
    <w:rsid w:val="00643DB4"/>
    <w:rsid w:val="006441F6"/>
    <w:rsid w:val="00653870"/>
    <w:rsid w:val="00655158"/>
    <w:rsid w:val="00661262"/>
    <w:rsid w:val="006716ED"/>
    <w:rsid w:val="006759F4"/>
    <w:rsid w:val="00684FCD"/>
    <w:rsid w:val="00686CFC"/>
    <w:rsid w:val="00691753"/>
    <w:rsid w:val="0069214C"/>
    <w:rsid w:val="00692437"/>
    <w:rsid w:val="00694BC0"/>
    <w:rsid w:val="0069566E"/>
    <w:rsid w:val="006A1557"/>
    <w:rsid w:val="006B1720"/>
    <w:rsid w:val="006B3DC2"/>
    <w:rsid w:val="006B4075"/>
    <w:rsid w:val="006B7E47"/>
    <w:rsid w:val="006C307B"/>
    <w:rsid w:val="006D1B5E"/>
    <w:rsid w:val="006D29EE"/>
    <w:rsid w:val="006E7F50"/>
    <w:rsid w:val="006F14E2"/>
    <w:rsid w:val="006F1852"/>
    <w:rsid w:val="006F3D60"/>
    <w:rsid w:val="006F6D3C"/>
    <w:rsid w:val="006F7568"/>
    <w:rsid w:val="00700100"/>
    <w:rsid w:val="007011F8"/>
    <w:rsid w:val="0070490E"/>
    <w:rsid w:val="007078E7"/>
    <w:rsid w:val="00712564"/>
    <w:rsid w:val="007238D1"/>
    <w:rsid w:val="007252E1"/>
    <w:rsid w:val="007256F0"/>
    <w:rsid w:val="00735267"/>
    <w:rsid w:val="0074058A"/>
    <w:rsid w:val="00740977"/>
    <w:rsid w:val="0074222C"/>
    <w:rsid w:val="007430C3"/>
    <w:rsid w:val="00744EAB"/>
    <w:rsid w:val="00750BF2"/>
    <w:rsid w:val="007553D5"/>
    <w:rsid w:val="007579CD"/>
    <w:rsid w:val="00763DD7"/>
    <w:rsid w:val="00772533"/>
    <w:rsid w:val="00774987"/>
    <w:rsid w:val="007769C0"/>
    <w:rsid w:val="0077764E"/>
    <w:rsid w:val="00777B6A"/>
    <w:rsid w:val="007802B9"/>
    <w:rsid w:val="00780EC6"/>
    <w:rsid w:val="0078320D"/>
    <w:rsid w:val="007838D4"/>
    <w:rsid w:val="007864FD"/>
    <w:rsid w:val="00790762"/>
    <w:rsid w:val="007946CF"/>
    <w:rsid w:val="00794FF0"/>
    <w:rsid w:val="00796B8F"/>
    <w:rsid w:val="007A2D51"/>
    <w:rsid w:val="007A35A6"/>
    <w:rsid w:val="007A4536"/>
    <w:rsid w:val="007A5F9C"/>
    <w:rsid w:val="007A6984"/>
    <w:rsid w:val="007A6C9B"/>
    <w:rsid w:val="007B3586"/>
    <w:rsid w:val="007B45A2"/>
    <w:rsid w:val="007B6995"/>
    <w:rsid w:val="007B7750"/>
    <w:rsid w:val="007C01ED"/>
    <w:rsid w:val="007C0834"/>
    <w:rsid w:val="007C15E4"/>
    <w:rsid w:val="007C7CEB"/>
    <w:rsid w:val="007D3616"/>
    <w:rsid w:val="007D3A40"/>
    <w:rsid w:val="007D58D5"/>
    <w:rsid w:val="007E2A01"/>
    <w:rsid w:val="007E6CD1"/>
    <w:rsid w:val="007F234E"/>
    <w:rsid w:val="007F2DA4"/>
    <w:rsid w:val="007F43D5"/>
    <w:rsid w:val="00805FE0"/>
    <w:rsid w:val="00807454"/>
    <w:rsid w:val="00807479"/>
    <w:rsid w:val="008103A2"/>
    <w:rsid w:val="008115ED"/>
    <w:rsid w:val="00820216"/>
    <w:rsid w:val="00823F7C"/>
    <w:rsid w:val="00824037"/>
    <w:rsid w:val="00824CC4"/>
    <w:rsid w:val="00832D17"/>
    <w:rsid w:val="00834798"/>
    <w:rsid w:val="0083715A"/>
    <w:rsid w:val="00840BFE"/>
    <w:rsid w:val="00844DBE"/>
    <w:rsid w:val="0084572B"/>
    <w:rsid w:val="0084726D"/>
    <w:rsid w:val="00852D7C"/>
    <w:rsid w:val="00857A8E"/>
    <w:rsid w:val="00861CFC"/>
    <w:rsid w:val="00864634"/>
    <w:rsid w:val="00864B13"/>
    <w:rsid w:val="00864C87"/>
    <w:rsid w:val="0086535B"/>
    <w:rsid w:val="0087097B"/>
    <w:rsid w:val="0087097D"/>
    <w:rsid w:val="00873A61"/>
    <w:rsid w:val="008779E7"/>
    <w:rsid w:val="0088073B"/>
    <w:rsid w:val="00883A52"/>
    <w:rsid w:val="00887864"/>
    <w:rsid w:val="00892A58"/>
    <w:rsid w:val="00892D16"/>
    <w:rsid w:val="008A0553"/>
    <w:rsid w:val="008A380A"/>
    <w:rsid w:val="008A5FAA"/>
    <w:rsid w:val="008A7736"/>
    <w:rsid w:val="008A7971"/>
    <w:rsid w:val="008B1189"/>
    <w:rsid w:val="008B75D8"/>
    <w:rsid w:val="008B7865"/>
    <w:rsid w:val="008C2072"/>
    <w:rsid w:val="008C2139"/>
    <w:rsid w:val="008C4197"/>
    <w:rsid w:val="008C663D"/>
    <w:rsid w:val="008D19A9"/>
    <w:rsid w:val="008D4BC0"/>
    <w:rsid w:val="008D50A1"/>
    <w:rsid w:val="008E0B8E"/>
    <w:rsid w:val="008E127C"/>
    <w:rsid w:val="008F3CF7"/>
    <w:rsid w:val="008F4E4D"/>
    <w:rsid w:val="008F57BD"/>
    <w:rsid w:val="008F7711"/>
    <w:rsid w:val="008F7B6C"/>
    <w:rsid w:val="00903DA7"/>
    <w:rsid w:val="00905C44"/>
    <w:rsid w:val="00912B9B"/>
    <w:rsid w:val="00914159"/>
    <w:rsid w:val="0091490E"/>
    <w:rsid w:val="009214DC"/>
    <w:rsid w:val="00926506"/>
    <w:rsid w:val="00926524"/>
    <w:rsid w:val="0092754C"/>
    <w:rsid w:val="0093165C"/>
    <w:rsid w:val="00932534"/>
    <w:rsid w:val="009377DB"/>
    <w:rsid w:val="009408D7"/>
    <w:rsid w:val="009408ED"/>
    <w:rsid w:val="009501EF"/>
    <w:rsid w:val="009511C7"/>
    <w:rsid w:val="00960CC2"/>
    <w:rsid w:val="009646EB"/>
    <w:rsid w:val="00965EE2"/>
    <w:rsid w:val="00966A3D"/>
    <w:rsid w:val="009710F7"/>
    <w:rsid w:val="009744CB"/>
    <w:rsid w:val="00975773"/>
    <w:rsid w:val="0098143E"/>
    <w:rsid w:val="00984058"/>
    <w:rsid w:val="00985139"/>
    <w:rsid w:val="00985244"/>
    <w:rsid w:val="009869AC"/>
    <w:rsid w:val="0099267C"/>
    <w:rsid w:val="00992A4A"/>
    <w:rsid w:val="00994D23"/>
    <w:rsid w:val="009951F5"/>
    <w:rsid w:val="009A3297"/>
    <w:rsid w:val="009A4427"/>
    <w:rsid w:val="009B1D4D"/>
    <w:rsid w:val="009B2B27"/>
    <w:rsid w:val="009B5DD7"/>
    <w:rsid w:val="009B6086"/>
    <w:rsid w:val="009C6B0D"/>
    <w:rsid w:val="009D2842"/>
    <w:rsid w:val="009E14EC"/>
    <w:rsid w:val="009E6FBE"/>
    <w:rsid w:val="009F03EC"/>
    <w:rsid w:val="009F4C81"/>
    <w:rsid w:val="009F543F"/>
    <w:rsid w:val="00A0222C"/>
    <w:rsid w:val="00A0243D"/>
    <w:rsid w:val="00A02B94"/>
    <w:rsid w:val="00A05ABD"/>
    <w:rsid w:val="00A05BBC"/>
    <w:rsid w:val="00A05F58"/>
    <w:rsid w:val="00A064F7"/>
    <w:rsid w:val="00A07679"/>
    <w:rsid w:val="00A11C73"/>
    <w:rsid w:val="00A1378B"/>
    <w:rsid w:val="00A1628B"/>
    <w:rsid w:val="00A21938"/>
    <w:rsid w:val="00A23A4A"/>
    <w:rsid w:val="00A25176"/>
    <w:rsid w:val="00A26CF1"/>
    <w:rsid w:val="00A27B61"/>
    <w:rsid w:val="00A300FD"/>
    <w:rsid w:val="00A34246"/>
    <w:rsid w:val="00A365C1"/>
    <w:rsid w:val="00A41BF4"/>
    <w:rsid w:val="00A4447F"/>
    <w:rsid w:val="00A468A0"/>
    <w:rsid w:val="00A46D31"/>
    <w:rsid w:val="00A51630"/>
    <w:rsid w:val="00A51B3F"/>
    <w:rsid w:val="00A70219"/>
    <w:rsid w:val="00A72B23"/>
    <w:rsid w:val="00A72F2E"/>
    <w:rsid w:val="00A730AE"/>
    <w:rsid w:val="00A75266"/>
    <w:rsid w:val="00A76B24"/>
    <w:rsid w:val="00A800AF"/>
    <w:rsid w:val="00A817F5"/>
    <w:rsid w:val="00A92AC9"/>
    <w:rsid w:val="00A9385D"/>
    <w:rsid w:val="00A93F31"/>
    <w:rsid w:val="00A9458A"/>
    <w:rsid w:val="00A96F9D"/>
    <w:rsid w:val="00AA0804"/>
    <w:rsid w:val="00AA209F"/>
    <w:rsid w:val="00AA3164"/>
    <w:rsid w:val="00AA3FF0"/>
    <w:rsid w:val="00AB300B"/>
    <w:rsid w:val="00AB3267"/>
    <w:rsid w:val="00AB37B1"/>
    <w:rsid w:val="00AB5E34"/>
    <w:rsid w:val="00AC60AD"/>
    <w:rsid w:val="00AD2C2C"/>
    <w:rsid w:val="00AD36B8"/>
    <w:rsid w:val="00AD62AD"/>
    <w:rsid w:val="00AE4540"/>
    <w:rsid w:val="00AE4F1C"/>
    <w:rsid w:val="00AE6145"/>
    <w:rsid w:val="00AF114B"/>
    <w:rsid w:val="00AF3930"/>
    <w:rsid w:val="00AF4FD7"/>
    <w:rsid w:val="00B01C0B"/>
    <w:rsid w:val="00B035C6"/>
    <w:rsid w:val="00B10727"/>
    <w:rsid w:val="00B14B98"/>
    <w:rsid w:val="00B1508C"/>
    <w:rsid w:val="00B20B43"/>
    <w:rsid w:val="00B41D2F"/>
    <w:rsid w:val="00B42CD4"/>
    <w:rsid w:val="00B45C0E"/>
    <w:rsid w:val="00B50BAA"/>
    <w:rsid w:val="00B53552"/>
    <w:rsid w:val="00B54771"/>
    <w:rsid w:val="00B63CE8"/>
    <w:rsid w:val="00B652F9"/>
    <w:rsid w:val="00B67276"/>
    <w:rsid w:val="00B77F76"/>
    <w:rsid w:val="00B862DD"/>
    <w:rsid w:val="00B8798E"/>
    <w:rsid w:val="00B91B02"/>
    <w:rsid w:val="00B969C4"/>
    <w:rsid w:val="00BA18FB"/>
    <w:rsid w:val="00BA2C54"/>
    <w:rsid w:val="00BA3487"/>
    <w:rsid w:val="00BA655D"/>
    <w:rsid w:val="00BA6EFA"/>
    <w:rsid w:val="00BB5A01"/>
    <w:rsid w:val="00BB6812"/>
    <w:rsid w:val="00BB6A33"/>
    <w:rsid w:val="00BC5DB3"/>
    <w:rsid w:val="00BC7104"/>
    <w:rsid w:val="00BD0D49"/>
    <w:rsid w:val="00BD16F8"/>
    <w:rsid w:val="00BD1E20"/>
    <w:rsid w:val="00BD5B17"/>
    <w:rsid w:val="00BE56E6"/>
    <w:rsid w:val="00BE5BB7"/>
    <w:rsid w:val="00BE6618"/>
    <w:rsid w:val="00BF2454"/>
    <w:rsid w:val="00BF532F"/>
    <w:rsid w:val="00C13320"/>
    <w:rsid w:val="00C16928"/>
    <w:rsid w:val="00C173F7"/>
    <w:rsid w:val="00C227A7"/>
    <w:rsid w:val="00C248EC"/>
    <w:rsid w:val="00C320E9"/>
    <w:rsid w:val="00C33E98"/>
    <w:rsid w:val="00C36803"/>
    <w:rsid w:val="00C46507"/>
    <w:rsid w:val="00C60879"/>
    <w:rsid w:val="00C61146"/>
    <w:rsid w:val="00C9361F"/>
    <w:rsid w:val="00C958B0"/>
    <w:rsid w:val="00CA0E25"/>
    <w:rsid w:val="00CB3E6F"/>
    <w:rsid w:val="00CB7147"/>
    <w:rsid w:val="00CC0620"/>
    <w:rsid w:val="00CC2980"/>
    <w:rsid w:val="00CC2BEB"/>
    <w:rsid w:val="00CC5AE2"/>
    <w:rsid w:val="00CC6658"/>
    <w:rsid w:val="00CD3FC8"/>
    <w:rsid w:val="00CD6AB2"/>
    <w:rsid w:val="00CD6BCC"/>
    <w:rsid w:val="00CE0453"/>
    <w:rsid w:val="00CE62B5"/>
    <w:rsid w:val="00D07220"/>
    <w:rsid w:val="00D1033E"/>
    <w:rsid w:val="00D1096C"/>
    <w:rsid w:val="00D128F2"/>
    <w:rsid w:val="00D144CF"/>
    <w:rsid w:val="00D14B80"/>
    <w:rsid w:val="00D1584D"/>
    <w:rsid w:val="00D2337C"/>
    <w:rsid w:val="00D23DF3"/>
    <w:rsid w:val="00D25DE8"/>
    <w:rsid w:val="00D26499"/>
    <w:rsid w:val="00D2729E"/>
    <w:rsid w:val="00D3098B"/>
    <w:rsid w:val="00D33711"/>
    <w:rsid w:val="00D34F8E"/>
    <w:rsid w:val="00D41899"/>
    <w:rsid w:val="00D52967"/>
    <w:rsid w:val="00D53A47"/>
    <w:rsid w:val="00D7386D"/>
    <w:rsid w:val="00D76CFE"/>
    <w:rsid w:val="00D852B0"/>
    <w:rsid w:val="00D8790E"/>
    <w:rsid w:val="00D9104A"/>
    <w:rsid w:val="00D929FB"/>
    <w:rsid w:val="00D95367"/>
    <w:rsid w:val="00DA13F9"/>
    <w:rsid w:val="00DA1E15"/>
    <w:rsid w:val="00DA1FD5"/>
    <w:rsid w:val="00DA67EE"/>
    <w:rsid w:val="00DB7B8D"/>
    <w:rsid w:val="00DB7C67"/>
    <w:rsid w:val="00DC3227"/>
    <w:rsid w:val="00DD3996"/>
    <w:rsid w:val="00DD3CBA"/>
    <w:rsid w:val="00DE11E0"/>
    <w:rsid w:val="00DE2FF6"/>
    <w:rsid w:val="00DE4D22"/>
    <w:rsid w:val="00DF03A0"/>
    <w:rsid w:val="00DF4522"/>
    <w:rsid w:val="00DF603C"/>
    <w:rsid w:val="00DF6A47"/>
    <w:rsid w:val="00E028DE"/>
    <w:rsid w:val="00E04F5B"/>
    <w:rsid w:val="00E15DA7"/>
    <w:rsid w:val="00E20775"/>
    <w:rsid w:val="00E21840"/>
    <w:rsid w:val="00E23737"/>
    <w:rsid w:val="00E26927"/>
    <w:rsid w:val="00E27489"/>
    <w:rsid w:val="00E312D3"/>
    <w:rsid w:val="00E31D74"/>
    <w:rsid w:val="00E33B01"/>
    <w:rsid w:val="00E36A0D"/>
    <w:rsid w:val="00E4408E"/>
    <w:rsid w:val="00E542B9"/>
    <w:rsid w:val="00E55964"/>
    <w:rsid w:val="00E60A9C"/>
    <w:rsid w:val="00E646B5"/>
    <w:rsid w:val="00E6587D"/>
    <w:rsid w:val="00E65C1D"/>
    <w:rsid w:val="00E667D0"/>
    <w:rsid w:val="00E67A50"/>
    <w:rsid w:val="00E70691"/>
    <w:rsid w:val="00E72146"/>
    <w:rsid w:val="00E7275E"/>
    <w:rsid w:val="00E770C9"/>
    <w:rsid w:val="00E81694"/>
    <w:rsid w:val="00E82D4D"/>
    <w:rsid w:val="00E8683A"/>
    <w:rsid w:val="00E87003"/>
    <w:rsid w:val="00E93B7C"/>
    <w:rsid w:val="00E97CD1"/>
    <w:rsid w:val="00EA1BA8"/>
    <w:rsid w:val="00EA2CD7"/>
    <w:rsid w:val="00EA3033"/>
    <w:rsid w:val="00EB0CC0"/>
    <w:rsid w:val="00EB19AA"/>
    <w:rsid w:val="00EB567F"/>
    <w:rsid w:val="00EB6191"/>
    <w:rsid w:val="00EC50D5"/>
    <w:rsid w:val="00EC5997"/>
    <w:rsid w:val="00EC659E"/>
    <w:rsid w:val="00ED186B"/>
    <w:rsid w:val="00ED1AE6"/>
    <w:rsid w:val="00ED1F73"/>
    <w:rsid w:val="00ED5D87"/>
    <w:rsid w:val="00EE08F9"/>
    <w:rsid w:val="00EE4E1C"/>
    <w:rsid w:val="00EE66F9"/>
    <w:rsid w:val="00EF23E2"/>
    <w:rsid w:val="00EF3E6F"/>
    <w:rsid w:val="00EF4F97"/>
    <w:rsid w:val="00EF64F2"/>
    <w:rsid w:val="00EF6D82"/>
    <w:rsid w:val="00F00215"/>
    <w:rsid w:val="00F0434C"/>
    <w:rsid w:val="00F06908"/>
    <w:rsid w:val="00F06CF2"/>
    <w:rsid w:val="00F11AC9"/>
    <w:rsid w:val="00F138DB"/>
    <w:rsid w:val="00F14561"/>
    <w:rsid w:val="00F15DC1"/>
    <w:rsid w:val="00F23F1F"/>
    <w:rsid w:val="00F2649F"/>
    <w:rsid w:val="00F36E32"/>
    <w:rsid w:val="00F408F7"/>
    <w:rsid w:val="00F42FB6"/>
    <w:rsid w:val="00F457E0"/>
    <w:rsid w:val="00F47241"/>
    <w:rsid w:val="00F51AC8"/>
    <w:rsid w:val="00F51B67"/>
    <w:rsid w:val="00F5263D"/>
    <w:rsid w:val="00F5389B"/>
    <w:rsid w:val="00F5685E"/>
    <w:rsid w:val="00F6057C"/>
    <w:rsid w:val="00F630EA"/>
    <w:rsid w:val="00F71218"/>
    <w:rsid w:val="00F715D4"/>
    <w:rsid w:val="00F75F5F"/>
    <w:rsid w:val="00F76B5D"/>
    <w:rsid w:val="00F76C0C"/>
    <w:rsid w:val="00F76CBC"/>
    <w:rsid w:val="00F8327E"/>
    <w:rsid w:val="00F922C9"/>
    <w:rsid w:val="00F94278"/>
    <w:rsid w:val="00F9622F"/>
    <w:rsid w:val="00FA0D2E"/>
    <w:rsid w:val="00FA51C3"/>
    <w:rsid w:val="00FA55A0"/>
    <w:rsid w:val="00FB2271"/>
    <w:rsid w:val="00FB3FAA"/>
    <w:rsid w:val="00FB5A13"/>
    <w:rsid w:val="00FB61B4"/>
    <w:rsid w:val="00FC08E9"/>
    <w:rsid w:val="00FC2AEC"/>
    <w:rsid w:val="00FD2B89"/>
    <w:rsid w:val="00FD4BBF"/>
    <w:rsid w:val="00FD50F2"/>
    <w:rsid w:val="00FD6CBB"/>
    <w:rsid w:val="00FE324C"/>
    <w:rsid w:val="00FE5353"/>
    <w:rsid w:val="00FE5AC9"/>
    <w:rsid w:val="00FF18C1"/>
    <w:rsid w:val="00FF7195"/>
    <w:rsid w:val="03DFFDB7"/>
    <w:rsid w:val="0552EA42"/>
    <w:rsid w:val="098D916F"/>
    <w:rsid w:val="0A5B0879"/>
    <w:rsid w:val="0C5D824F"/>
    <w:rsid w:val="0CCCE8FE"/>
    <w:rsid w:val="109006A7"/>
    <w:rsid w:val="12FDBCC4"/>
    <w:rsid w:val="14765089"/>
    <w:rsid w:val="168077ED"/>
    <w:rsid w:val="18764D32"/>
    <w:rsid w:val="1983D332"/>
    <w:rsid w:val="1A0C02B1"/>
    <w:rsid w:val="1C70A34A"/>
    <w:rsid w:val="1CE708C3"/>
    <w:rsid w:val="1E4A7C63"/>
    <w:rsid w:val="21EC884B"/>
    <w:rsid w:val="243001C2"/>
    <w:rsid w:val="257FFFCD"/>
    <w:rsid w:val="2623898C"/>
    <w:rsid w:val="26704BDE"/>
    <w:rsid w:val="26FCCD54"/>
    <w:rsid w:val="2B7F9AAA"/>
    <w:rsid w:val="2D35245C"/>
    <w:rsid w:val="2EBB13AC"/>
    <w:rsid w:val="2F0BB63B"/>
    <w:rsid w:val="2F118A00"/>
    <w:rsid w:val="2F548DDB"/>
    <w:rsid w:val="2F835A24"/>
    <w:rsid w:val="31851C7B"/>
    <w:rsid w:val="320A7283"/>
    <w:rsid w:val="33BAD808"/>
    <w:rsid w:val="34AE6003"/>
    <w:rsid w:val="35F2582C"/>
    <w:rsid w:val="37632D46"/>
    <w:rsid w:val="38145624"/>
    <w:rsid w:val="382EFB62"/>
    <w:rsid w:val="3A15418C"/>
    <w:rsid w:val="3A87B3C5"/>
    <w:rsid w:val="3B74319A"/>
    <w:rsid w:val="3BA9C4FD"/>
    <w:rsid w:val="3C46A05F"/>
    <w:rsid w:val="420CA25F"/>
    <w:rsid w:val="422D9739"/>
    <w:rsid w:val="423E32BA"/>
    <w:rsid w:val="42BA8BA0"/>
    <w:rsid w:val="4370396D"/>
    <w:rsid w:val="437E9E9B"/>
    <w:rsid w:val="441C3B10"/>
    <w:rsid w:val="44557CF9"/>
    <w:rsid w:val="451F997E"/>
    <w:rsid w:val="463177D9"/>
    <w:rsid w:val="467F1C23"/>
    <w:rsid w:val="47D6B15E"/>
    <w:rsid w:val="4997AAB0"/>
    <w:rsid w:val="4A866A6D"/>
    <w:rsid w:val="4AA73711"/>
    <w:rsid w:val="4E819B09"/>
    <w:rsid w:val="4FA85671"/>
    <w:rsid w:val="5028AB0F"/>
    <w:rsid w:val="510A596B"/>
    <w:rsid w:val="52DD2AB2"/>
    <w:rsid w:val="5359CDFC"/>
    <w:rsid w:val="53FD88DE"/>
    <w:rsid w:val="541DFD93"/>
    <w:rsid w:val="55E4B3D3"/>
    <w:rsid w:val="5623BF4B"/>
    <w:rsid w:val="57916A3D"/>
    <w:rsid w:val="58933BBD"/>
    <w:rsid w:val="59AAABB1"/>
    <w:rsid w:val="5B69D700"/>
    <w:rsid w:val="5C1E3824"/>
    <w:rsid w:val="5C55BD3D"/>
    <w:rsid w:val="5CCEC667"/>
    <w:rsid w:val="5D457BBE"/>
    <w:rsid w:val="5DA6B151"/>
    <w:rsid w:val="5DBB4745"/>
    <w:rsid w:val="5E6CAB85"/>
    <w:rsid w:val="60F1619F"/>
    <w:rsid w:val="6183EF89"/>
    <w:rsid w:val="665D07F4"/>
    <w:rsid w:val="6842F781"/>
    <w:rsid w:val="6C406B15"/>
    <w:rsid w:val="6D25F799"/>
    <w:rsid w:val="6DD3386F"/>
    <w:rsid w:val="70C7AB9A"/>
    <w:rsid w:val="712922B7"/>
    <w:rsid w:val="7276F15F"/>
    <w:rsid w:val="72E22658"/>
    <w:rsid w:val="74102C82"/>
    <w:rsid w:val="761B6E6F"/>
    <w:rsid w:val="779B40D2"/>
    <w:rsid w:val="7818EAF4"/>
    <w:rsid w:val="786D73D8"/>
    <w:rsid w:val="7B7FDA77"/>
    <w:rsid w:val="7CD0D413"/>
    <w:rsid w:val="7D970F7B"/>
    <w:rsid w:val="7FCBF09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B9B8D"/>
  <w15:docId w15:val="{F9D7B0BB-C4FC-4940-A293-B38A2A45E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ind w:left="57" w:right="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26E"/>
    <w:pPr>
      <w:ind w:left="720"/>
      <w:contextualSpacing/>
    </w:pPr>
  </w:style>
  <w:style w:type="paragraph" w:styleId="Header">
    <w:name w:val="header"/>
    <w:basedOn w:val="Normal"/>
    <w:link w:val="HeaderChar"/>
    <w:rsid w:val="002B626E"/>
    <w:pPr>
      <w:widowControl w:val="0"/>
      <w:tabs>
        <w:tab w:val="center" w:pos="4844"/>
        <w:tab w:val="right" w:pos="9689"/>
      </w:tabs>
      <w:autoSpaceDE w:val="0"/>
      <w:autoSpaceDN w:val="0"/>
      <w:adjustRightInd w:val="0"/>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B626E"/>
    <w:rPr>
      <w:rFonts w:ascii="Times New Roman" w:eastAsia="Times New Roman" w:hAnsi="Times New Roman" w:cs="Times New Roman"/>
      <w:sz w:val="20"/>
      <w:szCs w:val="20"/>
    </w:rPr>
  </w:style>
  <w:style w:type="paragraph" w:styleId="NormalWeb">
    <w:name w:val="Normal (Web)"/>
    <w:basedOn w:val="Normal"/>
    <w:uiPriority w:val="99"/>
    <w:unhideWhenUsed/>
    <w:rsid w:val="00A800AF"/>
    <w:pPr>
      <w:spacing w:before="100" w:beforeAutospacing="1" w:after="119"/>
    </w:pPr>
    <w:rPr>
      <w:rFonts w:ascii="Times New Roman" w:eastAsia="Times New Roman" w:hAnsi="Times New Roman" w:cs="Times New Roman"/>
      <w:sz w:val="24"/>
      <w:szCs w:val="24"/>
    </w:rPr>
  </w:style>
  <w:style w:type="paragraph" w:customStyle="1" w:styleId="Default">
    <w:name w:val="Default"/>
    <w:rsid w:val="00A34246"/>
    <w:pPr>
      <w:autoSpaceDE w:val="0"/>
      <w:autoSpaceDN w:val="0"/>
      <w:adjustRightInd w:val="0"/>
    </w:pPr>
    <w:rPr>
      <w:rFonts w:ascii="Times New Roman" w:hAnsi="Times New Roman" w:cs="Times New Roman"/>
      <w:color w:val="000000"/>
      <w:sz w:val="24"/>
      <w:szCs w:val="24"/>
      <w:lang w:val="en-US"/>
    </w:rPr>
  </w:style>
  <w:style w:type="paragraph" w:styleId="Footer">
    <w:name w:val="footer"/>
    <w:basedOn w:val="Normal"/>
    <w:link w:val="FooterChar"/>
    <w:uiPriority w:val="99"/>
    <w:unhideWhenUsed/>
    <w:rsid w:val="009408ED"/>
    <w:pPr>
      <w:tabs>
        <w:tab w:val="center" w:pos="4819"/>
        <w:tab w:val="right" w:pos="9638"/>
      </w:tabs>
    </w:pPr>
  </w:style>
  <w:style w:type="character" w:customStyle="1" w:styleId="FooterChar">
    <w:name w:val="Footer Char"/>
    <w:basedOn w:val="DefaultParagraphFont"/>
    <w:link w:val="Footer"/>
    <w:uiPriority w:val="99"/>
    <w:rsid w:val="009408ED"/>
  </w:style>
  <w:style w:type="character" w:customStyle="1" w:styleId="apple-converted-space">
    <w:name w:val="apple-converted-space"/>
    <w:basedOn w:val="DefaultParagraphFont"/>
    <w:rsid w:val="0084726D"/>
  </w:style>
  <w:style w:type="paragraph" w:customStyle="1" w:styleId="TableParagraph">
    <w:name w:val="Table Paragraph"/>
    <w:basedOn w:val="Normal"/>
    <w:uiPriority w:val="1"/>
    <w:qFormat/>
    <w:rsid w:val="00597156"/>
    <w:pPr>
      <w:widowControl w:val="0"/>
      <w:autoSpaceDE w:val="0"/>
      <w:autoSpaceDN w:val="0"/>
      <w:spacing w:before="1"/>
      <w:ind w:left="107"/>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19841">
      <w:bodyDiv w:val="1"/>
      <w:marLeft w:val="0"/>
      <w:marRight w:val="0"/>
      <w:marTop w:val="0"/>
      <w:marBottom w:val="0"/>
      <w:divBdr>
        <w:top w:val="none" w:sz="0" w:space="0" w:color="auto"/>
        <w:left w:val="none" w:sz="0" w:space="0" w:color="auto"/>
        <w:bottom w:val="none" w:sz="0" w:space="0" w:color="auto"/>
        <w:right w:val="none" w:sz="0" w:space="0" w:color="auto"/>
      </w:divBdr>
    </w:div>
    <w:div w:id="298583146">
      <w:bodyDiv w:val="1"/>
      <w:marLeft w:val="0"/>
      <w:marRight w:val="0"/>
      <w:marTop w:val="0"/>
      <w:marBottom w:val="0"/>
      <w:divBdr>
        <w:top w:val="none" w:sz="0" w:space="0" w:color="auto"/>
        <w:left w:val="none" w:sz="0" w:space="0" w:color="auto"/>
        <w:bottom w:val="none" w:sz="0" w:space="0" w:color="auto"/>
        <w:right w:val="none" w:sz="0" w:space="0" w:color="auto"/>
      </w:divBdr>
    </w:div>
    <w:div w:id="372047922">
      <w:bodyDiv w:val="1"/>
      <w:marLeft w:val="0"/>
      <w:marRight w:val="0"/>
      <w:marTop w:val="0"/>
      <w:marBottom w:val="0"/>
      <w:divBdr>
        <w:top w:val="none" w:sz="0" w:space="0" w:color="auto"/>
        <w:left w:val="none" w:sz="0" w:space="0" w:color="auto"/>
        <w:bottom w:val="none" w:sz="0" w:space="0" w:color="auto"/>
        <w:right w:val="none" w:sz="0" w:space="0" w:color="auto"/>
      </w:divBdr>
    </w:div>
    <w:div w:id="114381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D43A8-7106-4557-95FC-2FDDDE82F229}">
  <ds:schemaRefs>
    <ds:schemaRef ds:uri="http://schemas.microsoft.com/sharepoint/v3/contenttype/forms"/>
  </ds:schemaRefs>
</ds:datastoreItem>
</file>

<file path=customXml/itemProps2.xml><?xml version="1.0" encoding="utf-8"?>
<ds:datastoreItem xmlns:ds="http://schemas.openxmlformats.org/officeDocument/2006/customXml" ds:itemID="{7F3F6D1C-D53D-4BDD-ADF5-F13D8E2B99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193061-D15A-4746-BB29-55F2D43A9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624256B-9277-427A-B40B-18743C1C5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13843</Words>
  <Characters>7892</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dc:creator>
  <cp:lastModifiedBy>Monika Vaitkevičiūtė</cp:lastModifiedBy>
  <cp:revision>3</cp:revision>
  <cp:lastPrinted>2016-06-23T07:27:00Z</cp:lastPrinted>
  <dcterms:created xsi:type="dcterms:W3CDTF">2026-06-09T05:25:00Z</dcterms:created>
  <dcterms:modified xsi:type="dcterms:W3CDTF">2026-06-09T05:25:00Z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y fmtid="{D5CDD505-2E9C-101B-9397-08002B2CF9AE}" pid="3" name="GrammarlyDocumentId">
    <vt:lpwstr>22ee90ce-c2ec-4033-bc7b-502a7455da27</vt:lpwstr>
  </property>
</Properties>
</file>