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66BC" w14:textId="591AE9FD" w:rsidR="007D6157" w:rsidRDefault="007D6157" w:rsidP="007D6157">
      <w:pPr>
        <w:pStyle w:val="Subtitle"/>
        <w:spacing w:before="60" w:after="60"/>
        <w:jc w:val="right"/>
      </w:pPr>
      <w:proofErr w:type="spellStart"/>
      <w:r>
        <w:t>Priedas</w:t>
      </w:r>
      <w:proofErr w:type="spellEnd"/>
      <w:r>
        <w:t xml:space="preserve"> Nr. 2</w:t>
      </w:r>
    </w:p>
    <w:p w14:paraId="2C2D80A4" w14:textId="0316E316" w:rsidR="007D6157" w:rsidRPr="007D6157" w:rsidRDefault="007D6157" w:rsidP="007D6157">
      <w:pPr>
        <w:pStyle w:val="Subtitle"/>
        <w:spacing w:before="60" w:after="60"/>
        <w:jc w:val="center"/>
      </w:pPr>
      <w:proofErr w:type="spellStart"/>
      <w:r w:rsidRPr="007D6157">
        <w:t>Herbas</w:t>
      </w:r>
      <w:proofErr w:type="spellEnd"/>
      <w:r w:rsidRPr="007D6157">
        <w:t xml:space="preserve"> </w:t>
      </w:r>
      <w:proofErr w:type="spellStart"/>
      <w:r w:rsidRPr="007D6157">
        <w:t>arba</w:t>
      </w:r>
      <w:proofErr w:type="spellEnd"/>
      <w:r w:rsidRPr="007D6157">
        <w:t xml:space="preserve"> </w:t>
      </w:r>
      <w:proofErr w:type="spellStart"/>
      <w:r w:rsidRPr="007D6157">
        <w:t>prekių</w:t>
      </w:r>
      <w:proofErr w:type="spellEnd"/>
      <w:r w:rsidRPr="007D6157">
        <w:t xml:space="preserve"> </w:t>
      </w:r>
      <w:proofErr w:type="spellStart"/>
      <w:r w:rsidRPr="007D6157">
        <w:t>ženklas</w:t>
      </w:r>
      <w:proofErr w:type="spellEnd"/>
    </w:p>
    <w:p w14:paraId="68ACCB53" w14:textId="77777777" w:rsidR="007D6157" w:rsidRPr="007D6157" w:rsidRDefault="007D6157" w:rsidP="007D6157">
      <w:pPr>
        <w:pStyle w:val="Subtitle"/>
        <w:spacing w:before="60" w:after="60"/>
        <w:jc w:val="center"/>
      </w:pPr>
      <w:r w:rsidRPr="007D6157">
        <w:t>(</w:t>
      </w:r>
      <w:proofErr w:type="spellStart"/>
      <w:r w:rsidRPr="007D6157">
        <w:t>Tiekėjo</w:t>
      </w:r>
      <w:proofErr w:type="spellEnd"/>
      <w:r w:rsidRPr="007D6157">
        <w:t xml:space="preserve"> </w:t>
      </w:r>
      <w:proofErr w:type="spellStart"/>
      <w:r w:rsidRPr="007D6157">
        <w:t>pavadinimas</w:t>
      </w:r>
      <w:proofErr w:type="spellEnd"/>
      <w:r w:rsidRPr="007D6157">
        <w:t>)</w:t>
      </w:r>
    </w:p>
    <w:p w14:paraId="48010E63" w14:textId="77777777" w:rsidR="007D6157" w:rsidRPr="007D6157" w:rsidRDefault="007D6157" w:rsidP="007D6157">
      <w:pPr>
        <w:pStyle w:val="Subtitle"/>
        <w:spacing w:before="60" w:after="60"/>
        <w:jc w:val="center"/>
      </w:pPr>
    </w:p>
    <w:p w14:paraId="6B91C0A2" w14:textId="77777777" w:rsidR="007D6157" w:rsidRPr="007D6157" w:rsidRDefault="007D6157" w:rsidP="007D6157">
      <w:pPr>
        <w:pStyle w:val="Subtitle"/>
        <w:spacing w:before="60" w:after="60"/>
      </w:pPr>
      <w:r w:rsidRPr="007D6157">
        <w:t>(</w:t>
      </w:r>
      <w:proofErr w:type="spellStart"/>
      <w:r w:rsidRPr="007D6157">
        <w:t>Juridinio</w:t>
      </w:r>
      <w:proofErr w:type="spellEnd"/>
      <w:r w:rsidRPr="007D6157">
        <w:t xml:space="preserve"> </w:t>
      </w:r>
      <w:proofErr w:type="spellStart"/>
      <w:r w:rsidRPr="007D6157">
        <w:t>asmens</w:t>
      </w:r>
      <w:proofErr w:type="spellEnd"/>
      <w:r w:rsidRPr="007D6157">
        <w:t xml:space="preserve"> </w:t>
      </w:r>
      <w:proofErr w:type="spellStart"/>
      <w:r w:rsidRPr="007D6157">
        <w:t>teisinė</w:t>
      </w:r>
      <w:proofErr w:type="spellEnd"/>
      <w:r w:rsidRPr="007D6157">
        <w:t xml:space="preserve"> forma, </w:t>
      </w:r>
      <w:proofErr w:type="spellStart"/>
      <w:r w:rsidRPr="007D6157">
        <w:t>buveinė</w:t>
      </w:r>
      <w:proofErr w:type="spellEnd"/>
      <w:r w:rsidRPr="007D6157">
        <w:t xml:space="preserve">, </w:t>
      </w:r>
      <w:proofErr w:type="spellStart"/>
      <w:r w:rsidRPr="007D6157">
        <w:t>kontaktinė</w:t>
      </w:r>
      <w:proofErr w:type="spellEnd"/>
      <w:r w:rsidRPr="007D6157">
        <w:t xml:space="preserve"> </w:t>
      </w:r>
      <w:proofErr w:type="spellStart"/>
      <w:r w:rsidRPr="007D6157">
        <w:t>informacija</w:t>
      </w:r>
      <w:proofErr w:type="spellEnd"/>
      <w:r w:rsidRPr="007D6157">
        <w:t xml:space="preserve">, </w:t>
      </w:r>
      <w:proofErr w:type="spellStart"/>
      <w:r w:rsidRPr="007D6157">
        <w:t>registro</w:t>
      </w:r>
      <w:proofErr w:type="spellEnd"/>
      <w:r w:rsidRPr="007D6157">
        <w:t xml:space="preserve">, </w:t>
      </w:r>
      <w:proofErr w:type="spellStart"/>
      <w:r w:rsidRPr="007D6157">
        <w:t>kuriame</w:t>
      </w:r>
      <w:proofErr w:type="spellEnd"/>
      <w:r w:rsidRPr="007D6157">
        <w:t xml:space="preserve"> </w:t>
      </w:r>
      <w:proofErr w:type="spellStart"/>
      <w:r w:rsidRPr="007D6157">
        <w:t>kaupiami</w:t>
      </w:r>
      <w:proofErr w:type="spellEnd"/>
      <w:r w:rsidRPr="007D6157">
        <w:t xml:space="preserve"> </w:t>
      </w:r>
      <w:proofErr w:type="spellStart"/>
      <w:r w:rsidRPr="007D6157">
        <w:t>ir</w:t>
      </w:r>
      <w:proofErr w:type="spellEnd"/>
      <w:r w:rsidRPr="007D6157">
        <w:t xml:space="preserve"> </w:t>
      </w:r>
      <w:proofErr w:type="spellStart"/>
      <w:r w:rsidRPr="007D6157">
        <w:t>saugomi</w:t>
      </w:r>
      <w:proofErr w:type="spellEnd"/>
      <w:r w:rsidRPr="007D6157">
        <w:t xml:space="preserve"> </w:t>
      </w:r>
      <w:proofErr w:type="spellStart"/>
      <w:r w:rsidRPr="007D6157">
        <w:t>duomenys</w:t>
      </w:r>
      <w:proofErr w:type="spellEnd"/>
      <w:r w:rsidRPr="007D6157">
        <w:t xml:space="preserve"> </w:t>
      </w:r>
      <w:proofErr w:type="spellStart"/>
      <w:r w:rsidRPr="007D6157">
        <w:t>apie</w:t>
      </w:r>
      <w:proofErr w:type="spellEnd"/>
      <w:r w:rsidRPr="007D6157">
        <w:t xml:space="preserve"> </w:t>
      </w:r>
      <w:proofErr w:type="spellStart"/>
      <w:r w:rsidRPr="007D6157">
        <w:t>tiekėją</w:t>
      </w:r>
      <w:proofErr w:type="spellEnd"/>
      <w:r w:rsidRPr="007D6157">
        <w:t xml:space="preserve">, </w:t>
      </w:r>
      <w:proofErr w:type="spellStart"/>
      <w:r w:rsidRPr="007D6157">
        <w:t>pavadinimas</w:t>
      </w:r>
      <w:proofErr w:type="spellEnd"/>
      <w:r w:rsidRPr="007D6157">
        <w:t xml:space="preserve">, </w:t>
      </w:r>
      <w:proofErr w:type="spellStart"/>
      <w:r w:rsidRPr="007D6157">
        <w:t>juridinio</w:t>
      </w:r>
      <w:proofErr w:type="spellEnd"/>
      <w:r w:rsidRPr="007D6157">
        <w:t xml:space="preserve"> </w:t>
      </w:r>
      <w:proofErr w:type="spellStart"/>
      <w:r w:rsidRPr="007D6157">
        <w:t>asmens</w:t>
      </w:r>
      <w:proofErr w:type="spellEnd"/>
      <w:r w:rsidRPr="007D6157">
        <w:t xml:space="preserve"> </w:t>
      </w:r>
      <w:proofErr w:type="spellStart"/>
      <w:r w:rsidRPr="007D6157">
        <w:t>kodas</w:t>
      </w:r>
      <w:proofErr w:type="spellEnd"/>
      <w:r w:rsidRPr="007D6157">
        <w:t xml:space="preserve">, </w:t>
      </w:r>
      <w:proofErr w:type="spellStart"/>
      <w:r w:rsidRPr="007D6157">
        <w:t>pridėtinės</w:t>
      </w:r>
      <w:proofErr w:type="spellEnd"/>
      <w:r w:rsidRPr="007D6157">
        <w:t xml:space="preserve"> </w:t>
      </w:r>
      <w:proofErr w:type="spellStart"/>
      <w:r w:rsidRPr="007D6157">
        <w:t>vertės</w:t>
      </w:r>
      <w:proofErr w:type="spellEnd"/>
      <w:r w:rsidRPr="007D6157">
        <w:t xml:space="preserve"> </w:t>
      </w:r>
      <w:proofErr w:type="spellStart"/>
      <w:r w:rsidRPr="007D6157">
        <w:t>mokesčio</w:t>
      </w:r>
      <w:proofErr w:type="spellEnd"/>
      <w:r w:rsidRPr="007D6157">
        <w:t xml:space="preserve"> </w:t>
      </w:r>
      <w:proofErr w:type="spellStart"/>
      <w:r w:rsidRPr="007D6157">
        <w:t>mokėtojo</w:t>
      </w:r>
      <w:proofErr w:type="spellEnd"/>
      <w:r w:rsidRPr="007D6157">
        <w:t xml:space="preserve"> </w:t>
      </w:r>
      <w:proofErr w:type="spellStart"/>
      <w:r w:rsidRPr="007D6157">
        <w:t>kodas</w:t>
      </w:r>
      <w:proofErr w:type="spellEnd"/>
      <w:r w:rsidRPr="007D6157">
        <w:t xml:space="preserve">, </w:t>
      </w:r>
      <w:proofErr w:type="spellStart"/>
      <w:r w:rsidRPr="007D6157">
        <w:t>jei</w:t>
      </w:r>
      <w:proofErr w:type="spellEnd"/>
      <w:r w:rsidRPr="007D6157">
        <w:t xml:space="preserve"> </w:t>
      </w:r>
      <w:proofErr w:type="spellStart"/>
      <w:r w:rsidRPr="007D6157">
        <w:t>juridinis</w:t>
      </w:r>
      <w:proofErr w:type="spellEnd"/>
      <w:r w:rsidRPr="007D6157">
        <w:t xml:space="preserve"> </w:t>
      </w:r>
      <w:proofErr w:type="spellStart"/>
      <w:r w:rsidRPr="007D6157">
        <w:t>asmuo</w:t>
      </w:r>
      <w:proofErr w:type="spellEnd"/>
      <w:r w:rsidRPr="007D6157">
        <w:t xml:space="preserve"> </w:t>
      </w:r>
      <w:proofErr w:type="spellStart"/>
      <w:r w:rsidRPr="007D6157">
        <w:t>yra</w:t>
      </w:r>
      <w:proofErr w:type="spellEnd"/>
      <w:r w:rsidRPr="007D6157">
        <w:t xml:space="preserve"> </w:t>
      </w:r>
      <w:proofErr w:type="spellStart"/>
      <w:r w:rsidRPr="007D6157">
        <w:t>pridėtinės</w:t>
      </w:r>
      <w:proofErr w:type="spellEnd"/>
      <w:r w:rsidRPr="007D6157">
        <w:t xml:space="preserve"> </w:t>
      </w:r>
      <w:proofErr w:type="spellStart"/>
      <w:r w:rsidRPr="007D6157">
        <w:t>vertės</w:t>
      </w:r>
      <w:proofErr w:type="spellEnd"/>
      <w:r w:rsidRPr="007D6157">
        <w:t xml:space="preserve"> </w:t>
      </w:r>
      <w:proofErr w:type="spellStart"/>
      <w:r w:rsidRPr="007D6157">
        <w:t>mokesčio</w:t>
      </w:r>
      <w:proofErr w:type="spellEnd"/>
      <w:r w:rsidRPr="007D6157">
        <w:t xml:space="preserve"> </w:t>
      </w:r>
      <w:proofErr w:type="spellStart"/>
      <w:r w:rsidRPr="007D6157">
        <w:t>mokėtojas</w:t>
      </w:r>
      <w:proofErr w:type="spellEnd"/>
      <w:r w:rsidRPr="007D6157">
        <w:t>)</w:t>
      </w:r>
    </w:p>
    <w:p w14:paraId="5197EA6E" w14:textId="77777777" w:rsidR="007D6157" w:rsidRPr="007D6157" w:rsidRDefault="007D6157" w:rsidP="007D6157">
      <w:pPr>
        <w:pStyle w:val="Subtitle"/>
        <w:spacing w:before="60" w:after="60"/>
        <w:rPr>
          <w:b/>
          <w:bCs/>
        </w:rPr>
      </w:pPr>
    </w:p>
    <w:p w14:paraId="4C09673C" w14:textId="77777777" w:rsidR="007D6157" w:rsidRPr="007D6157" w:rsidRDefault="007D6157" w:rsidP="007D6157">
      <w:pPr>
        <w:pStyle w:val="Subtitle"/>
        <w:spacing w:before="60" w:after="60"/>
        <w:jc w:val="center"/>
      </w:pPr>
      <w:r w:rsidRPr="007D6157">
        <w:t>_______________________________</w:t>
      </w:r>
    </w:p>
    <w:p w14:paraId="1FCA4A81" w14:textId="77777777" w:rsidR="007D6157" w:rsidRPr="007D6157" w:rsidRDefault="007D6157" w:rsidP="007D6157">
      <w:pPr>
        <w:pStyle w:val="Subtitle"/>
        <w:spacing w:before="60" w:after="60"/>
        <w:jc w:val="center"/>
      </w:pPr>
      <w:r w:rsidRPr="007D6157">
        <w:t>(</w:t>
      </w:r>
      <w:proofErr w:type="spellStart"/>
      <w:r w:rsidRPr="007D6157">
        <w:t>Adresatas</w:t>
      </w:r>
      <w:proofErr w:type="spellEnd"/>
      <w:r w:rsidRPr="007D6157">
        <w:t xml:space="preserve"> (</w:t>
      </w:r>
      <w:proofErr w:type="spellStart"/>
      <w:r w:rsidRPr="007D6157">
        <w:t>perkančioji</w:t>
      </w:r>
      <w:proofErr w:type="spellEnd"/>
      <w:r w:rsidRPr="007D6157">
        <w:t xml:space="preserve"> </w:t>
      </w:r>
      <w:proofErr w:type="spellStart"/>
      <w:r w:rsidRPr="007D6157">
        <w:t>organizacija</w:t>
      </w:r>
      <w:proofErr w:type="spellEnd"/>
      <w:r w:rsidRPr="007D6157">
        <w:t>))</w:t>
      </w:r>
    </w:p>
    <w:p w14:paraId="2E990B4F" w14:textId="77777777" w:rsidR="007D6157" w:rsidRPr="007D6157" w:rsidRDefault="007D6157" w:rsidP="007D6157">
      <w:pPr>
        <w:pStyle w:val="Subtitle"/>
        <w:spacing w:before="60" w:after="60"/>
        <w:jc w:val="center"/>
        <w:rPr>
          <w:b/>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B9391FE" w14:textId="14599978" w:rsidR="00324E3D" w:rsidRPr="00152C1E" w:rsidRDefault="00A84F5F" w:rsidP="00324E3D">
      <w:pPr>
        <w:pStyle w:val="Subtitle"/>
        <w:spacing w:before="60" w:after="60"/>
        <w:jc w:val="center"/>
        <w:rPr>
          <w:rFonts w:eastAsia="Calibri"/>
          <w:i/>
          <w:color w:val="2E74B5" w:themeColor="accent1" w:themeShade="BF"/>
          <w:u w:val="none"/>
          <w:lang w:val="lt-LT"/>
        </w:rPr>
      </w:pPr>
      <w:r>
        <w:rPr>
          <w:b/>
          <w:bCs/>
          <w:u w:val="none"/>
          <w:lang w:val="lt-LT"/>
        </w:rPr>
        <w:t xml:space="preserve">Priedanga iš </w:t>
      </w:r>
      <w:proofErr w:type="spellStart"/>
      <w:r>
        <w:rPr>
          <w:b/>
          <w:bCs/>
          <w:u w:val="none"/>
          <w:lang w:val="lt-LT"/>
        </w:rPr>
        <w:t>gabionų</w:t>
      </w:r>
      <w:proofErr w:type="spellEnd"/>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467BAD">
      <w:pPr>
        <w:pStyle w:val="ListParagraph"/>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957FD9" w:rsidRPr="00875978" w14:paraId="079E059F" w14:textId="77777777" w:rsidTr="0074255C">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74255C">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74255C">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74255C">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6F06BCF8" w14:textId="77777777" w:rsidTr="0074255C">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74255C">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74255C">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74255C">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74255C">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1AF542A1" w14:textId="77777777" w:rsidR="00D371BE" w:rsidRDefault="00D371BE" w:rsidP="00DE1360">
      <w:pPr>
        <w:jc w:val="center"/>
        <w:rPr>
          <w:b/>
        </w:rPr>
      </w:pPr>
    </w:p>
    <w:p w14:paraId="21F0A24A" w14:textId="04166BDF" w:rsidR="00200BD4" w:rsidRPr="0074255C" w:rsidRDefault="00200BD4" w:rsidP="0074255C">
      <w:pPr>
        <w:jc w:val="center"/>
        <w:rPr>
          <w:color w:val="2E74B5" w:themeColor="accent1" w:themeShade="BF"/>
        </w:rPr>
      </w:pPr>
      <w:r w:rsidRPr="00DE1360">
        <w:rPr>
          <w:b/>
        </w:rPr>
        <w:t xml:space="preserve">PASIŪLYMO KAINA </w:t>
      </w:r>
    </w:p>
    <w:p w14:paraId="7EF53D48" w14:textId="525F6618"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8F6A9F">
        <w:rPr>
          <w:rStyle w:val="pildymui"/>
          <w:b/>
          <w:i/>
          <w:iCs/>
          <w:color w:val="FF0000"/>
        </w:rPr>
        <w:t xml:space="preserve">Pirkimui PVM </w:t>
      </w:r>
      <w:r w:rsidR="0075688B" w:rsidRPr="0075688B">
        <w:rPr>
          <w:rStyle w:val="pildymui"/>
          <w:b/>
          <w:i/>
          <w:iCs/>
          <w:color w:val="FF0000"/>
        </w:rPr>
        <w:t>taikomas.</w:t>
      </w:r>
    </w:p>
    <w:tbl>
      <w:tblPr>
        <w:tblW w:w="10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1276"/>
        <w:gridCol w:w="1134"/>
        <w:gridCol w:w="567"/>
        <w:gridCol w:w="1134"/>
        <w:gridCol w:w="575"/>
        <w:gridCol w:w="1126"/>
        <w:gridCol w:w="576"/>
      </w:tblGrid>
      <w:tr w:rsidR="00551479" w:rsidRPr="00D728A9" w14:paraId="1EB58671" w14:textId="77777777" w:rsidTr="0074255C">
        <w:trPr>
          <w:gridAfter w:val="1"/>
          <w:wAfter w:w="576" w:type="dxa"/>
          <w:trHeight w:val="309"/>
          <w:jc w:val="center"/>
        </w:trPr>
        <w:tc>
          <w:tcPr>
            <w:tcW w:w="4106" w:type="dxa"/>
            <w:shd w:val="clear" w:color="auto" w:fill="D9E2F3" w:themeFill="accent5" w:themeFillTint="33"/>
            <w:vAlign w:val="center"/>
          </w:tcPr>
          <w:p w14:paraId="7E702AF9" w14:textId="48DE13FE" w:rsidR="00551479" w:rsidRPr="00D728A9" w:rsidRDefault="00551479" w:rsidP="00D728A9">
            <w:pPr>
              <w:spacing w:before="60" w:after="60"/>
              <w:jc w:val="center"/>
              <w:rPr>
                <w:b/>
                <w:iCs/>
                <w:sz w:val="22"/>
                <w:szCs w:val="22"/>
              </w:rPr>
            </w:pPr>
            <w:r w:rsidRPr="00D728A9">
              <w:rPr>
                <w:b/>
                <w:iCs/>
                <w:sz w:val="22"/>
                <w:szCs w:val="22"/>
              </w:rPr>
              <w:t>Pirkimo objektas</w:t>
            </w:r>
          </w:p>
        </w:tc>
        <w:tc>
          <w:tcPr>
            <w:tcW w:w="1276" w:type="dxa"/>
            <w:shd w:val="clear" w:color="auto" w:fill="D9E2F3" w:themeFill="accent5" w:themeFillTint="33"/>
            <w:vAlign w:val="center"/>
          </w:tcPr>
          <w:p w14:paraId="302D7E81" w14:textId="4407EC80" w:rsidR="00551479" w:rsidRPr="00D728A9" w:rsidRDefault="00551479" w:rsidP="00D728A9">
            <w:pPr>
              <w:spacing w:before="60" w:after="60"/>
              <w:jc w:val="center"/>
              <w:rPr>
                <w:b/>
                <w:sz w:val="22"/>
                <w:szCs w:val="22"/>
              </w:rPr>
            </w:pPr>
            <w:r w:rsidRPr="00D728A9">
              <w:rPr>
                <w:b/>
                <w:sz w:val="22"/>
                <w:szCs w:val="22"/>
              </w:rPr>
              <w:t>Mato vnt.</w:t>
            </w:r>
          </w:p>
        </w:tc>
        <w:tc>
          <w:tcPr>
            <w:tcW w:w="1134" w:type="dxa"/>
            <w:shd w:val="clear" w:color="auto" w:fill="D9E2F3" w:themeFill="accent5" w:themeFillTint="33"/>
            <w:vAlign w:val="center"/>
          </w:tcPr>
          <w:p w14:paraId="5C5AF201" w14:textId="08E573B3" w:rsidR="00551479" w:rsidRPr="00D728A9" w:rsidRDefault="00551479" w:rsidP="00D728A9">
            <w:pPr>
              <w:spacing w:before="60" w:after="60"/>
              <w:jc w:val="center"/>
              <w:rPr>
                <w:b/>
                <w:sz w:val="22"/>
                <w:szCs w:val="22"/>
              </w:rPr>
            </w:pPr>
            <w:r>
              <w:rPr>
                <w:b/>
                <w:sz w:val="22"/>
                <w:szCs w:val="22"/>
              </w:rPr>
              <w:t>K</w:t>
            </w:r>
            <w:r w:rsidRPr="00D728A9">
              <w:rPr>
                <w:b/>
                <w:sz w:val="22"/>
                <w:szCs w:val="22"/>
              </w:rPr>
              <w:t>iekis</w:t>
            </w:r>
          </w:p>
        </w:tc>
        <w:tc>
          <w:tcPr>
            <w:tcW w:w="1701" w:type="dxa"/>
            <w:gridSpan w:val="2"/>
            <w:shd w:val="clear" w:color="auto" w:fill="D9E2F3" w:themeFill="accent5" w:themeFillTint="33"/>
            <w:vAlign w:val="center"/>
          </w:tcPr>
          <w:p w14:paraId="6A86F500" w14:textId="7125A8AB" w:rsidR="00551479" w:rsidRPr="00D728A9" w:rsidRDefault="00551479" w:rsidP="00D728A9">
            <w:pPr>
              <w:spacing w:before="60" w:after="60"/>
              <w:jc w:val="center"/>
              <w:rPr>
                <w:b/>
                <w:sz w:val="22"/>
                <w:szCs w:val="22"/>
              </w:rPr>
            </w:pPr>
            <w:r w:rsidRPr="00D728A9">
              <w:rPr>
                <w:b/>
                <w:sz w:val="22"/>
                <w:szCs w:val="22"/>
              </w:rPr>
              <w:t>Vnt. kaina, EUR be PVM</w:t>
            </w:r>
          </w:p>
        </w:tc>
        <w:tc>
          <w:tcPr>
            <w:tcW w:w="1701" w:type="dxa"/>
            <w:gridSpan w:val="2"/>
            <w:shd w:val="clear" w:color="auto" w:fill="D9E2F3" w:themeFill="accent5" w:themeFillTint="33"/>
            <w:vAlign w:val="center"/>
          </w:tcPr>
          <w:p w14:paraId="5A202843" w14:textId="2D0D65D6" w:rsidR="00551479" w:rsidRPr="00D728A9" w:rsidRDefault="00551479" w:rsidP="00D728A9">
            <w:pPr>
              <w:spacing w:before="60" w:after="60"/>
              <w:jc w:val="center"/>
              <w:rPr>
                <w:b/>
                <w:sz w:val="22"/>
                <w:szCs w:val="22"/>
              </w:rPr>
            </w:pPr>
            <w:r w:rsidRPr="00D728A9">
              <w:rPr>
                <w:b/>
                <w:sz w:val="22"/>
                <w:szCs w:val="22"/>
              </w:rPr>
              <w:t>Viso kaina, EUR</w:t>
            </w:r>
            <w:r w:rsidRPr="00D728A9">
              <w:rPr>
                <w:b/>
                <w:color w:val="FF0000"/>
                <w:sz w:val="22"/>
                <w:szCs w:val="22"/>
              </w:rPr>
              <w:t xml:space="preserve"> </w:t>
            </w:r>
            <w:r w:rsidRPr="00D728A9">
              <w:rPr>
                <w:b/>
                <w:color w:val="000000" w:themeColor="text1"/>
                <w:sz w:val="22"/>
                <w:szCs w:val="22"/>
              </w:rPr>
              <w:t>be</w:t>
            </w:r>
            <w:r w:rsidRPr="00D728A9">
              <w:rPr>
                <w:b/>
                <w:sz w:val="22"/>
                <w:szCs w:val="22"/>
              </w:rPr>
              <w:t xml:space="preserve"> PVM</w:t>
            </w:r>
          </w:p>
        </w:tc>
      </w:tr>
      <w:tr w:rsidR="00551479" w:rsidRPr="00D728A9" w14:paraId="262616F4" w14:textId="77777777" w:rsidTr="0074255C">
        <w:trPr>
          <w:trHeight w:val="306"/>
          <w:jc w:val="center"/>
        </w:trPr>
        <w:tc>
          <w:tcPr>
            <w:tcW w:w="4106" w:type="dxa"/>
            <w:vAlign w:val="center"/>
          </w:tcPr>
          <w:p w14:paraId="776D654E" w14:textId="710CFBE5" w:rsidR="00551479" w:rsidRPr="00D728A9" w:rsidRDefault="00551479" w:rsidP="00D03B59">
            <w:pPr>
              <w:spacing w:before="60" w:after="60"/>
              <w:jc w:val="center"/>
              <w:rPr>
                <w:i/>
                <w:iCs/>
                <w:sz w:val="22"/>
                <w:szCs w:val="22"/>
              </w:rPr>
            </w:pPr>
            <w:r w:rsidRPr="00D728A9">
              <w:rPr>
                <w:i/>
                <w:iCs/>
                <w:sz w:val="22"/>
                <w:szCs w:val="22"/>
              </w:rPr>
              <w:t>1</w:t>
            </w:r>
          </w:p>
        </w:tc>
        <w:tc>
          <w:tcPr>
            <w:tcW w:w="1276" w:type="dxa"/>
            <w:vAlign w:val="center"/>
          </w:tcPr>
          <w:p w14:paraId="3AD45015" w14:textId="1B181F60" w:rsidR="00551479" w:rsidRPr="00D728A9" w:rsidRDefault="00551479" w:rsidP="00D03B59">
            <w:pPr>
              <w:spacing w:before="60" w:after="60"/>
              <w:jc w:val="center"/>
              <w:rPr>
                <w:i/>
                <w:sz w:val="22"/>
                <w:szCs w:val="22"/>
              </w:rPr>
            </w:pPr>
            <w:r w:rsidRPr="00D728A9">
              <w:rPr>
                <w:i/>
                <w:sz w:val="22"/>
                <w:szCs w:val="22"/>
              </w:rPr>
              <w:t>2</w:t>
            </w:r>
          </w:p>
        </w:tc>
        <w:tc>
          <w:tcPr>
            <w:tcW w:w="1701" w:type="dxa"/>
            <w:gridSpan w:val="2"/>
            <w:vAlign w:val="center"/>
          </w:tcPr>
          <w:p w14:paraId="7E10FB15" w14:textId="33D40C25" w:rsidR="00551479" w:rsidRPr="00D728A9" w:rsidRDefault="00551479" w:rsidP="00D03B59">
            <w:pPr>
              <w:spacing w:before="60" w:after="60"/>
              <w:jc w:val="center"/>
              <w:rPr>
                <w:i/>
                <w:sz w:val="22"/>
                <w:szCs w:val="22"/>
              </w:rPr>
            </w:pPr>
            <w:r w:rsidRPr="00D728A9">
              <w:rPr>
                <w:i/>
                <w:sz w:val="22"/>
                <w:szCs w:val="22"/>
              </w:rPr>
              <w:t>3</w:t>
            </w:r>
          </w:p>
        </w:tc>
        <w:tc>
          <w:tcPr>
            <w:tcW w:w="1704" w:type="dxa"/>
            <w:gridSpan w:val="2"/>
            <w:vAlign w:val="center"/>
          </w:tcPr>
          <w:p w14:paraId="6D96C5B7" w14:textId="4C0496BA" w:rsidR="00551479" w:rsidRPr="00D728A9" w:rsidRDefault="00551479" w:rsidP="00551479">
            <w:pPr>
              <w:spacing w:before="60" w:after="60"/>
              <w:jc w:val="center"/>
              <w:rPr>
                <w:i/>
                <w:sz w:val="22"/>
                <w:szCs w:val="22"/>
              </w:rPr>
            </w:pPr>
            <w:r w:rsidRPr="00D728A9">
              <w:rPr>
                <w:i/>
                <w:sz w:val="22"/>
                <w:szCs w:val="22"/>
              </w:rPr>
              <w:t>4</w:t>
            </w:r>
          </w:p>
        </w:tc>
        <w:tc>
          <w:tcPr>
            <w:tcW w:w="1702" w:type="dxa"/>
            <w:gridSpan w:val="2"/>
            <w:vAlign w:val="center"/>
          </w:tcPr>
          <w:p w14:paraId="7F70D19B" w14:textId="427782D4" w:rsidR="00551479" w:rsidRPr="00D728A9" w:rsidRDefault="00551479" w:rsidP="00D03B59">
            <w:pPr>
              <w:spacing w:before="60" w:after="60"/>
              <w:jc w:val="center"/>
              <w:rPr>
                <w:i/>
                <w:sz w:val="22"/>
                <w:szCs w:val="22"/>
              </w:rPr>
            </w:pPr>
            <w:r>
              <w:rPr>
                <w:i/>
                <w:sz w:val="22"/>
                <w:szCs w:val="22"/>
              </w:rPr>
              <w:t>5</w:t>
            </w:r>
            <w:r w:rsidRPr="00D728A9">
              <w:rPr>
                <w:i/>
                <w:sz w:val="22"/>
                <w:szCs w:val="22"/>
              </w:rPr>
              <w:t xml:space="preserve"> </w:t>
            </w:r>
            <w:r>
              <w:rPr>
                <w:i/>
                <w:sz w:val="22"/>
                <w:szCs w:val="22"/>
              </w:rPr>
              <w:t xml:space="preserve"> (3x4</w:t>
            </w:r>
            <w:r w:rsidRPr="00D728A9">
              <w:rPr>
                <w:i/>
                <w:sz w:val="22"/>
                <w:szCs w:val="22"/>
              </w:rPr>
              <w:t>)</w:t>
            </w:r>
          </w:p>
        </w:tc>
      </w:tr>
      <w:tr w:rsidR="00551479" w:rsidRPr="00D728A9" w14:paraId="44D81E56" w14:textId="77777777" w:rsidTr="0074255C">
        <w:trPr>
          <w:trHeight w:val="370"/>
          <w:jc w:val="center"/>
        </w:trPr>
        <w:tc>
          <w:tcPr>
            <w:tcW w:w="4106" w:type="dxa"/>
            <w:vAlign w:val="center"/>
          </w:tcPr>
          <w:p w14:paraId="4BEE9FA2" w14:textId="6754CD1B" w:rsidR="00551479" w:rsidRPr="00481B79" w:rsidRDefault="00551479" w:rsidP="00481B79">
            <w:pPr>
              <w:rPr>
                <w:sz w:val="22"/>
                <w:szCs w:val="22"/>
              </w:rPr>
            </w:pPr>
            <w:r w:rsidRPr="00551479">
              <w:rPr>
                <w:sz w:val="22"/>
                <w:szCs w:val="22"/>
              </w:rPr>
              <w:lastRenderedPageBreak/>
              <w:t xml:space="preserve">Priedanga iš </w:t>
            </w:r>
            <w:proofErr w:type="spellStart"/>
            <w:r w:rsidRPr="00551479">
              <w:rPr>
                <w:sz w:val="22"/>
                <w:szCs w:val="22"/>
              </w:rPr>
              <w:t>gabiono</w:t>
            </w:r>
            <w:proofErr w:type="spellEnd"/>
            <w:r w:rsidRPr="00551479">
              <w:rPr>
                <w:sz w:val="22"/>
                <w:szCs w:val="22"/>
              </w:rPr>
              <w:t>, TS-18, 2026-04-28</w:t>
            </w:r>
          </w:p>
        </w:tc>
        <w:tc>
          <w:tcPr>
            <w:tcW w:w="1276" w:type="dxa"/>
            <w:vAlign w:val="center"/>
          </w:tcPr>
          <w:p w14:paraId="1C6EF022" w14:textId="56B46850" w:rsidR="00551479" w:rsidRPr="00D728A9" w:rsidRDefault="00551479" w:rsidP="005855E0">
            <w:pPr>
              <w:spacing w:before="60" w:after="60"/>
              <w:jc w:val="center"/>
              <w:rPr>
                <w:sz w:val="22"/>
                <w:szCs w:val="22"/>
              </w:rPr>
            </w:pPr>
            <w:r w:rsidRPr="00D728A9">
              <w:rPr>
                <w:color w:val="000000"/>
                <w:sz w:val="22"/>
                <w:szCs w:val="22"/>
              </w:rPr>
              <w:t>vnt.</w:t>
            </w:r>
          </w:p>
        </w:tc>
        <w:tc>
          <w:tcPr>
            <w:tcW w:w="1701" w:type="dxa"/>
            <w:gridSpan w:val="2"/>
            <w:vAlign w:val="center"/>
          </w:tcPr>
          <w:p w14:paraId="66FEF981" w14:textId="0A6F6B5E" w:rsidR="00551479" w:rsidRPr="00D728A9" w:rsidRDefault="00551479" w:rsidP="005855E0">
            <w:pPr>
              <w:spacing w:before="60" w:after="60"/>
              <w:ind w:firstLine="41"/>
              <w:jc w:val="center"/>
              <w:rPr>
                <w:sz w:val="22"/>
                <w:szCs w:val="22"/>
              </w:rPr>
            </w:pPr>
            <w:r>
              <w:rPr>
                <w:sz w:val="22"/>
                <w:szCs w:val="22"/>
              </w:rPr>
              <w:t>1</w:t>
            </w:r>
          </w:p>
        </w:tc>
        <w:tc>
          <w:tcPr>
            <w:tcW w:w="1704" w:type="dxa"/>
            <w:gridSpan w:val="2"/>
          </w:tcPr>
          <w:p w14:paraId="7BDB1AD4" w14:textId="2A7285AD" w:rsidR="00551479" w:rsidRPr="00D728A9" w:rsidRDefault="00551479" w:rsidP="005855E0">
            <w:pPr>
              <w:spacing w:before="60" w:after="60"/>
              <w:ind w:firstLine="41"/>
              <w:rPr>
                <w:sz w:val="22"/>
                <w:szCs w:val="22"/>
              </w:rPr>
            </w:pPr>
          </w:p>
        </w:tc>
        <w:tc>
          <w:tcPr>
            <w:tcW w:w="1702" w:type="dxa"/>
            <w:gridSpan w:val="2"/>
          </w:tcPr>
          <w:p w14:paraId="27641075" w14:textId="43570156" w:rsidR="00551479" w:rsidRPr="00D728A9" w:rsidRDefault="00551479" w:rsidP="005855E0">
            <w:pPr>
              <w:spacing w:before="60" w:after="60"/>
              <w:ind w:firstLine="41"/>
              <w:rPr>
                <w:sz w:val="22"/>
                <w:szCs w:val="22"/>
              </w:rPr>
            </w:pPr>
          </w:p>
        </w:tc>
      </w:tr>
      <w:tr w:rsidR="00D728A9" w:rsidRPr="00D728A9" w14:paraId="3AF08170" w14:textId="77777777" w:rsidTr="0074255C">
        <w:trPr>
          <w:trHeight w:val="221"/>
          <w:jc w:val="center"/>
        </w:trPr>
        <w:tc>
          <w:tcPr>
            <w:tcW w:w="8792" w:type="dxa"/>
            <w:gridSpan w:val="6"/>
            <w:vAlign w:val="center"/>
          </w:tcPr>
          <w:p w14:paraId="38D92E1B" w14:textId="65764431" w:rsidR="00D728A9" w:rsidRPr="00D728A9" w:rsidRDefault="00D728A9" w:rsidP="00D728A9">
            <w:pPr>
              <w:spacing w:before="60" w:after="60"/>
              <w:ind w:firstLine="41"/>
              <w:jc w:val="right"/>
              <w:rPr>
                <w:sz w:val="22"/>
                <w:szCs w:val="22"/>
              </w:rPr>
            </w:pPr>
            <w:r w:rsidRPr="00D728A9">
              <w:rPr>
                <w:sz w:val="22"/>
                <w:szCs w:val="22"/>
              </w:rPr>
              <w:t xml:space="preserve"> </w:t>
            </w:r>
            <w:r w:rsidR="00813184">
              <w:rPr>
                <w:sz w:val="22"/>
                <w:szCs w:val="22"/>
              </w:rPr>
              <w:t>P</w:t>
            </w:r>
            <w:r w:rsidRPr="00D728A9">
              <w:rPr>
                <w:sz w:val="22"/>
                <w:szCs w:val="22"/>
              </w:rPr>
              <w:t>asiūlymo kaina Eur be PVM</w:t>
            </w:r>
          </w:p>
        </w:tc>
        <w:tc>
          <w:tcPr>
            <w:tcW w:w="1702" w:type="dxa"/>
            <w:gridSpan w:val="2"/>
          </w:tcPr>
          <w:p w14:paraId="7ECA88D6" w14:textId="77777777" w:rsidR="00D728A9" w:rsidRPr="00D728A9" w:rsidRDefault="00D728A9" w:rsidP="005855E0">
            <w:pPr>
              <w:spacing w:before="60" w:after="60"/>
              <w:ind w:firstLine="41"/>
              <w:rPr>
                <w:sz w:val="22"/>
                <w:szCs w:val="22"/>
              </w:rPr>
            </w:pPr>
          </w:p>
        </w:tc>
      </w:tr>
      <w:tr w:rsidR="00D728A9" w:rsidRPr="00D728A9" w14:paraId="361EA2A8" w14:textId="77777777" w:rsidTr="0074255C">
        <w:trPr>
          <w:trHeight w:val="256"/>
          <w:jc w:val="center"/>
        </w:trPr>
        <w:tc>
          <w:tcPr>
            <w:tcW w:w="8792" w:type="dxa"/>
            <w:gridSpan w:val="6"/>
            <w:vAlign w:val="center"/>
          </w:tcPr>
          <w:p w14:paraId="4593B3B9" w14:textId="59A868F2" w:rsidR="00D728A9" w:rsidRPr="00D728A9" w:rsidRDefault="00D728A9" w:rsidP="00D728A9">
            <w:pPr>
              <w:spacing w:before="60" w:after="60"/>
              <w:ind w:firstLine="41"/>
              <w:jc w:val="right"/>
              <w:rPr>
                <w:sz w:val="22"/>
                <w:szCs w:val="22"/>
              </w:rPr>
            </w:pPr>
            <w:r w:rsidRPr="00D728A9">
              <w:rPr>
                <w:sz w:val="22"/>
                <w:szCs w:val="22"/>
              </w:rPr>
              <w:t>PVM 21 %</w:t>
            </w:r>
          </w:p>
        </w:tc>
        <w:tc>
          <w:tcPr>
            <w:tcW w:w="1702" w:type="dxa"/>
            <w:gridSpan w:val="2"/>
          </w:tcPr>
          <w:p w14:paraId="4E628F41" w14:textId="77777777" w:rsidR="00D728A9" w:rsidRPr="00D728A9" w:rsidRDefault="00D728A9" w:rsidP="005855E0">
            <w:pPr>
              <w:spacing w:before="60" w:after="60"/>
              <w:ind w:firstLine="41"/>
              <w:rPr>
                <w:sz w:val="22"/>
                <w:szCs w:val="22"/>
              </w:rPr>
            </w:pPr>
          </w:p>
        </w:tc>
      </w:tr>
      <w:tr w:rsidR="00D728A9" w:rsidRPr="00D728A9" w14:paraId="11FCA931" w14:textId="77777777" w:rsidTr="0074255C">
        <w:trPr>
          <w:trHeight w:val="415"/>
          <w:jc w:val="center"/>
        </w:trPr>
        <w:tc>
          <w:tcPr>
            <w:tcW w:w="8792" w:type="dxa"/>
            <w:gridSpan w:val="6"/>
            <w:vAlign w:val="center"/>
          </w:tcPr>
          <w:p w14:paraId="7775DB9C" w14:textId="2A264FD8" w:rsidR="00D728A9" w:rsidRPr="00D728A9" w:rsidRDefault="00D728A9" w:rsidP="00D728A9">
            <w:pPr>
              <w:spacing w:before="60" w:after="60"/>
              <w:ind w:firstLine="41"/>
              <w:jc w:val="right"/>
              <w:rPr>
                <w:sz w:val="22"/>
                <w:szCs w:val="22"/>
              </w:rPr>
            </w:pPr>
            <w:r w:rsidRPr="00D728A9">
              <w:rPr>
                <w:sz w:val="22"/>
                <w:szCs w:val="22"/>
              </w:rPr>
              <w:t xml:space="preserve"> </w:t>
            </w:r>
            <w:r w:rsidR="00813184">
              <w:rPr>
                <w:sz w:val="22"/>
                <w:szCs w:val="22"/>
              </w:rPr>
              <w:t>P</w:t>
            </w:r>
            <w:r w:rsidRPr="00D728A9">
              <w:rPr>
                <w:sz w:val="22"/>
                <w:szCs w:val="22"/>
              </w:rPr>
              <w:t>asiūlymo kaina su PVM</w:t>
            </w:r>
          </w:p>
        </w:tc>
        <w:tc>
          <w:tcPr>
            <w:tcW w:w="1702" w:type="dxa"/>
            <w:gridSpan w:val="2"/>
          </w:tcPr>
          <w:p w14:paraId="7F76F75D" w14:textId="77777777" w:rsidR="00D728A9" w:rsidRPr="00D728A9" w:rsidRDefault="00D728A9" w:rsidP="005855E0">
            <w:pPr>
              <w:spacing w:before="60" w:after="60"/>
              <w:ind w:firstLine="41"/>
              <w:rPr>
                <w:sz w:val="22"/>
                <w:szCs w:val="22"/>
              </w:rPr>
            </w:pPr>
          </w:p>
        </w:tc>
      </w:tr>
    </w:tbl>
    <w:p w14:paraId="3BFBE128" w14:textId="77777777" w:rsidR="0071194E" w:rsidRDefault="0071194E" w:rsidP="008B527B">
      <w:pPr>
        <w:rPr>
          <w:b/>
        </w:rPr>
      </w:pPr>
    </w:p>
    <w:p w14:paraId="0E196272" w14:textId="44189B7A"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D50D99">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28242AB3" w14:textId="77777777" w:rsidR="00813184" w:rsidRDefault="00813184" w:rsidP="008B527B">
      <w:pPr>
        <w:widowControl w:val="0"/>
        <w:jc w:val="both"/>
      </w:pPr>
    </w:p>
    <w:p w14:paraId="52B11433" w14:textId="77777777" w:rsidR="00813184" w:rsidRPr="00813184" w:rsidRDefault="00813184" w:rsidP="00813184">
      <w:pPr>
        <w:widowControl w:val="0"/>
        <w:jc w:val="both"/>
      </w:pPr>
      <w:r w:rsidRPr="00813184">
        <w:t>**Jei pagal galiojančius teisės aktus tiekėjui nereikia mokėti PVM, tiekėjas bendrą pasiūlymo kainą pateikia be PVM, bet nurodo priežastis, dėl kurių PVM nemokamas ______________________________________.</w:t>
      </w:r>
    </w:p>
    <w:p w14:paraId="66227360" w14:textId="63281B14" w:rsidR="00813184" w:rsidRDefault="00813184" w:rsidP="008B527B">
      <w:pPr>
        <w:widowControl w:val="0"/>
        <w:jc w:val="both"/>
      </w:pPr>
      <w:r w:rsidRPr="00813184">
        <w:t xml:space="preserve">Pastabos. Įkainiai ir bendra pasiūlymo kaina turi būti pateikiami eurais ir apskaičiuojami </w:t>
      </w:r>
      <w:r w:rsidRPr="00813184">
        <w:rPr>
          <w:b/>
        </w:rPr>
        <w:t>dviejų skaičių</w:t>
      </w:r>
      <w:r w:rsidRPr="00813184">
        <w:t xml:space="preserve"> po kablelio tikslumu.</w:t>
      </w:r>
    </w:p>
    <w:p w14:paraId="399F5C17" w14:textId="77777777" w:rsidR="00531D93" w:rsidRPr="004F1AC4" w:rsidRDefault="00531D93" w:rsidP="00531D93">
      <w:pPr>
        <w:widowControl w:val="0"/>
        <w:jc w:val="center"/>
        <w:rPr>
          <w:b/>
          <w:bCs/>
        </w:rPr>
      </w:pPr>
      <w:r w:rsidRPr="004F1AC4">
        <w:rPr>
          <w:b/>
          <w:bCs/>
        </w:rPr>
        <w:t>SIŪLOMOS PREKĖS</w:t>
      </w:r>
    </w:p>
    <w:p w14:paraId="06DB1E15" w14:textId="319CA96F" w:rsidR="00531D93" w:rsidRPr="004F1AC4" w:rsidRDefault="00531D93" w:rsidP="00531D93">
      <w:pPr>
        <w:widowControl w:val="0"/>
        <w:jc w:val="center"/>
        <w:rPr>
          <w:b/>
          <w:bCs/>
        </w:rPr>
      </w:pPr>
      <w:r w:rsidRPr="004F1AC4">
        <w:rPr>
          <w:b/>
          <w:bCs/>
        </w:rPr>
        <w:t>TECHNINIAI PARAMETRAI</w:t>
      </w:r>
    </w:p>
    <w:tbl>
      <w:tblPr>
        <w:tblStyle w:val="TableGrid"/>
        <w:tblW w:w="0" w:type="auto"/>
        <w:tblLook w:val="04A0" w:firstRow="1" w:lastRow="0" w:firstColumn="1" w:lastColumn="0" w:noHBand="0" w:noVBand="1"/>
      </w:tblPr>
      <w:tblGrid>
        <w:gridCol w:w="814"/>
        <w:gridCol w:w="5762"/>
        <w:gridCol w:w="3386"/>
      </w:tblGrid>
      <w:tr w:rsidR="00531D93" w:rsidRPr="004F1AC4" w14:paraId="4CEB60C7" w14:textId="77777777" w:rsidTr="00531D93">
        <w:tc>
          <w:tcPr>
            <w:tcW w:w="988" w:type="dxa"/>
          </w:tcPr>
          <w:p w14:paraId="5B0BCE21" w14:textId="53B5D7EB" w:rsidR="00531D93" w:rsidRPr="004F1AC4" w:rsidRDefault="00531D93" w:rsidP="00531D93">
            <w:pPr>
              <w:widowControl w:val="0"/>
              <w:jc w:val="center"/>
            </w:pPr>
            <w:r w:rsidRPr="004F1AC4">
              <w:t xml:space="preserve">Eil. nr. </w:t>
            </w:r>
          </w:p>
        </w:tc>
        <w:tc>
          <w:tcPr>
            <w:tcW w:w="8157" w:type="dxa"/>
          </w:tcPr>
          <w:p w14:paraId="6EEFB2CC" w14:textId="30FEA915" w:rsidR="00531D93" w:rsidRPr="004F1AC4" w:rsidRDefault="00531D93" w:rsidP="00531D93">
            <w:pPr>
              <w:widowControl w:val="0"/>
              <w:jc w:val="center"/>
            </w:pPr>
            <w:r w:rsidRPr="004F1AC4">
              <w:t>Reikalavimai</w:t>
            </w:r>
          </w:p>
        </w:tc>
        <w:tc>
          <w:tcPr>
            <w:tcW w:w="4573" w:type="dxa"/>
          </w:tcPr>
          <w:p w14:paraId="737B8FF9" w14:textId="77777777" w:rsidR="00531D93" w:rsidRPr="004F1AC4" w:rsidRDefault="00531D93" w:rsidP="00531D93">
            <w:pPr>
              <w:widowControl w:val="0"/>
              <w:jc w:val="center"/>
            </w:pPr>
            <w:r w:rsidRPr="004F1AC4">
              <w:t>Atitikimas reikalavimams</w:t>
            </w:r>
          </w:p>
          <w:p w14:paraId="664F37D2" w14:textId="77777777" w:rsidR="00531D93" w:rsidRPr="004F1AC4" w:rsidRDefault="00531D93" w:rsidP="00531D93">
            <w:pPr>
              <w:widowControl w:val="0"/>
              <w:jc w:val="center"/>
            </w:pPr>
            <w:r w:rsidRPr="004F1AC4">
              <w:t>( Tiekėjas užpildo nurodydamas</w:t>
            </w:r>
          </w:p>
          <w:p w14:paraId="081D5094" w14:textId="77777777" w:rsidR="00531D93" w:rsidRPr="004F1AC4" w:rsidRDefault="00531D93" w:rsidP="00531D93">
            <w:pPr>
              <w:widowControl w:val="0"/>
              <w:jc w:val="center"/>
            </w:pPr>
            <w:r w:rsidRPr="004F1AC4">
              <w:t>konkrečią reikšmę (jei prašoma) arba</w:t>
            </w:r>
          </w:p>
          <w:p w14:paraId="67A8F6B6" w14:textId="77777777" w:rsidR="00531D93" w:rsidRPr="004F1AC4" w:rsidRDefault="00531D93" w:rsidP="00531D93">
            <w:pPr>
              <w:widowControl w:val="0"/>
              <w:jc w:val="center"/>
            </w:pPr>
            <w:r w:rsidRPr="004F1AC4">
              <w:t>ar atitinka, ar neatitinka konkretų</w:t>
            </w:r>
          </w:p>
          <w:p w14:paraId="7CAB265B" w14:textId="580D7FC1" w:rsidR="00531D93" w:rsidRPr="004F1AC4" w:rsidRDefault="00531D93" w:rsidP="00531D93">
            <w:pPr>
              <w:widowControl w:val="0"/>
              <w:jc w:val="center"/>
            </w:pPr>
            <w:r w:rsidRPr="004F1AC4">
              <w:t>reikalavimą siūloma</w:t>
            </w:r>
          </w:p>
        </w:tc>
      </w:tr>
      <w:tr w:rsidR="00531D93" w:rsidRPr="004F1AC4" w14:paraId="0A16B62A" w14:textId="77777777" w:rsidTr="00B415C9">
        <w:tc>
          <w:tcPr>
            <w:tcW w:w="13718" w:type="dxa"/>
            <w:gridSpan w:val="3"/>
          </w:tcPr>
          <w:p w14:paraId="5E2D4757" w14:textId="03169671" w:rsidR="00531D93" w:rsidRPr="004F1AC4" w:rsidRDefault="00531D93" w:rsidP="00531D93">
            <w:pPr>
              <w:widowControl w:val="0"/>
            </w:pPr>
            <w:r w:rsidRPr="004F1AC4">
              <w:t xml:space="preserve">Priedangos iš </w:t>
            </w:r>
            <w:proofErr w:type="spellStart"/>
            <w:r w:rsidRPr="004F1AC4">
              <w:t>gabiono</w:t>
            </w:r>
            <w:proofErr w:type="spellEnd"/>
            <w:r w:rsidRPr="004F1AC4">
              <w:t xml:space="preserve"> sudedamosios dalys (komplekte privalo būti):</w:t>
            </w:r>
          </w:p>
        </w:tc>
      </w:tr>
      <w:tr w:rsidR="00531D93" w:rsidRPr="004F1AC4" w14:paraId="5EFF3EC6" w14:textId="77777777" w:rsidTr="00531D93">
        <w:tc>
          <w:tcPr>
            <w:tcW w:w="988" w:type="dxa"/>
          </w:tcPr>
          <w:p w14:paraId="24572FC4" w14:textId="5E706C75" w:rsidR="00531D93" w:rsidRPr="004F1AC4" w:rsidRDefault="00531D93" w:rsidP="00531D93">
            <w:pPr>
              <w:widowControl w:val="0"/>
              <w:jc w:val="center"/>
            </w:pPr>
            <w:r w:rsidRPr="004F1AC4">
              <w:t>1.</w:t>
            </w:r>
          </w:p>
        </w:tc>
        <w:tc>
          <w:tcPr>
            <w:tcW w:w="8157" w:type="dxa"/>
          </w:tcPr>
          <w:p w14:paraId="3FD0491F" w14:textId="404037D3" w:rsidR="00531D93" w:rsidRPr="004F1AC4" w:rsidRDefault="00531D93" w:rsidP="00531D93">
            <w:pPr>
              <w:widowControl w:val="0"/>
            </w:pPr>
            <w:r w:rsidRPr="004F1AC4">
              <w:t>Stogo sijos;</w:t>
            </w:r>
          </w:p>
        </w:tc>
        <w:tc>
          <w:tcPr>
            <w:tcW w:w="4573" w:type="dxa"/>
          </w:tcPr>
          <w:p w14:paraId="62D02720" w14:textId="77777777" w:rsidR="0074255C" w:rsidRPr="004F1AC4" w:rsidRDefault="0074255C" w:rsidP="0074255C">
            <w:pPr>
              <w:widowControl w:val="0"/>
              <w:jc w:val="center"/>
            </w:pPr>
            <w:r w:rsidRPr="004F1AC4">
              <w:t>TAIP/NE</w:t>
            </w:r>
          </w:p>
          <w:p w14:paraId="3491F8B6" w14:textId="6679EB23" w:rsidR="00531D93" w:rsidRPr="004F1AC4" w:rsidRDefault="0074255C" w:rsidP="0074255C">
            <w:pPr>
              <w:widowControl w:val="0"/>
              <w:jc w:val="center"/>
            </w:pPr>
            <w:r w:rsidRPr="004F1AC4">
              <w:t>NURODYTI</w:t>
            </w:r>
          </w:p>
        </w:tc>
      </w:tr>
      <w:tr w:rsidR="00531D93" w:rsidRPr="004F1AC4" w14:paraId="2A812ACD" w14:textId="77777777" w:rsidTr="00531D93">
        <w:tc>
          <w:tcPr>
            <w:tcW w:w="988" w:type="dxa"/>
          </w:tcPr>
          <w:p w14:paraId="011817E9" w14:textId="62D186E7" w:rsidR="00531D93" w:rsidRPr="004F1AC4" w:rsidRDefault="00551479" w:rsidP="00531D93">
            <w:pPr>
              <w:widowControl w:val="0"/>
              <w:jc w:val="center"/>
            </w:pPr>
            <w:r w:rsidRPr="004F1AC4">
              <w:t>2.</w:t>
            </w:r>
          </w:p>
        </w:tc>
        <w:tc>
          <w:tcPr>
            <w:tcW w:w="8157" w:type="dxa"/>
          </w:tcPr>
          <w:p w14:paraId="145A014A" w14:textId="0580CA25" w:rsidR="00531D93" w:rsidRPr="004F1AC4" w:rsidRDefault="00531D93" w:rsidP="00531D93">
            <w:pPr>
              <w:widowControl w:val="0"/>
            </w:pPr>
            <w:r w:rsidRPr="004F1AC4">
              <w:t>Atraminės konstrukcijos;</w:t>
            </w:r>
          </w:p>
        </w:tc>
        <w:tc>
          <w:tcPr>
            <w:tcW w:w="4573" w:type="dxa"/>
          </w:tcPr>
          <w:p w14:paraId="670CF7B2" w14:textId="77777777" w:rsidR="0074255C" w:rsidRPr="004F1AC4" w:rsidRDefault="0074255C" w:rsidP="0074255C">
            <w:pPr>
              <w:widowControl w:val="0"/>
              <w:jc w:val="center"/>
            </w:pPr>
            <w:r w:rsidRPr="004F1AC4">
              <w:t>TAIP/NE</w:t>
            </w:r>
          </w:p>
          <w:p w14:paraId="5BF03DD6" w14:textId="77875462" w:rsidR="00531D93" w:rsidRPr="004F1AC4" w:rsidRDefault="0074255C" w:rsidP="0074255C">
            <w:pPr>
              <w:widowControl w:val="0"/>
              <w:jc w:val="center"/>
            </w:pPr>
            <w:r w:rsidRPr="004F1AC4">
              <w:t>NURODYTI</w:t>
            </w:r>
          </w:p>
        </w:tc>
      </w:tr>
      <w:tr w:rsidR="00531D93" w:rsidRPr="004F1AC4" w14:paraId="03C1584D" w14:textId="77777777" w:rsidTr="00531D93">
        <w:tc>
          <w:tcPr>
            <w:tcW w:w="988" w:type="dxa"/>
          </w:tcPr>
          <w:p w14:paraId="3853B36B" w14:textId="4A34361C" w:rsidR="00531D93" w:rsidRPr="004F1AC4" w:rsidRDefault="00551479" w:rsidP="00531D93">
            <w:pPr>
              <w:widowControl w:val="0"/>
              <w:jc w:val="center"/>
            </w:pPr>
            <w:r w:rsidRPr="004F1AC4">
              <w:t>3.</w:t>
            </w:r>
          </w:p>
        </w:tc>
        <w:tc>
          <w:tcPr>
            <w:tcW w:w="8157" w:type="dxa"/>
          </w:tcPr>
          <w:p w14:paraId="7E16EB81" w14:textId="0E2246A9" w:rsidR="00531D93" w:rsidRPr="004F1AC4" w:rsidRDefault="00531D93" w:rsidP="00531D93">
            <w:pPr>
              <w:widowControl w:val="0"/>
            </w:pPr>
            <w:r w:rsidRPr="004F1AC4">
              <w:t>Inkariniai mazgai;</w:t>
            </w:r>
          </w:p>
        </w:tc>
        <w:tc>
          <w:tcPr>
            <w:tcW w:w="4573" w:type="dxa"/>
          </w:tcPr>
          <w:p w14:paraId="14FC2623" w14:textId="77777777" w:rsidR="0074255C" w:rsidRPr="004F1AC4" w:rsidRDefault="0074255C" w:rsidP="0074255C">
            <w:pPr>
              <w:widowControl w:val="0"/>
              <w:jc w:val="center"/>
            </w:pPr>
            <w:r w:rsidRPr="004F1AC4">
              <w:t>TAIP/NE</w:t>
            </w:r>
          </w:p>
          <w:p w14:paraId="5055B9AF" w14:textId="284FD4DF" w:rsidR="00531D93" w:rsidRPr="004F1AC4" w:rsidRDefault="0074255C" w:rsidP="0074255C">
            <w:pPr>
              <w:widowControl w:val="0"/>
              <w:jc w:val="center"/>
            </w:pPr>
            <w:r w:rsidRPr="004F1AC4">
              <w:t>NURODYTI</w:t>
            </w:r>
          </w:p>
        </w:tc>
      </w:tr>
      <w:tr w:rsidR="00531D93" w:rsidRPr="004F1AC4" w14:paraId="24B56D77" w14:textId="77777777" w:rsidTr="00531D93">
        <w:tc>
          <w:tcPr>
            <w:tcW w:w="988" w:type="dxa"/>
          </w:tcPr>
          <w:p w14:paraId="2B6540C4" w14:textId="1213B90E" w:rsidR="00531D93" w:rsidRPr="004F1AC4" w:rsidRDefault="00551479" w:rsidP="00531D93">
            <w:pPr>
              <w:widowControl w:val="0"/>
              <w:jc w:val="center"/>
            </w:pPr>
            <w:r w:rsidRPr="004F1AC4">
              <w:t>4.</w:t>
            </w:r>
          </w:p>
        </w:tc>
        <w:tc>
          <w:tcPr>
            <w:tcW w:w="8157" w:type="dxa"/>
          </w:tcPr>
          <w:p w14:paraId="66725AEB" w14:textId="1BFE2187" w:rsidR="00531D93" w:rsidRPr="004F1AC4" w:rsidRDefault="00531D93" w:rsidP="00531D93">
            <w:pPr>
              <w:widowControl w:val="0"/>
            </w:pPr>
            <w:r w:rsidRPr="004F1AC4">
              <w:t>Jungiamosios plokštės;</w:t>
            </w:r>
          </w:p>
        </w:tc>
        <w:tc>
          <w:tcPr>
            <w:tcW w:w="4573" w:type="dxa"/>
          </w:tcPr>
          <w:p w14:paraId="209FBEF6" w14:textId="77777777" w:rsidR="0074255C" w:rsidRPr="004F1AC4" w:rsidRDefault="0074255C" w:rsidP="0074255C">
            <w:pPr>
              <w:widowControl w:val="0"/>
              <w:jc w:val="center"/>
            </w:pPr>
            <w:r w:rsidRPr="004F1AC4">
              <w:t>TAIP/NE</w:t>
            </w:r>
          </w:p>
          <w:p w14:paraId="4C16E0A8" w14:textId="2B6DA5AE" w:rsidR="00531D93" w:rsidRPr="004F1AC4" w:rsidRDefault="0074255C" w:rsidP="0074255C">
            <w:pPr>
              <w:widowControl w:val="0"/>
              <w:jc w:val="center"/>
            </w:pPr>
            <w:r w:rsidRPr="004F1AC4">
              <w:t>NURODYTI</w:t>
            </w:r>
          </w:p>
        </w:tc>
      </w:tr>
      <w:tr w:rsidR="00531D93" w:rsidRPr="004F1AC4" w14:paraId="12FF3D8E" w14:textId="77777777" w:rsidTr="00531D93">
        <w:tc>
          <w:tcPr>
            <w:tcW w:w="988" w:type="dxa"/>
          </w:tcPr>
          <w:p w14:paraId="0611C24B" w14:textId="6D511B26" w:rsidR="00531D93" w:rsidRPr="004F1AC4" w:rsidRDefault="00551479" w:rsidP="00531D93">
            <w:pPr>
              <w:widowControl w:val="0"/>
              <w:jc w:val="center"/>
            </w:pPr>
            <w:r w:rsidRPr="004F1AC4">
              <w:t>5.</w:t>
            </w:r>
          </w:p>
        </w:tc>
        <w:tc>
          <w:tcPr>
            <w:tcW w:w="8157" w:type="dxa"/>
          </w:tcPr>
          <w:p w14:paraId="725758A9" w14:textId="576F3D24" w:rsidR="00531D93" w:rsidRPr="004F1AC4" w:rsidRDefault="00531D93" w:rsidP="00531D93">
            <w:pPr>
              <w:widowControl w:val="0"/>
            </w:pPr>
            <w:r w:rsidRPr="004F1AC4">
              <w:t>Tvirtinimo elementų (varžtai, sriegtai strypai);</w:t>
            </w:r>
          </w:p>
        </w:tc>
        <w:tc>
          <w:tcPr>
            <w:tcW w:w="4573" w:type="dxa"/>
          </w:tcPr>
          <w:p w14:paraId="54A48D63" w14:textId="77777777" w:rsidR="0074255C" w:rsidRPr="004F1AC4" w:rsidRDefault="0074255C" w:rsidP="0074255C">
            <w:pPr>
              <w:widowControl w:val="0"/>
              <w:jc w:val="center"/>
            </w:pPr>
            <w:r w:rsidRPr="004F1AC4">
              <w:t>TAIP/NE</w:t>
            </w:r>
          </w:p>
          <w:p w14:paraId="1BF14C0D" w14:textId="47D0FB16" w:rsidR="00531D93" w:rsidRPr="004F1AC4" w:rsidRDefault="0074255C" w:rsidP="0074255C">
            <w:pPr>
              <w:widowControl w:val="0"/>
              <w:jc w:val="center"/>
            </w:pPr>
            <w:r w:rsidRPr="004F1AC4">
              <w:t>NURODYTI</w:t>
            </w:r>
          </w:p>
        </w:tc>
      </w:tr>
      <w:tr w:rsidR="00531D93" w:rsidRPr="004F1AC4" w14:paraId="3BA617ED" w14:textId="77777777" w:rsidTr="00531D93">
        <w:tc>
          <w:tcPr>
            <w:tcW w:w="988" w:type="dxa"/>
          </w:tcPr>
          <w:p w14:paraId="07B12F47" w14:textId="115141F1" w:rsidR="00531D93" w:rsidRPr="004F1AC4" w:rsidRDefault="00551479" w:rsidP="00531D93">
            <w:pPr>
              <w:widowControl w:val="0"/>
              <w:jc w:val="center"/>
            </w:pPr>
            <w:r w:rsidRPr="004F1AC4">
              <w:t>6.</w:t>
            </w:r>
          </w:p>
        </w:tc>
        <w:tc>
          <w:tcPr>
            <w:tcW w:w="8157" w:type="dxa"/>
          </w:tcPr>
          <w:p w14:paraId="336F6E77" w14:textId="0B1AE102" w:rsidR="00531D93" w:rsidRPr="004F1AC4" w:rsidRDefault="00531D93" w:rsidP="00531D93">
            <w:pPr>
              <w:widowControl w:val="0"/>
            </w:pPr>
            <w:r w:rsidRPr="004F1AC4">
              <w:t>Fanera arba kita medžiaga bortams;</w:t>
            </w:r>
          </w:p>
        </w:tc>
        <w:tc>
          <w:tcPr>
            <w:tcW w:w="4573" w:type="dxa"/>
          </w:tcPr>
          <w:p w14:paraId="5A9DEA6D" w14:textId="77777777" w:rsidR="0074255C" w:rsidRPr="004F1AC4" w:rsidRDefault="0074255C" w:rsidP="0074255C">
            <w:pPr>
              <w:widowControl w:val="0"/>
              <w:jc w:val="center"/>
            </w:pPr>
            <w:r w:rsidRPr="004F1AC4">
              <w:t>TAIP/NE</w:t>
            </w:r>
          </w:p>
          <w:p w14:paraId="54EDA37F" w14:textId="77372DC3" w:rsidR="00531D93" w:rsidRPr="004F1AC4" w:rsidRDefault="0074255C" w:rsidP="0074255C">
            <w:pPr>
              <w:widowControl w:val="0"/>
              <w:jc w:val="center"/>
            </w:pPr>
            <w:r w:rsidRPr="004F1AC4">
              <w:t>NURODYTI</w:t>
            </w:r>
          </w:p>
        </w:tc>
      </w:tr>
      <w:tr w:rsidR="00531D93" w:rsidRPr="004F1AC4" w14:paraId="6D6F6FD2" w14:textId="77777777" w:rsidTr="00531D93">
        <w:tc>
          <w:tcPr>
            <w:tcW w:w="988" w:type="dxa"/>
          </w:tcPr>
          <w:p w14:paraId="594FDEF9" w14:textId="52B51064" w:rsidR="00531D93" w:rsidRPr="004F1AC4" w:rsidRDefault="00551479" w:rsidP="00531D93">
            <w:pPr>
              <w:widowControl w:val="0"/>
              <w:jc w:val="center"/>
            </w:pPr>
            <w:r w:rsidRPr="004F1AC4">
              <w:t>7.</w:t>
            </w:r>
          </w:p>
        </w:tc>
        <w:tc>
          <w:tcPr>
            <w:tcW w:w="8157" w:type="dxa"/>
          </w:tcPr>
          <w:p w14:paraId="6829E559" w14:textId="6FB005B2" w:rsidR="00531D93" w:rsidRPr="004F1AC4" w:rsidRDefault="00531D93" w:rsidP="00531D93">
            <w:pPr>
              <w:widowControl w:val="0"/>
            </w:pPr>
            <w:r w:rsidRPr="004F1AC4">
              <w:t>Geotekstilė (dengiamasis) sluoksnis;</w:t>
            </w:r>
          </w:p>
        </w:tc>
        <w:tc>
          <w:tcPr>
            <w:tcW w:w="4573" w:type="dxa"/>
          </w:tcPr>
          <w:p w14:paraId="43FD1BD6" w14:textId="77777777" w:rsidR="0074255C" w:rsidRPr="004F1AC4" w:rsidRDefault="0074255C" w:rsidP="0074255C">
            <w:pPr>
              <w:widowControl w:val="0"/>
              <w:jc w:val="center"/>
            </w:pPr>
            <w:r w:rsidRPr="004F1AC4">
              <w:t>TAIP/NE</w:t>
            </w:r>
          </w:p>
          <w:p w14:paraId="2A5080F1" w14:textId="6021BF73" w:rsidR="00531D93" w:rsidRPr="004F1AC4" w:rsidRDefault="0074255C" w:rsidP="0074255C">
            <w:pPr>
              <w:widowControl w:val="0"/>
              <w:jc w:val="center"/>
            </w:pPr>
            <w:r w:rsidRPr="004F1AC4">
              <w:t>NURODYTI</w:t>
            </w:r>
          </w:p>
        </w:tc>
      </w:tr>
      <w:tr w:rsidR="00531D93" w:rsidRPr="004F1AC4" w14:paraId="7F5771FF" w14:textId="77777777" w:rsidTr="00531D93">
        <w:tc>
          <w:tcPr>
            <w:tcW w:w="988" w:type="dxa"/>
          </w:tcPr>
          <w:p w14:paraId="447D65E9" w14:textId="244681C7" w:rsidR="00531D93" w:rsidRPr="004F1AC4" w:rsidRDefault="00551479" w:rsidP="00531D93">
            <w:pPr>
              <w:widowControl w:val="0"/>
              <w:jc w:val="center"/>
            </w:pPr>
            <w:r w:rsidRPr="004F1AC4">
              <w:t>8.</w:t>
            </w:r>
          </w:p>
        </w:tc>
        <w:tc>
          <w:tcPr>
            <w:tcW w:w="8157" w:type="dxa"/>
          </w:tcPr>
          <w:p w14:paraId="19BB74F6" w14:textId="03C29423" w:rsidR="00531D93" w:rsidRPr="004F1AC4" w:rsidRDefault="00531D93" w:rsidP="00531D93">
            <w:pPr>
              <w:widowControl w:val="0"/>
            </w:pPr>
            <w:r w:rsidRPr="004F1AC4">
              <w:t>Tentas</w:t>
            </w:r>
          </w:p>
        </w:tc>
        <w:tc>
          <w:tcPr>
            <w:tcW w:w="4573" w:type="dxa"/>
          </w:tcPr>
          <w:p w14:paraId="3FCCB26A" w14:textId="77777777" w:rsidR="0074255C" w:rsidRPr="004F1AC4" w:rsidRDefault="0074255C" w:rsidP="0074255C">
            <w:pPr>
              <w:widowControl w:val="0"/>
              <w:jc w:val="center"/>
            </w:pPr>
            <w:r w:rsidRPr="004F1AC4">
              <w:t>TAIP/NE</w:t>
            </w:r>
          </w:p>
          <w:p w14:paraId="4782C8A0" w14:textId="2AE56CCB" w:rsidR="00531D93" w:rsidRPr="004F1AC4" w:rsidRDefault="0074255C" w:rsidP="0074255C">
            <w:pPr>
              <w:widowControl w:val="0"/>
              <w:jc w:val="center"/>
            </w:pPr>
            <w:r w:rsidRPr="004F1AC4">
              <w:t>NURODYTI</w:t>
            </w:r>
          </w:p>
        </w:tc>
      </w:tr>
      <w:tr w:rsidR="00531D93" w:rsidRPr="004F1AC4" w14:paraId="7ECD8976" w14:textId="77777777" w:rsidTr="00970474">
        <w:tc>
          <w:tcPr>
            <w:tcW w:w="13718" w:type="dxa"/>
            <w:gridSpan w:val="3"/>
          </w:tcPr>
          <w:p w14:paraId="6763E824" w14:textId="1EEE72A0" w:rsidR="00531D93" w:rsidRPr="004F1AC4" w:rsidRDefault="00531D93" w:rsidP="00531D93">
            <w:pPr>
              <w:widowControl w:val="0"/>
            </w:pPr>
            <w:r w:rsidRPr="004F1AC4">
              <w:t>Reikalavimai geotekstilei:</w:t>
            </w:r>
          </w:p>
        </w:tc>
      </w:tr>
      <w:tr w:rsidR="00531D93" w:rsidRPr="004F1AC4" w14:paraId="3E03BB12" w14:textId="77777777" w:rsidTr="00531D93">
        <w:tc>
          <w:tcPr>
            <w:tcW w:w="988" w:type="dxa"/>
          </w:tcPr>
          <w:p w14:paraId="13A49C1A" w14:textId="1182AAC6" w:rsidR="00531D93" w:rsidRPr="004F1AC4" w:rsidRDefault="00551479" w:rsidP="00531D93">
            <w:pPr>
              <w:widowControl w:val="0"/>
              <w:jc w:val="center"/>
            </w:pPr>
            <w:r w:rsidRPr="004F1AC4">
              <w:t>1.</w:t>
            </w:r>
          </w:p>
        </w:tc>
        <w:tc>
          <w:tcPr>
            <w:tcW w:w="8157" w:type="dxa"/>
          </w:tcPr>
          <w:p w14:paraId="2D055362" w14:textId="34C88E37" w:rsidR="00531D93" w:rsidRPr="004F1AC4" w:rsidRDefault="00531D93" w:rsidP="00551479">
            <w:pPr>
              <w:widowControl w:val="0"/>
            </w:pPr>
            <w:r w:rsidRPr="004F1AC4">
              <w:t>Audinys turi išlaikyti vienodas savybes temperatūros intervale nuo -50°C iki +50°C;</w:t>
            </w:r>
          </w:p>
        </w:tc>
        <w:tc>
          <w:tcPr>
            <w:tcW w:w="4573" w:type="dxa"/>
          </w:tcPr>
          <w:p w14:paraId="405CAA72" w14:textId="43F8A6DF" w:rsidR="00531D93" w:rsidRPr="004F1AC4" w:rsidRDefault="0074255C" w:rsidP="00531D93">
            <w:pPr>
              <w:widowControl w:val="0"/>
              <w:jc w:val="center"/>
            </w:pPr>
            <w:r w:rsidRPr="004F1AC4">
              <w:t>NURODYTI</w:t>
            </w:r>
          </w:p>
        </w:tc>
      </w:tr>
      <w:tr w:rsidR="00531D93" w:rsidRPr="004F1AC4" w14:paraId="13359FF2" w14:textId="77777777" w:rsidTr="00531D93">
        <w:tc>
          <w:tcPr>
            <w:tcW w:w="988" w:type="dxa"/>
          </w:tcPr>
          <w:p w14:paraId="7C3E83F5" w14:textId="5440BB96" w:rsidR="00531D93" w:rsidRPr="004F1AC4" w:rsidRDefault="00551479" w:rsidP="00531D93">
            <w:pPr>
              <w:widowControl w:val="0"/>
              <w:jc w:val="center"/>
            </w:pPr>
            <w:r w:rsidRPr="004F1AC4">
              <w:t>2.</w:t>
            </w:r>
          </w:p>
        </w:tc>
        <w:tc>
          <w:tcPr>
            <w:tcW w:w="8157" w:type="dxa"/>
          </w:tcPr>
          <w:p w14:paraId="05595361" w14:textId="49BCB600" w:rsidR="00531D93" w:rsidRPr="004F1AC4" w:rsidRDefault="00551479" w:rsidP="00551479">
            <w:pPr>
              <w:widowControl w:val="0"/>
            </w:pPr>
            <w:r w:rsidRPr="004F1AC4">
              <w:t>Smėlio spalvos medžiaga neturi palaikyti miltligės ar grybelio augimo;</w:t>
            </w:r>
          </w:p>
        </w:tc>
        <w:tc>
          <w:tcPr>
            <w:tcW w:w="4573" w:type="dxa"/>
          </w:tcPr>
          <w:p w14:paraId="173869BD" w14:textId="77777777" w:rsidR="0074255C" w:rsidRPr="004F1AC4" w:rsidRDefault="0074255C" w:rsidP="0074255C">
            <w:pPr>
              <w:widowControl w:val="0"/>
              <w:jc w:val="center"/>
            </w:pPr>
            <w:r w:rsidRPr="004F1AC4">
              <w:t>TAIP/NE</w:t>
            </w:r>
          </w:p>
          <w:p w14:paraId="4EE07000" w14:textId="6A3D2344" w:rsidR="00531D93" w:rsidRPr="004F1AC4" w:rsidRDefault="0074255C" w:rsidP="0074255C">
            <w:pPr>
              <w:widowControl w:val="0"/>
              <w:jc w:val="center"/>
            </w:pPr>
            <w:r w:rsidRPr="004F1AC4">
              <w:t>NURODYTI</w:t>
            </w:r>
          </w:p>
        </w:tc>
      </w:tr>
      <w:tr w:rsidR="00551479" w:rsidRPr="004F1AC4" w14:paraId="17927AA0" w14:textId="77777777" w:rsidTr="00531D93">
        <w:tc>
          <w:tcPr>
            <w:tcW w:w="988" w:type="dxa"/>
          </w:tcPr>
          <w:p w14:paraId="104DF2B7" w14:textId="2B8822B5" w:rsidR="00551479" w:rsidRPr="004F1AC4" w:rsidRDefault="00551479" w:rsidP="00531D93">
            <w:pPr>
              <w:widowControl w:val="0"/>
              <w:jc w:val="center"/>
            </w:pPr>
            <w:r w:rsidRPr="004F1AC4">
              <w:t>3.</w:t>
            </w:r>
          </w:p>
        </w:tc>
        <w:tc>
          <w:tcPr>
            <w:tcW w:w="8157" w:type="dxa"/>
          </w:tcPr>
          <w:p w14:paraId="1964FE0C" w14:textId="6C8FCC4B" w:rsidR="00551479" w:rsidRPr="004F1AC4" w:rsidRDefault="00551479" w:rsidP="00551479">
            <w:pPr>
              <w:widowControl w:val="0"/>
            </w:pPr>
            <w:r w:rsidRPr="004F1AC4">
              <w:t xml:space="preserve">Atsparumas ugniai – nepalaiko liepsnos plitimo ir </w:t>
            </w:r>
            <w:r w:rsidRPr="004F1AC4">
              <w:lastRenderedPageBreak/>
              <w:t>neišskiria toksiškų dūmų;</w:t>
            </w:r>
          </w:p>
        </w:tc>
        <w:tc>
          <w:tcPr>
            <w:tcW w:w="4573" w:type="dxa"/>
          </w:tcPr>
          <w:p w14:paraId="7FA2477A" w14:textId="77777777" w:rsidR="0074255C" w:rsidRPr="004F1AC4" w:rsidRDefault="0074255C" w:rsidP="0074255C">
            <w:pPr>
              <w:widowControl w:val="0"/>
              <w:jc w:val="center"/>
            </w:pPr>
            <w:r w:rsidRPr="004F1AC4">
              <w:lastRenderedPageBreak/>
              <w:t>TAIP/NE</w:t>
            </w:r>
          </w:p>
          <w:p w14:paraId="5272C23D" w14:textId="0F9D1746" w:rsidR="00551479" w:rsidRPr="004F1AC4" w:rsidRDefault="0074255C" w:rsidP="0074255C">
            <w:pPr>
              <w:widowControl w:val="0"/>
              <w:jc w:val="center"/>
            </w:pPr>
            <w:r w:rsidRPr="004F1AC4">
              <w:lastRenderedPageBreak/>
              <w:t>NURODYTI</w:t>
            </w:r>
          </w:p>
        </w:tc>
      </w:tr>
      <w:tr w:rsidR="00551479" w:rsidRPr="004F1AC4" w14:paraId="21214403" w14:textId="77777777" w:rsidTr="00531D93">
        <w:tc>
          <w:tcPr>
            <w:tcW w:w="988" w:type="dxa"/>
          </w:tcPr>
          <w:p w14:paraId="1D3B19F3" w14:textId="7273D8B8" w:rsidR="00551479" w:rsidRPr="004F1AC4" w:rsidRDefault="00551479" w:rsidP="00531D93">
            <w:pPr>
              <w:widowControl w:val="0"/>
              <w:jc w:val="center"/>
            </w:pPr>
            <w:r w:rsidRPr="004F1AC4">
              <w:lastRenderedPageBreak/>
              <w:t>4.</w:t>
            </w:r>
          </w:p>
        </w:tc>
        <w:tc>
          <w:tcPr>
            <w:tcW w:w="8157" w:type="dxa"/>
          </w:tcPr>
          <w:p w14:paraId="7F5F4435" w14:textId="35209FB8" w:rsidR="00551479" w:rsidRPr="004F1AC4" w:rsidRDefault="00551479" w:rsidP="00551479">
            <w:pPr>
              <w:widowControl w:val="0"/>
              <w:jc w:val="center"/>
            </w:pPr>
            <w:r w:rsidRPr="004F1AC4">
              <w:t>Geotekstilė audinys, itin atsparus UV spinduliams. Turi išlaikyti ne mažiau kaip</w:t>
            </w:r>
            <w:r w:rsidRPr="004F1AC4">
              <w:t xml:space="preserve"> </w:t>
            </w:r>
            <w:r w:rsidRPr="004F1AC4">
              <w:t>80% po1000 val. poveikio pagal ASTM D-4355 ar lygiavertį standartą;</w:t>
            </w:r>
          </w:p>
        </w:tc>
        <w:tc>
          <w:tcPr>
            <w:tcW w:w="4573" w:type="dxa"/>
          </w:tcPr>
          <w:p w14:paraId="04C8A9A8" w14:textId="2479C70A" w:rsidR="00551479" w:rsidRPr="004F1AC4" w:rsidRDefault="0074255C" w:rsidP="00531D93">
            <w:pPr>
              <w:widowControl w:val="0"/>
              <w:jc w:val="center"/>
            </w:pPr>
            <w:r w:rsidRPr="004F1AC4">
              <w:t>NURODYTI</w:t>
            </w:r>
          </w:p>
        </w:tc>
      </w:tr>
      <w:tr w:rsidR="00551479" w:rsidRPr="004F1AC4" w14:paraId="74247F21" w14:textId="77777777" w:rsidTr="00531D93">
        <w:tc>
          <w:tcPr>
            <w:tcW w:w="988" w:type="dxa"/>
          </w:tcPr>
          <w:p w14:paraId="634C1465" w14:textId="07D176B7" w:rsidR="00551479" w:rsidRPr="004F1AC4" w:rsidRDefault="00551479" w:rsidP="00531D93">
            <w:pPr>
              <w:widowControl w:val="0"/>
              <w:jc w:val="center"/>
            </w:pPr>
            <w:r w:rsidRPr="004F1AC4">
              <w:t>5.</w:t>
            </w:r>
          </w:p>
        </w:tc>
        <w:tc>
          <w:tcPr>
            <w:tcW w:w="8157" w:type="dxa"/>
          </w:tcPr>
          <w:p w14:paraId="78B75C67" w14:textId="01FEA890" w:rsidR="00551479" w:rsidRPr="004F1AC4" w:rsidRDefault="00551479" w:rsidP="00551479">
            <w:pPr>
              <w:widowControl w:val="0"/>
            </w:pPr>
            <w:r w:rsidRPr="004F1AC4">
              <w:t>Atsparumas cheminiam poveikiui (degalams, alyvoms ir valikliams) ne mažiau kaip 90 % pagal MIL-STD-810G ar lygiavertį standartą</w:t>
            </w:r>
          </w:p>
        </w:tc>
        <w:tc>
          <w:tcPr>
            <w:tcW w:w="4573" w:type="dxa"/>
          </w:tcPr>
          <w:p w14:paraId="2D60C2F8" w14:textId="0581A42F" w:rsidR="00551479" w:rsidRPr="004F1AC4" w:rsidRDefault="0074255C" w:rsidP="00531D93">
            <w:pPr>
              <w:widowControl w:val="0"/>
              <w:jc w:val="center"/>
            </w:pPr>
            <w:r w:rsidRPr="004F1AC4">
              <w:t>NURODYTI</w:t>
            </w:r>
          </w:p>
        </w:tc>
      </w:tr>
      <w:tr w:rsidR="00551479" w:rsidRPr="004F1AC4" w14:paraId="21ED69CE" w14:textId="77777777" w:rsidTr="00531D93">
        <w:tc>
          <w:tcPr>
            <w:tcW w:w="988" w:type="dxa"/>
          </w:tcPr>
          <w:p w14:paraId="13A0EC57" w14:textId="41793494" w:rsidR="00551479" w:rsidRPr="004F1AC4" w:rsidRDefault="00551479" w:rsidP="00531D93">
            <w:pPr>
              <w:widowControl w:val="0"/>
              <w:jc w:val="center"/>
            </w:pPr>
            <w:r w:rsidRPr="004F1AC4">
              <w:t>6.</w:t>
            </w:r>
          </w:p>
        </w:tc>
        <w:tc>
          <w:tcPr>
            <w:tcW w:w="8157" w:type="dxa"/>
          </w:tcPr>
          <w:p w14:paraId="1F978260" w14:textId="12080552" w:rsidR="00551479" w:rsidRPr="004F1AC4" w:rsidRDefault="00551479" w:rsidP="00551479">
            <w:pPr>
              <w:widowControl w:val="0"/>
            </w:pPr>
            <w:r w:rsidRPr="004F1AC4">
              <w:t>Minimalus medžiagos storis 1.2 ± 0,3 mm;</w:t>
            </w:r>
          </w:p>
        </w:tc>
        <w:tc>
          <w:tcPr>
            <w:tcW w:w="4573" w:type="dxa"/>
          </w:tcPr>
          <w:p w14:paraId="12715C44" w14:textId="08CC0C6A" w:rsidR="00551479" w:rsidRPr="004F1AC4" w:rsidRDefault="0074255C" w:rsidP="00531D93">
            <w:pPr>
              <w:widowControl w:val="0"/>
              <w:jc w:val="center"/>
            </w:pPr>
            <w:r w:rsidRPr="004F1AC4">
              <w:t>NURODYTI</w:t>
            </w:r>
          </w:p>
        </w:tc>
      </w:tr>
      <w:tr w:rsidR="00551479" w:rsidRPr="004F1AC4" w14:paraId="4AEBB70E" w14:textId="77777777" w:rsidTr="00531D93">
        <w:tc>
          <w:tcPr>
            <w:tcW w:w="988" w:type="dxa"/>
          </w:tcPr>
          <w:p w14:paraId="1479F7A0" w14:textId="586A1702" w:rsidR="00551479" w:rsidRPr="004F1AC4" w:rsidRDefault="00551479" w:rsidP="00531D93">
            <w:pPr>
              <w:widowControl w:val="0"/>
              <w:jc w:val="center"/>
            </w:pPr>
            <w:r w:rsidRPr="004F1AC4">
              <w:t>7.</w:t>
            </w:r>
          </w:p>
        </w:tc>
        <w:tc>
          <w:tcPr>
            <w:tcW w:w="8157" w:type="dxa"/>
          </w:tcPr>
          <w:p w14:paraId="261D6A7A" w14:textId="0EBC0A47" w:rsidR="00551479" w:rsidRPr="004F1AC4" w:rsidRDefault="00551479" w:rsidP="00551479">
            <w:pPr>
              <w:widowControl w:val="0"/>
            </w:pPr>
            <w:r w:rsidRPr="004F1AC4">
              <w:t>Minimalus medžiagos svoris 150 g/m2;</w:t>
            </w:r>
          </w:p>
        </w:tc>
        <w:tc>
          <w:tcPr>
            <w:tcW w:w="4573" w:type="dxa"/>
          </w:tcPr>
          <w:p w14:paraId="518A8A62" w14:textId="0EC67193" w:rsidR="00551479" w:rsidRPr="004F1AC4" w:rsidRDefault="0074255C" w:rsidP="00531D93">
            <w:pPr>
              <w:widowControl w:val="0"/>
              <w:jc w:val="center"/>
            </w:pPr>
            <w:r w:rsidRPr="004F1AC4">
              <w:t>NURODYTI</w:t>
            </w:r>
          </w:p>
        </w:tc>
      </w:tr>
      <w:tr w:rsidR="00551479" w:rsidRPr="004F1AC4" w14:paraId="22012F63" w14:textId="77777777" w:rsidTr="00531D93">
        <w:tc>
          <w:tcPr>
            <w:tcW w:w="988" w:type="dxa"/>
          </w:tcPr>
          <w:p w14:paraId="7DEB21DA" w14:textId="49B4CAC5" w:rsidR="00551479" w:rsidRPr="004F1AC4" w:rsidRDefault="00551479" w:rsidP="00531D93">
            <w:pPr>
              <w:widowControl w:val="0"/>
              <w:jc w:val="center"/>
            </w:pPr>
            <w:r w:rsidRPr="004F1AC4">
              <w:t>8.</w:t>
            </w:r>
          </w:p>
        </w:tc>
        <w:tc>
          <w:tcPr>
            <w:tcW w:w="8157" w:type="dxa"/>
          </w:tcPr>
          <w:p w14:paraId="407E9A50" w14:textId="0109AB95" w:rsidR="00551479" w:rsidRPr="004F1AC4" w:rsidRDefault="00551479" w:rsidP="00551479">
            <w:pPr>
              <w:widowControl w:val="0"/>
            </w:pPr>
            <w:r w:rsidRPr="004F1AC4">
              <w:t>Tempimo atsparumas (išilgai) 800 – 934 N pagal standartus ASTM D-4632 ar lygiavertį standartą;</w:t>
            </w:r>
          </w:p>
        </w:tc>
        <w:tc>
          <w:tcPr>
            <w:tcW w:w="4573" w:type="dxa"/>
          </w:tcPr>
          <w:p w14:paraId="369BC685" w14:textId="77777777" w:rsidR="0074255C" w:rsidRPr="004F1AC4" w:rsidRDefault="0074255C" w:rsidP="0074255C">
            <w:pPr>
              <w:widowControl w:val="0"/>
              <w:jc w:val="center"/>
            </w:pPr>
            <w:r w:rsidRPr="004F1AC4">
              <w:t>TAIP/NE</w:t>
            </w:r>
          </w:p>
          <w:p w14:paraId="53F2BB1D" w14:textId="111BAD18" w:rsidR="00551479" w:rsidRPr="004F1AC4" w:rsidRDefault="0074255C" w:rsidP="0074255C">
            <w:pPr>
              <w:widowControl w:val="0"/>
              <w:jc w:val="center"/>
            </w:pPr>
            <w:r w:rsidRPr="004F1AC4">
              <w:t>NURODYTI</w:t>
            </w:r>
          </w:p>
        </w:tc>
      </w:tr>
      <w:tr w:rsidR="00551479" w:rsidRPr="004F1AC4" w14:paraId="3C2D0A1E" w14:textId="77777777" w:rsidTr="00531D93">
        <w:tc>
          <w:tcPr>
            <w:tcW w:w="988" w:type="dxa"/>
          </w:tcPr>
          <w:p w14:paraId="49D729BF" w14:textId="52AC7912" w:rsidR="00551479" w:rsidRPr="004F1AC4" w:rsidRDefault="00551479" w:rsidP="00531D93">
            <w:pPr>
              <w:widowControl w:val="0"/>
              <w:jc w:val="center"/>
            </w:pPr>
            <w:r w:rsidRPr="004F1AC4">
              <w:t>9.</w:t>
            </w:r>
          </w:p>
        </w:tc>
        <w:tc>
          <w:tcPr>
            <w:tcW w:w="8157" w:type="dxa"/>
          </w:tcPr>
          <w:p w14:paraId="5E695FCC" w14:textId="77B110B7" w:rsidR="00551479" w:rsidRPr="004F1AC4" w:rsidRDefault="00551479" w:rsidP="00551479">
            <w:pPr>
              <w:widowControl w:val="0"/>
            </w:pPr>
            <w:r w:rsidRPr="004F1AC4">
              <w:t>Tempimo atsparumas pailgėjimui ne mažesnis kaip 80%;</w:t>
            </w:r>
          </w:p>
        </w:tc>
        <w:tc>
          <w:tcPr>
            <w:tcW w:w="4573" w:type="dxa"/>
          </w:tcPr>
          <w:p w14:paraId="0B8D0608" w14:textId="64C418EF" w:rsidR="00551479" w:rsidRPr="004F1AC4" w:rsidRDefault="0074255C" w:rsidP="00531D93">
            <w:pPr>
              <w:widowControl w:val="0"/>
              <w:jc w:val="center"/>
            </w:pPr>
            <w:r w:rsidRPr="004F1AC4">
              <w:t>NURODYTI</w:t>
            </w:r>
          </w:p>
        </w:tc>
      </w:tr>
      <w:tr w:rsidR="00551479" w:rsidRPr="004F1AC4" w14:paraId="27EC181C" w14:textId="77777777" w:rsidTr="00531D93">
        <w:tc>
          <w:tcPr>
            <w:tcW w:w="988" w:type="dxa"/>
          </w:tcPr>
          <w:p w14:paraId="3479D48F" w14:textId="4F501513" w:rsidR="00551479" w:rsidRPr="004F1AC4" w:rsidRDefault="00551479" w:rsidP="00531D93">
            <w:pPr>
              <w:widowControl w:val="0"/>
              <w:jc w:val="center"/>
            </w:pPr>
            <w:r w:rsidRPr="004F1AC4">
              <w:t>10.</w:t>
            </w:r>
          </w:p>
        </w:tc>
        <w:tc>
          <w:tcPr>
            <w:tcW w:w="8157" w:type="dxa"/>
          </w:tcPr>
          <w:p w14:paraId="40DC377C" w14:textId="3671D28C" w:rsidR="00551479" w:rsidRPr="004F1AC4" w:rsidRDefault="00551479" w:rsidP="00551479">
            <w:pPr>
              <w:widowControl w:val="0"/>
            </w:pPr>
            <w:r w:rsidRPr="004F1AC4">
              <w:t>Tempimo atsparumas (į plotį) 11,4 – 13,1 N/mm ± 1 N/mm pagal standartus ASTM D-4595 ar lygiavertį standartą.</w:t>
            </w:r>
          </w:p>
        </w:tc>
        <w:tc>
          <w:tcPr>
            <w:tcW w:w="4573" w:type="dxa"/>
          </w:tcPr>
          <w:p w14:paraId="7EB4EFBD" w14:textId="77777777" w:rsidR="0074255C" w:rsidRPr="004F1AC4" w:rsidRDefault="0074255C" w:rsidP="0074255C">
            <w:pPr>
              <w:widowControl w:val="0"/>
              <w:jc w:val="center"/>
            </w:pPr>
            <w:r w:rsidRPr="004F1AC4">
              <w:t>TAIP/NE</w:t>
            </w:r>
          </w:p>
          <w:p w14:paraId="5B49591A" w14:textId="7E5E287B" w:rsidR="00551479" w:rsidRPr="004F1AC4" w:rsidRDefault="0074255C" w:rsidP="0074255C">
            <w:pPr>
              <w:widowControl w:val="0"/>
              <w:jc w:val="center"/>
            </w:pPr>
            <w:r w:rsidRPr="004F1AC4">
              <w:t>NURODYTI</w:t>
            </w:r>
          </w:p>
        </w:tc>
      </w:tr>
      <w:tr w:rsidR="00551479" w:rsidRPr="004F1AC4" w14:paraId="14615043" w14:textId="77777777" w:rsidTr="007C0358">
        <w:tc>
          <w:tcPr>
            <w:tcW w:w="13718" w:type="dxa"/>
            <w:gridSpan w:val="3"/>
          </w:tcPr>
          <w:p w14:paraId="759947B8" w14:textId="36E2B352" w:rsidR="00551479" w:rsidRPr="004F1AC4" w:rsidRDefault="00551479" w:rsidP="00551479">
            <w:pPr>
              <w:widowControl w:val="0"/>
            </w:pPr>
            <w:r w:rsidRPr="004F1AC4">
              <w:t>Reikalavimai tentui:</w:t>
            </w:r>
          </w:p>
        </w:tc>
      </w:tr>
      <w:tr w:rsidR="00551479" w:rsidRPr="004F1AC4" w14:paraId="0F4C249F" w14:textId="77777777" w:rsidTr="00531D93">
        <w:tc>
          <w:tcPr>
            <w:tcW w:w="988" w:type="dxa"/>
          </w:tcPr>
          <w:p w14:paraId="11BE85A0" w14:textId="56CF78FE" w:rsidR="00551479" w:rsidRPr="004F1AC4" w:rsidRDefault="00551479" w:rsidP="00531D93">
            <w:pPr>
              <w:widowControl w:val="0"/>
              <w:jc w:val="center"/>
            </w:pPr>
            <w:r w:rsidRPr="004F1AC4">
              <w:t>1.</w:t>
            </w:r>
          </w:p>
        </w:tc>
        <w:tc>
          <w:tcPr>
            <w:tcW w:w="8157" w:type="dxa"/>
          </w:tcPr>
          <w:p w14:paraId="551900C6" w14:textId="772DC4A3" w:rsidR="00551479" w:rsidRPr="004F1AC4" w:rsidRDefault="00551479" w:rsidP="00551479">
            <w:pPr>
              <w:widowControl w:val="0"/>
            </w:pPr>
            <w:r w:rsidRPr="004F1AC4">
              <w:t>Vientisa medžiaga, nepraslystanti vaikštant, su tvirtinimo elementais prie konstrukcinio stogo;</w:t>
            </w:r>
          </w:p>
        </w:tc>
        <w:tc>
          <w:tcPr>
            <w:tcW w:w="4573" w:type="dxa"/>
          </w:tcPr>
          <w:p w14:paraId="44826897" w14:textId="77777777" w:rsidR="0074255C" w:rsidRPr="004F1AC4" w:rsidRDefault="0074255C" w:rsidP="0074255C">
            <w:pPr>
              <w:widowControl w:val="0"/>
              <w:jc w:val="center"/>
            </w:pPr>
            <w:r w:rsidRPr="004F1AC4">
              <w:t>TAIP/NE</w:t>
            </w:r>
          </w:p>
          <w:p w14:paraId="3B3F87DE" w14:textId="59F334E8" w:rsidR="00551479" w:rsidRPr="004F1AC4" w:rsidRDefault="0074255C" w:rsidP="0074255C">
            <w:pPr>
              <w:widowControl w:val="0"/>
              <w:jc w:val="center"/>
            </w:pPr>
            <w:r w:rsidRPr="004F1AC4">
              <w:t>NURODYTI</w:t>
            </w:r>
          </w:p>
        </w:tc>
      </w:tr>
      <w:tr w:rsidR="00551479" w:rsidRPr="004F1AC4" w14:paraId="20466548" w14:textId="77777777" w:rsidTr="00531D93">
        <w:tc>
          <w:tcPr>
            <w:tcW w:w="988" w:type="dxa"/>
          </w:tcPr>
          <w:p w14:paraId="4B9C4653" w14:textId="6A7E250A" w:rsidR="00551479" w:rsidRPr="004F1AC4" w:rsidRDefault="00551479" w:rsidP="00531D93">
            <w:pPr>
              <w:widowControl w:val="0"/>
              <w:jc w:val="center"/>
            </w:pPr>
            <w:r w:rsidRPr="004F1AC4">
              <w:t>2.</w:t>
            </w:r>
          </w:p>
        </w:tc>
        <w:tc>
          <w:tcPr>
            <w:tcW w:w="8157" w:type="dxa"/>
          </w:tcPr>
          <w:p w14:paraId="4542A8EE" w14:textId="677D6D6D" w:rsidR="00551479" w:rsidRPr="004F1AC4" w:rsidRDefault="00551479" w:rsidP="00551479">
            <w:pPr>
              <w:widowControl w:val="0"/>
            </w:pPr>
            <w:r w:rsidRPr="004F1AC4">
              <w:t>Dengianti visą konstrukciją, atspari tiesioginiam vandens poveikiui. Pagaminta iš poliesterio arba jo savybes atitinkančios medžiagos;</w:t>
            </w:r>
          </w:p>
        </w:tc>
        <w:tc>
          <w:tcPr>
            <w:tcW w:w="4573" w:type="dxa"/>
          </w:tcPr>
          <w:p w14:paraId="65F4DA70" w14:textId="77777777" w:rsidR="0074255C" w:rsidRPr="004F1AC4" w:rsidRDefault="0074255C" w:rsidP="0074255C">
            <w:pPr>
              <w:widowControl w:val="0"/>
              <w:jc w:val="center"/>
            </w:pPr>
            <w:r w:rsidRPr="004F1AC4">
              <w:t>TAIP/NE</w:t>
            </w:r>
          </w:p>
          <w:p w14:paraId="295796F1" w14:textId="7D6CF8F0" w:rsidR="00551479" w:rsidRPr="004F1AC4" w:rsidRDefault="0074255C" w:rsidP="0074255C">
            <w:pPr>
              <w:widowControl w:val="0"/>
              <w:jc w:val="center"/>
            </w:pPr>
            <w:r w:rsidRPr="004F1AC4">
              <w:t>NURODYTI</w:t>
            </w:r>
          </w:p>
        </w:tc>
      </w:tr>
      <w:tr w:rsidR="00551479" w:rsidRPr="004F1AC4" w14:paraId="3342AE31" w14:textId="77777777" w:rsidTr="00531D93">
        <w:tc>
          <w:tcPr>
            <w:tcW w:w="988" w:type="dxa"/>
          </w:tcPr>
          <w:p w14:paraId="7B50C40F" w14:textId="6A7CCEE7" w:rsidR="00551479" w:rsidRPr="004F1AC4" w:rsidRDefault="00551479" w:rsidP="00531D93">
            <w:pPr>
              <w:widowControl w:val="0"/>
              <w:jc w:val="center"/>
            </w:pPr>
            <w:r w:rsidRPr="004F1AC4">
              <w:t>3.</w:t>
            </w:r>
          </w:p>
        </w:tc>
        <w:tc>
          <w:tcPr>
            <w:tcW w:w="8157" w:type="dxa"/>
          </w:tcPr>
          <w:p w14:paraId="647E6470" w14:textId="71F3F9D2" w:rsidR="00551479" w:rsidRPr="004F1AC4" w:rsidRDefault="00551479" w:rsidP="00551479">
            <w:pPr>
              <w:widowControl w:val="0"/>
            </w:pPr>
            <w:r w:rsidRPr="004F1AC4">
              <w:t xml:space="preserve">Atsparumas žemai </w:t>
            </w:r>
            <w:proofErr w:type="spellStart"/>
            <w:r w:rsidRPr="004F1AC4">
              <w:t>temeperatūrai</w:t>
            </w:r>
            <w:proofErr w:type="spellEnd"/>
            <w:r w:rsidRPr="004F1AC4">
              <w:t>. Medžiaga nesutrūkinėja ir išlieka lanksti (išlaiko savo savybes) prie -15 °C ir aukščiau. Pagal BS EN 1876-2:1998 arba lygiavertį testavimo metodą;</w:t>
            </w:r>
          </w:p>
        </w:tc>
        <w:tc>
          <w:tcPr>
            <w:tcW w:w="4573" w:type="dxa"/>
          </w:tcPr>
          <w:p w14:paraId="49CBA076" w14:textId="77777777" w:rsidR="0074255C" w:rsidRPr="004F1AC4" w:rsidRDefault="0074255C" w:rsidP="0074255C">
            <w:pPr>
              <w:widowControl w:val="0"/>
              <w:jc w:val="center"/>
            </w:pPr>
            <w:r w:rsidRPr="004F1AC4">
              <w:t>TAIP/NE</w:t>
            </w:r>
          </w:p>
          <w:p w14:paraId="5FE01997" w14:textId="23D7A304" w:rsidR="00551479" w:rsidRPr="004F1AC4" w:rsidRDefault="0074255C" w:rsidP="0074255C">
            <w:pPr>
              <w:widowControl w:val="0"/>
              <w:jc w:val="center"/>
            </w:pPr>
            <w:r w:rsidRPr="004F1AC4">
              <w:t>NURODYTI</w:t>
            </w:r>
          </w:p>
        </w:tc>
      </w:tr>
      <w:tr w:rsidR="00551479" w:rsidRPr="004F1AC4" w14:paraId="4D5C94E0" w14:textId="77777777" w:rsidTr="00531D93">
        <w:tc>
          <w:tcPr>
            <w:tcW w:w="988" w:type="dxa"/>
          </w:tcPr>
          <w:p w14:paraId="3200F2DF" w14:textId="7B760281" w:rsidR="00551479" w:rsidRPr="004F1AC4" w:rsidRDefault="00551479" w:rsidP="00531D93">
            <w:pPr>
              <w:widowControl w:val="0"/>
              <w:jc w:val="center"/>
            </w:pPr>
            <w:r w:rsidRPr="004F1AC4">
              <w:t>4.</w:t>
            </w:r>
          </w:p>
        </w:tc>
        <w:tc>
          <w:tcPr>
            <w:tcW w:w="8157" w:type="dxa"/>
          </w:tcPr>
          <w:p w14:paraId="6972234F" w14:textId="2743B084" w:rsidR="00551479" w:rsidRPr="004F1AC4" w:rsidRDefault="00551479" w:rsidP="00551479">
            <w:pPr>
              <w:widowControl w:val="0"/>
            </w:pPr>
            <w:r w:rsidRPr="004F1AC4">
              <w:t>Smėlio spalvos medžiaga neturi palaikyti miltligės ar grybelio augimo;</w:t>
            </w:r>
          </w:p>
        </w:tc>
        <w:tc>
          <w:tcPr>
            <w:tcW w:w="4573" w:type="dxa"/>
          </w:tcPr>
          <w:p w14:paraId="0EB33067" w14:textId="77777777" w:rsidR="0074255C" w:rsidRPr="004F1AC4" w:rsidRDefault="0074255C" w:rsidP="0074255C">
            <w:pPr>
              <w:widowControl w:val="0"/>
              <w:jc w:val="center"/>
            </w:pPr>
            <w:r w:rsidRPr="004F1AC4">
              <w:t>TAIP/NE</w:t>
            </w:r>
          </w:p>
          <w:p w14:paraId="5AC186C8" w14:textId="0B5492E6" w:rsidR="00551479" w:rsidRPr="004F1AC4" w:rsidRDefault="0074255C" w:rsidP="0074255C">
            <w:pPr>
              <w:widowControl w:val="0"/>
              <w:jc w:val="center"/>
            </w:pPr>
            <w:r w:rsidRPr="004F1AC4">
              <w:t>NURODYTI</w:t>
            </w:r>
          </w:p>
        </w:tc>
      </w:tr>
      <w:tr w:rsidR="00551479" w:rsidRPr="004F1AC4" w14:paraId="290ECCF3" w14:textId="77777777" w:rsidTr="00531D93">
        <w:tc>
          <w:tcPr>
            <w:tcW w:w="988" w:type="dxa"/>
          </w:tcPr>
          <w:p w14:paraId="1C820E4D" w14:textId="4EBEDA3C" w:rsidR="00551479" w:rsidRPr="004F1AC4" w:rsidRDefault="00551479" w:rsidP="00531D93">
            <w:pPr>
              <w:widowControl w:val="0"/>
              <w:jc w:val="center"/>
            </w:pPr>
            <w:r w:rsidRPr="004F1AC4">
              <w:t>5.</w:t>
            </w:r>
          </w:p>
        </w:tc>
        <w:tc>
          <w:tcPr>
            <w:tcW w:w="8157" w:type="dxa"/>
          </w:tcPr>
          <w:p w14:paraId="446B5399" w14:textId="482E1E91" w:rsidR="00551479" w:rsidRPr="004F1AC4" w:rsidRDefault="00551479" w:rsidP="00551479">
            <w:pPr>
              <w:widowControl w:val="0"/>
            </w:pPr>
            <w:r w:rsidRPr="004F1AC4">
              <w:t>Atsparumas ugniai – nepalaiko liepsnos plitimo ir neišskiria toksiškų dūmų. Pagal BS  EN ISO 6941:2003, BS 7177:2008+A1:2011 ir BS 5438:1989 arba lygiaverčius reikalavimus;</w:t>
            </w:r>
          </w:p>
        </w:tc>
        <w:tc>
          <w:tcPr>
            <w:tcW w:w="4573" w:type="dxa"/>
          </w:tcPr>
          <w:p w14:paraId="668A001F" w14:textId="77777777" w:rsidR="0074255C" w:rsidRPr="004F1AC4" w:rsidRDefault="0074255C" w:rsidP="0074255C">
            <w:pPr>
              <w:widowControl w:val="0"/>
              <w:jc w:val="center"/>
            </w:pPr>
            <w:r w:rsidRPr="004F1AC4">
              <w:t>TAIP/NE</w:t>
            </w:r>
          </w:p>
          <w:p w14:paraId="6472F430" w14:textId="57338911" w:rsidR="00551479" w:rsidRPr="004F1AC4" w:rsidRDefault="0074255C" w:rsidP="0074255C">
            <w:pPr>
              <w:widowControl w:val="0"/>
              <w:jc w:val="center"/>
            </w:pPr>
            <w:r w:rsidRPr="004F1AC4">
              <w:t>NURODYTI</w:t>
            </w:r>
          </w:p>
        </w:tc>
      </w:tr>
      <w:tr w:rsidR="00551479" w:rsidRPr="004F1AC4" w14:paraId="6B3DDB3F" w14:textId="77777777" w:rsidTr="00531D93">
        <w:tc>
          <w:tcPr>
            <w:tcW w:w="988" w:type="dxa"/>
          </w:tcPr>
          <w:p w14:paraId="0EA6C516" w14:textId="103F8A19" w:rsidR="00551479" w:rsidRPr="004F1AC4" w:rsidRDefault="00551479" w:rsidP="00531D93">
            <w:pPr>
              <w:widowControl w:val="0"/>
              <w:jc w:val="center"/>
            </w:pPr>
            <w:r w:rsidRPr="004F1AC4">
              <w:t>6.</w:t>
            </w:r>
          </w:p>
        </w:tc>
        <w:tc>
          <w:tcPr>
            <w:tcW w:w="8157" w:type="dxa"/>
          </w:tcPr>
          <w:p w14:paraId="2EE38D9F" w14:textId="04AD923F" w:rsidR="00551479" w:rsidRPr="004F1AC4" w:rsidRDefault="00551479" w:rsidP="00551479">
            <w:pPr>
              <w:widowControl w:val="0"/>
            </w:pPr>
            <w:r w:rsidRPr="004F1AC4">
              <w:t>Minimalus medžiagos storis 0.5 mm ± 0,1 mm. Pagal BS EN ISO 2286-3:2016 arba lygiavertį testavimo metodą;</w:t>
            </w:r>
          </w:p>
        </w:tc>
        <w:tc>
          <w:tcPr>
            <w:tcW w:w="4573" w:type="dxa"/>
          </w:tcPr>
          <w:p w14:paraId="6ABCE22D" w14:textId="22C7D8AB" w:rsidR="00551479" w:rsidRPr="004F1AC4" w:rsidRDefault="0074255C" w:rsidP="00531D93">
            <w:pPr>
              <w:widowControl w:val="0"/>
              <w:jc w:val="center"/>
            </w:pPr>
            <w:r w:rsidRPr="004F1AC4">
              <w:t>NURODYTI</w:t>
            </w:r>
          </w:p>
        </w:tc>
      </w:tr>
      <w:tr w:rsidR="00551479" w:rsidRPr="004F1AC4" w14:paraId="4059BC2A" w14:textId="77777777" w:rsidTr="00531D93">
        <w:tc>
          <w:tcPr>
            <w:tcW w:w="988" w:type="dxa"/>
          </w:tcPr>
          <w:p w14:paraId="1DD8CD45" w14:textId="02A1BA0E" w:rsidR="00551479" w:rsidRPr="004F1AC4" w:rsidRDefault="00551479" w:rsidP="00531D93">
            <w:pPr>
              <w:widowControl w:val="0"/>
              <w:jc w:val="center"/>
            </w:pPr>
            <w:r w:rsidRPr="004F1AC4">
              <w:t>7.</w:t>
            </w:r>
          </w:p>
        </w:tc>
        <w:tc>
          <w:tcPr>
            <w:tcW w:w="8157" w:type="dxa"/>
          </w:tcPr>
          <w:p w14:paraId="214780B2" w14:textId="43DDE197" w:rsidR="00551479" w:rsidRPr="004F1AC4" w:rsidRDefault="00551479" w:rsidP="00551479">
            <w:pPr>
              <w:widowControl w:val="0"/>
            </w:pPr>
            <w:r w:rsidRPr="004F1AC4">
              <w:t>Minimalus medžiagos svoris 600 g/m2 ± 10 g/m2. Pagal BS EN ISO 2286-2:2016 arba lygiavertį testavimo metodą;</w:t>
            </w:r>
          </w:p>
        </w:tc>
        <w:tc>
          <w:tcPr>
            <w:tcW w:w="4573" w:type="dxa"/>
          </w:tcPr>
          <w:p w14:paraId="4F210215" w14:textId="012431F7" w:rsidR="00551479" w:rsidRPr="004F1AC4" w:rsidRDefault="0074255C" w:rsidP="00531D93">
            <w:pPr>
              <w:widowControl w:val="0"/>
              <w:jc w:val="center"/>
            </w:pPr>
            <w:r w:rsidRPr="004F1AC4">
              <w:t>NURODYTI</w:t>
            </w:r>
          </w:p>
        </w:tc>
      </w:tr>
      <w:tr w:rsidR="00551479" w:rsidRPr="004F1AC4" w14:paraId="00EBE591" w14:textId="77777777" w:rsidTr="00531D93">
        <w:tc>
          <w:tcPr>
            <w:tcW w:w="988" w:type="dxa"/>
          </w:tcPr>
          <w:p w14:paraId="563D37B2" w14:textId="5F510966" w:rsidR="00551479" w:rsidRPr="004F1AC4" w:rsidRDefault="00551479" w:rsidP="00531D93">
            <w:pPr>
              <w:widowControl w:val="0"/>
              <w:jc w:val="center"/>
            </w:pPr>
            <w:r w:rsidRPr="004F1AC4">
              <w:t>8.</w:t>
            </w:r>
          </w:p>
        </w:tc>
        <w:tc>
          <w:tcPr>
            <w:tcW w:w="8157" w:type="dxa"/>
          </w:tcPr>
          <w:p w14:paraId="058E7B10" w14:textId="4B8F205C" w:rsidR="00551479" w:rsidRPr="004F1AC4" w:rsidRDefault="00551479" w:rsidP="00551479">
            <w:pPr>
              <w:widowControl w:val="0"/>
            </w:pPr>
            <w:r w:rsidRPr="004F1AC4">
              <w:t xml:space="preserve">Tempimo atsparumas išilgai (angl. </w:t>
            </w:r>
            <w:proofErr w:type="spellStart"/>
            <w:r w:rsidRPr="004F1AC4">
              <w:t>Warp</w:t>
            </w:r>
            <w:proofErr w:type="spellEnd"/>
            <w:r w:rsidRPr="004F1AC4">
              <w:t>) 2100 -2300 N. Pagal BS EN ISO 1421:2016 arba lygiavertį testavimo metodą;</w:t>
            </w:r>
          </w:p>
        </w:tc>
        <w:tc>
          <w:tcPr>
            <w:tcW w:w="4573" w:type="dxa"/>
          </w:tcPr>
          <w:p w14:paraId="267837FB" w14:textId="77777777" w:rsidR="0074255C" w:rsidRPr="004F1AC4" w:rsidRDefault="0074255C" w:rsidP="0074255C">
            <w:pPr>
              <w:widowControl w:val="0"/>
              <w:jc w:val="center"/>
            </w:pPr>
            <w:r w:rsidRPr="004F1AC4">
              <w:t>TAIP/NE</w:t>
            </w:r>
          </w:p>
          <w:p w14:paraId="4613CEA8" w14:textId="6D085DB7" w:rsidR="00551479" w:rsidRPr="004F1AC4" w:rsidRDefault="0074255C" w:rsidP="0074255C">
            <w:pPr>
              <w:widowControl w:val="0"/>
              <w:jc w:val="center"/>
            </w:pPr>
            <w:r w:rsidRPr="004F1AC4">
              <w:t>NURODYTI</w:t>
            </w:r>
          </w:p>
        </w:tc>
      </w:tr>
      <w:tr w:rsidR="00551479" w:rsidRPr="004F1AC4" w14:paraId="28E9E67E" w14:textId="77777777" w:rsidTr="00531D93">
        <w:tc>
          <w:tcPr>
            <w:tcW w:w="988" w:type="dxa"/>
          </w:tcPr>
          <w:p w14:paraId="10BEF761" w14:textId="32A77745" w:rsidR="00551479" w:rsidRPr="004F1AC4" w:rsidRDefault="00551479" w:rsidP="00531D93">
            <w:pPr>
              <w:widowControl w:val="0"/>
              <w:jc w:val="center"/>
            </w:pPr>
            <w:r w:rsidRPr="004F1AC4">
              <w:t>9.</w:t>
            </w:r>
          </w:p>
        </w:tc>
        <w:tc>
          <w:tcPr>
            <w:tcW w:w="8157" w:type="dxa"/>
          </w:tcPr>
          <w:p w14:paraId="09250C53" w14:textId="209ACBD2" w:rsidR="00551479" w:rsidRPr="004F1AC4" w:rsidRDefault="00551479" w:rsidP="00551479">
            <w:pPr>
              <w:widowControl w:val="0"/>
            </w:pPr>
            <w:r w:rsidRPr="004F1AC4">
              <w:t xml:space="preserve">Tempimo atsparumas skersai (angl. </w:t>
            </w:r>
            <w:proofErr w:type="spellStart"/>
            <w:r w:rsidRPr="004F1AC4">
              <w:t>Weft</w:t>
            </w:r>
            <w:proofErr w:type="spellEnd"/>
            <w:r w:rsidRPr="004F1AC4">
              <w:t>) 1900 -2100 N. Pagal BS EN ISO 1421:2016 arba lygiavertį testavimo metodą</w:t>
            </w:r>
          </w:p>
        </w:tc>
        <w:tc>
          <w:tcPr>
            <w:tcW w:w="4573" w:type="dxa"/>
          </w:tcPr>
          <w:p w14:paraId="78334D74" w14:textId="77777777" w:rsidR="0074255C" w:rsidRPr="004F1AC4" w:rsidRDefault="0074255C" w:rsidP="0074255C">
            <w:pPr>
              <w:widowControl w:val="0"/>
              <w:jc w:val="center"/>
            </w:pPr>
            <w:r w:rsidRPr="004F1AC4">
              <w:t>TAIP/NE</w:t>
            </w:r>
          </w:p>
          <w:p w14:paraId="6D567596" w14:textId="632F5A98" w:rsidR="00551479" w:rsidRPr="004F1AC4" w:rsidRDefault="0074255C" w:rsidP="0074255C">
            <w:pPr>
              <w:widowControl w:val="0"/>
              <w:jc w:val="center"/>
            </w:pPr>
            <w:r w:rsidRPr="004F1AC4">
              <w:t>NURODYTI</w:t>
            </w:r>
          </w:p>
        </w:tc>
      </w:tr>
      <w:tr w:rsidR="00551479" w:rsidRPr="004F1AC4" w14:paraId="09A15660" w14:textId="77777777" w:rsidTr="00615943">
        <w:tc>
          <w:tcPr>
            <w:tcW w:w="13718" w:type="dxa"/>
            <w:gridSpan w:val="3"/>
          </w:tcPr>
          <w:p w14:paraId="5EF57549" w14:textId="16184EE8" w:rsidR="00551479" w:rsidRPr="004F1AC4" w:rsidRDefault="00551479" w:rsidP="00551479">
            <w:pPr>
              <w:widowControl w:val="0"/>
            </w:pPr>
            <w:r w:rsidRPr="004F1AC4">
              <w:t xml:space="preserve">Priedangos iš </w:t>
            </w:r>
            <w:proofErr w:type="spellStart"/>
            <w:r w:rsidRPr="004F1AC4">
              <w:t>gabiono</w:t>
            </w:r>
            <w:proofErr w:type="spellEnd"/>
            <w:r w:rsidRPr="004F1AC4">
              <w:t xml:space="preserve"> matmenys:</w:t>
            </w:r>
          </w:p>
        </w:tc>
      </w:tr>
      <w:tr w:rsidR="00551479" w:rsidRPr="004F1AC4" w14:paraId="6E6D0BA5" w14:textId="77777777" w:rsidTr="00531D93">
        <w:tc>
          <w:tcPr>
            <w:tcW w:w="988" w:type="dxa"/>
          </w:tcPr>
          <w:p w14:paraId="6A30840C" w14:textId="10E06553" w:rsidR="00551479" w:rsidRPr="004F1AC4" w:rsidRDefault="00551479" w:rsidP="00531D93">
            <w:pPr>
              <w:widowControl w:val="0"/>
              <w:jc w:val="center"/>
            </w:pPr>
            <w:r w:rsidRPr="004F1AC4">
              <w:t>1.</w:t>
            </w:r>
          </w:p>
        </w:tc>
        <w:tc>
          <w:tcPr>
            <w:tcW w:w="8157" w:type="dxa"/>
          </w:tcPr>
          <w:p w14:paraId="6246B46C" w14:textId="50C56A7F" w:rsidR="00551479" w:rsidRPr="004F1AC4" w:rsidRDefault="00551479" w:rsidP="00551479">
            <w:pPr>
              <w:widowControl w:val="0"/>
            </w:pPr>
            <w:r w:rsidRPr="004F1AC4">
              <w:t>Minimalus vidinis dengiamas plotis: 2,20 m ± 0,2 m. Minimalus ilgis: 5,00 m ± 0,2 m;</w:t>
            </w:r>
          </w:p>
        </w:tc>
        <w:tc>
          <w:tcPr>
            <w:tcW w:w="4573" w:type="dxa"/>
          </w:tcPr>
          <w:p w14:paraId="4D847AEF" w14:textId="58EF6B5A" w:rsidR="00551479" w:rsidRPr="004F1AC4" w:rsidRDefault="0074255C" w:rsidP="00531D93">
            <w:pPr>
              <w:widowControl w:val="0"/>
              <w:jc w:val="center"/>
            </w:pPr>
            <w:r w:rsidRPr="004F1AC4">
              <w:t>NURODYTI</w:t>
            </w:r>
          </w:p>
        </w:tc>
      </w:tr>
      <w:tr w:rsidR="00551479" w:rsidRPr="004F1AC4" w14:paraId="43C40615" w14:textId="77777777" w:rsidTr="00531D93">
        <w:tc>
          <w:tcPr>
            <w:tcW w:w="988" w:type="dxa"/>
          </w:tcPr>
          <w:p w14:paraId="056C1139" w14:textId="752A6B4B" w:rsidR="00551479" w:rsidRPr="004F1AC4" w:rsidRDefault="00551479" w:rsidP="00531D93">
            <w:pPr>
              <w:widowControl w:val="0"/>
              <w:jc w:val="center"/>
            </w:pPr>
            <w:r w:rsidRPr="004F1AC4">
              <w:t>2.</w:t>
            </w:r>
          </w:p>
        </w:tc>
        <w:tc>
          <w:tcPr>
            <w:tcW w:w="8157" w:type="dxa"/>
          </w:tcPr>
          <w:p w14:paraId="1DDD5BE6" w14:textId="2DEDFC59" w:rsidR="00551479" w:rsidRPr="004F1AC4" w:rsidRDefault="00551479" w:rsidP="00551479">
            <w:pPr>
              <w:widowControl w:val="0"/>
            </w:pPr>
            <w:r w:rsidRPr="004F1AC4">
              <w:t>Surinkta konstrukcija turi talpinti 10 m3 ± 1 m3 užpildo;</w:t>
            </w:r>
          </w:p>
        </w:tc>
        <w:tc>
          <w:tcPr>
            <w:tcW w:w="4573" w:type="dxa"/>
          </w:tcPr>
          <w:p w14:paraId="501B5621" w14:textId="48F1FA2C" w:rsidR="00551479" w:rsidRPr="004F1AC4" w:rsidRDefault="0074255C" w:rsidP="00531D93">
            <w:pPr>
              <w:widowControl w:val="0"/>
              <w:jc w:val="center"/>
            </w:pPr>
            <w:r w:rsidRPr="004F1AC4">
              <w:t>NURODYTI</w:t>
            </w:r>
          </w:p>
        </w:tc>
      </w:tr>
      <w:tr w:rsidR="00551479" w:rsidRPr="004F1AC4" w14:paraId="1CFDA1B8" w14:textId="77777777" w:rsidTr="00531D93">
        <w:tc>
          <w:tcPr>
            <w:tcW w:w="988" w:type="dxa"/>
          </w:tcPr>
          <w:p w14:paraId="0C6A9054" w14:textId="30137BDA" w:rsidR="00551479" w:rsidRPr="004F1AC4" w:rsidRDefault="00551479" w:rsidP="00531D93">
            <w:pPr>
              <w:widowControl w:val="0"/>
              <w:jc w:val="center"/>
            </w:pPr>
            <w:r w:rsidRPr="004F1AC4">
              <w:t>3.</w:t>
            </w:r>
          </w:p>
        </w:tc>
        <w:tc>
          <w:tcPr>
            <w:tcW w:w="8157" w:type="dxa"/>
          </w:tcPr>
          <w:p w14:paraId="5BA6EECF" w14:textId="1D65293A" w:rsidR="00551479" w:rsidRPr="004F1AC4" w:rsidRDefault="00551479" w:rsidP="00551479">
            <w:pPr>
              <w:widowControl w:val="0"/>
            </w:pPr>
            <w:r w:rsidRPr="004F1AC4">
              <w:t>Išmatavimai transportavimui:</w:t>
            </w:r>
          </w:p>
          <w:p w14:paraId="2E246E5E" w14:textId="77777777" w:rsidR="00551479" w:rsidRPr="004F1AC4" w:rsidRDefault="00551479" w:rsidP="00551479">
            <w:pPr>
              <w:widowControl w:val="0"/>
            </w:pPr>
            <w:r w:rsidRPr="004F1AC4">
              <w:t>•</w:t>
            </w:r>
            <w:r w:rsidRPr="004F1AC4">
              <w:tab/>
              <w:t>Svoris (vieneto): 1800 kg ± 100 kg;</w:t>
            </w:r>
          </w:p>
          <w:p w14:paraId="46AAC698" w14:textId="77777777" w:rsidR="00551479" w:rsidRPr="004F1AC4" w:rsidRDefault="00551479" w:rsidP="00551479">
            <w:pPr>
              <w:widowControl w:val="0"/>
            </w:pPr>
            <w:r w:rsidRPr="004F1AC4">
              <w:lastRenderedPageBreak/>
              <w:t>•</w:t>
            </w:r>
            <w:r w:rsidRPr="004F1AC4">
              <w:tab/>
              <w:t>Plotis: 1 m ± 0,3 m;</w:t>
            </w:r>
          </w:p>
          <w:p w14:paraId="6F2FACF2" w14:textId="209182C6" w:rsidR="00551479" w:rsidRPr="004F1AC4" w:rsidRDefault="00551479" w:rsidP="00551479">
            <w:pPr>
              <w:widowControl w:val="0"/>
            </w:pPr>
            <w:r w:rsidRPr="004F1AC4">
              <w:t>•</w:t>
            </w:r>
            <w:r w:rsidRPr="004F1AC4">
              <w:tab/>
              <w:t>Ilgis: 2 m ± 0,3 m.</w:t>
            </w:r>
          </w:p>
        </w:tc>
        <w:tc>
          <w:tcPr>
            <w:tcW w:w="4573" w:type="dxa"/>
          </w:tcPr>
          <w:p w14:paraId="130AB63B" w14:textId="57ADF9A6" w:rsidR="00551479" w:rsidRPr="004F1AC4" w:rsidRDefault="0074255C" w:rsidP="00531D93">
            <w:pPr>
              <w:widowControl w:val="0"/>
              <w:jc w:val="center"/>
            </w:pPr>
            <w:r w:rsidRPr="004F1AC4">
              <w:lastRenderedPageBreak/>
              <w:t>NURODYTI</w:t>
            </w:r>
          </w:p>
        </w:tc>
      </w:tr>
      <w:tr w:rsidR="00551479" w:rsidRPr="004F1AC4" w14:paraId="497BC33F" w14:textId="77777777" w:rsidTr="00E953B1">
        <w:tc>
          <w:tcPr>
            <w:tcW w:w="9145" w:type="dxa"/>
            <w:gridSpan w:val="2"/>
          </w:tcPr>
          <w:p w14:paraId="12DB8D3D" w14:textId="3B37B322" w:rsidR="00551479" w:rsidRPr="004F1AC4" w:rsidRDefault="00551479" w:rsidP="00551479">
            <w:pPr>
              <w:widowControl w:val="0"/>
            </w:pPr>
            <w:r w:rsidRPr="004F1AC4">
              <w:t>Garantinis eksploatacinis laikotarpis ne trumpesnis kaip 60 mėn.</w:t>
            </w:r>
          </w:p>
        </w:tc>
        <w:tc>
          <w:tcPr>
            <w:tcW w:w="4573" w:type="dxa"/>
          </w:tcPr>
          <w:p w14:paraId="734A3B36" w14:textId="77777777" w:rsidR="0074255C" w:rsidRPr="004F1AC4" w:rsidRDefault="0074255C" w:rsidP="0074255C">
            <w:pPr>
              <w:widowControl w:val="0"/>
              <w:jc w:val="center"/>
            </w:pPr>
            <w:r w:rsidRPr="004F1AC4">
              <w:t>TAIP/NE</w:t>
            </w:r>
          </w:p>
          <w:p w14:paraId="0BC61762" w14:textId="01CE7750" w:rsidR="00551479" w:rsidRPr="004F1AC4" w:rsidRDefault="0074255C" w:rsidP="0074255C">
            <w:pPr>
              <w:widowControl w:val="0"/>
              <w:jc w:val="center"/>
            </w:pPr>
            <w:r w:rsidRPr="004F1AC4">
              <w:t>NURODYTI</w:t>
            </w:r>
          </w:p>
        </w:tc>
      </w:tr>
    </w:tbl>
    <w:p w14:paraId="53925C78" w14:textId="77777777" w:rsidR="00531D93" w:rsidRDefault="00531D93" w:rsidP="008B527B">
      <w:pPr>
        <w:widowControl w:val="0"/>
        <w:jc w:val="both"/>
      </w:pPr>
    </w:p>
    <w:p w14:paraId="4D5ADC11" w14:textId="77777777" w:rsidR="00467BAD" w:rsidRPr="00467BAD" w:rsidRDefault="00467BAD" w:rsidP="00467BAD">
      <w:pPr>
        <w:pStyle w:val="ListParagraph"/>
        <w:autoSpaceDE w:val="0"/>
        <w:autoSpaceDN w:val="0"/>
        <w:adjustRightInd w:val="0"/>
        <w:spacing w:before="60" w:after="60"/>
        <w:ind w:left="714"/>
        <w:jc w:val="center"/>
        <w:rPr>
          <w:b/>
          <w:bCs/>
        </w:rPr>
      </w:pPr>
      <w:r w:rsidRPr="00467BAD">
        <w:rPr>
          <w:b/>
          <w:bCs/>
        </w:rPr>
        <w:t>Dalyvis pasiūlyme privalo išviešinti ūkio subjektus, kurių pajėgumais remiasi ir nurodyti juos pasiūlymo formoje.</w:t>
      </w:r>
    </w:p>
    <w:p w14:paraId="31B94BA6" w14:textId="77777777" w:rsidR="00467BAD" w:rsidRPr="00467BAD" w:rsidRDefault="00467BAD" w:rsidP="00467BAD">
      <w:pPr>
        <w:pStyle w:val="ListParagraph"/>
        <w:autoSpaceDE w:val="0"/>
        <w:autoSpaceDN w:val="0"/>
        <w:adjustRightInd w:val="0"/>
        <w:spacing w:before="60" w:after="60"/>
        <w:ind w:left="714"/>
        <w:jc w:val="center"/>
        <w:rPr>
          <w:b/>
          <w:bCs/>
        </w:rPr>
      </w:pPr>
      <w:r w:rsidRPr="00467BAD">
        <w:rPr>
          <w:b/>
          <w:bCs/>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586"/>
        <w:gridCol w:w="2233"/>
        <w:gridCol w:w="3859"/>
      </w:tblGrid>
      <w:tr w:rsidR="00467BAD" w:rsidRPr="00467BAD" w14:paraId="36EB9BA9" w14:textId="77777777" w:rsidTr="00467BAD">
        <w:tc>
          <w:tcPr>
            <w:tcW w:w="1284" w:type="dxa"/>
            <w:shd w:val="clear" w:color="auto" w:fill="auto"/>
            <w:vAlign w:val="center"/>
          </w:tcPr>
          <w:p w14:paraId="2C97E01F"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Eil. Nr.</w:t>
            </w:r>
          </w:p>
        </w:tc>
        <w:tc>
          <w:tcPr>
            <w:tcW w:w="3026" w:type="dxa"/>
            <w:shd w:val="clear" w:color="auto" w:fill="auto"/>
            <w:vAlign w:val="center"/>
          </w:tcPr>
          <w:p w14:paraId="597DBD4F"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Subtiekėjo pavadinimas, kodas ir adresas</w:t>
            </w:r>
          </w:p>
        </w:tc>
        <w:tc>
          <w:tcPr>
            <w:tcW w:w="2552" w:type="dxa"/>
            <w:shd w:val="clear" w:color="auto" w:fill="auto"/>
            <w:vAlign w:val="center"/>
          </w:tcPr>
          <w:p w14:paraId="47D45471"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 xml:space="preserve">Numatomi atlikti darbai </w:t>
            </w:r>
          </w:p>
        </w:tc>
        <w:tc>
          <w:tcPr>
            <w:tcW w:w="6033" w:type="dxa"/>
            <w:shd w:val="clear" w:color="auto" w:fill="auto"/>
          </w:tcPr>
          <w:p w14:paraId="37B85D9A"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Įsipareigojimų dalis (procentais), kuriai ketinama pasitelkti subtiekėją</w:t>
            </w:r>
          </w:p>
        </w:tc>
      </w:tr>
      <w:tr w:rsidR="00467BAD" w:rsidRPr="00467BAD" w14:paraId="34D32D08" w14:textId="77777777" w:rsidTr="00467BAD">
        <w:tc>
          <w:tcPr>
            <w:tcW w:w="1284" w:type="dxa"/>
            <w:shd w:val="clear" w:color="auto" w:fill="auto"/>
          </w:tcPr>
          <w:p w14:paraId="07BF7D83"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3026" w:type="dxa"/>
            <w:shd w:val="clear" w:color="auto" w:fill="auto"/>
          </w:tcPr>
          <w:p w14:paraId="583EB945"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2552" w:type="dxa"/>
            <w:shd w:val="clear" w:color="auto" w:fill="auto"/>
          </w:tcPr>
          <w:p w14:paraId="79566C1F"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6033" w:type="dxa"/>
            <w:shd w:val="clear" w:color="auto" w:fill="auto"/>
          </w:tcPr>
          <w:p w14:paraId="037EDC39" w14:textId="77777777" w:rsidR="00467BAD" w:rsidRPr="00467BAD" w:rsidRDefault="00467BAD" w:rsidP="00467BAD">
            <w:pPr>
              <w:pStyle w:val="ListParagraph"/>
              <w:autoSpaceDE w:val="0"/>
              <w:autoSpaceDN w:val="0"/>
              <w:adjustRightInd w:val="0"/>
              <w:spacing w:before="60" w:after="60"/>
              <w:ind w:left="714"/>
              <w:jc w:val="center"/>
              <w:rPr>
                <w:b/>
                <w:bCs/>
              </w:rPr>
            </w:pPr>
          </w:p>
        </w:tc>
      </w:tr>
      <w:tr w:rsidR="00467BAD" w:rsidRPr="00467BAD" w14:paraId="31FA34B4" w14:textId="77777777" w:rsidTr="00467BAD">
        <w:tc>
          <w:tcPr>
            <w:tcW w:w="1284" w:type="dxa"/>
            <w:shd w:val="clear" w:color="auto" w:fill="auto"/>
          </w:tcPr>
          <w:p w14:paraId="247359D5"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3026" w:type="dxa"/>
            <w:shd w:val="clear" w:color="auto" w:fill="auto"/>
          </w:tcPr>
          <w:p w14:paraId="784A169E"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2552" w:type="dxa"/>
            <w:shd w:val="clear" w:color="auto" w:fill="auto"/>
          </w:tcPr>
          <w:p w14:paraId="4D52AE39"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6033" w:type="dxa"/>
            <w:shd w:val="clear" w:color="auto" w:fill="auto"/>
          </w:tcPr>
          <w:p w14:paraId="77F2A03D" w14:textId="77777777" w:rsidR="00467BAD" w:rsidRPr="00467BAD" w:rsidRDefault="00467BAD" w:rsidP="00467BAD">
            <w:pPr>
              <w:pStyle w:val="ListParagraph"/>
              <w:autoSpaceDE w:val="0"/>
              <w:autoSpaceDN w:val="0"/>
              <w:adjustRightInd w:val="0"/>
              <w:spacing w:before="60" w:after="60"/>
              <w:ind w:left="714"/>
              <w:jc w:val="center"/>
              <w:rPr>
                <w:b/>
                <w:bCs/>
              </w:rPr>
            </w:pPr>
          </w:p>
        </w:tc>
      </w:tr>
    </w:tbl>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42C2CC53"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05"/>
        <w:gridCol w:w="5377"/>
        <w:gridCol w:w="3880"/>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242E0E4B"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 </w:t>
      </w:r>
      <w:r w:rsidRPr="00152C1E">
        <w:rPr>
          <w:b/>
          <w:bCs/>
        </w:rPr>
        <w:t>KONFIDENCIALI INFORMACIJA</w:t>
      </w:r>
    </w:p>
    <w:tbl>
      <w:tblPr>
        <w:tblStyle w:val="TableGrid"/>
        <w:tblW w:w="0" w:type="auto"/>
        <w:tblLook w:val="04A0" w:firstRow="1" w:lastRow="0" w:firstColumn="1" w:lastColumn="0" w:noHBand="0" w:noVBand="1"/>
      </w:tblPr>
      <w:tblGrid>
        <w:gridCol w:w="710"/>
        <w:gridCol w:w="9252"/>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proofErr w:type="spellStart"/>
      <w:r w:rsidRPr="00957FD9">
        <w:rPr>
          <w:b/>
        </w:rPr>
        <w:t>is</w:t>
      </w:r>
      <w:proofErr w:type="spellEnd"/>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814"/>
        <w:gridCol w:w="2944"/>
        <w:gridCol w:w="3017"/>
        <w:gridCol w:w="259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A72C2F" w:rsidRDefault="00957FD9" w:rsidP="004C4BA6">
            <w:pPr>
              <w:jc w:val="center"/>
              <w:rPr>
                <w:bCs/>
              </w:rPr>
            </w:pPr>
            <w:r w:rsidRPr="00A72C2F">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A72C2F"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A72C2F">
        <w:trPr>
          <w:jc w:val="center"/>
        </w:trPr>
        <w:tc>
          <w:tcPr>
            <w:tcW w:w="84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A72C2F" w:rsidRDefault="00957FD9" w:rsidP="004C4BA6">
            <w:pPr>
              <w:jc w:val="both"/>
            </w:pPr>
            <w:r w:rsidRPr="00A72C2F">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FDBBAFD" w:rsidR="00957FD9" w:rsidRPr="00A72C2F" w:rsidRDefault="00A72C2F" w:rsidP="00A72C2F">
            <w:r w:rsidRPr="00A72C2F">
              <w:tab/>
            </w: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A72C2F"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A72C2F"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A72C2F"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74255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1DC5" w14:textId="77777777" w:rsidR="001F2739" w:rsidRDefault="001F2739" w:rsidP="00324E3D">
      <w:r>
        <w:separator/>
      </w:r>
    </w:p>
  </w:endnote>
  <w:endnote w:type="continuationSeparator" w:id="0">
    <w:p w14:paraId="1DDB7144" w14:textId="77777777" w:rsidR="001F2739" w:rsidRDefault="001F2739"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7D77" w14:textId="77777777" w:rsidR="001F2739" w:rsidRDefault="001F2739" w:rsidP="00324E3D">
      <w:r>
        <w:separator/>
      </w:r>
    </w:p>
  </w:footnote>
  <w:footnote w:type="continuationSeparator" w:id="0">
    <w:p w14:paraId="5F76F4E5" w14:textId="77777777" w:rsidR="001F2739" w:rsidRDefault="001F2739"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9FE"/>
    <w:multiLevelType w:val="hybridMultilevel"/>
    <w:tmpl w:val="EAD21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3"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02CEB"/>
    <w:multiLevelType w:val="hybridMultilevel"/>
    <w:tmpl w:val="F72E3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2" w15:restartNumberingAfterBreak="0">
    <w:nsid w:val="51056E76"/>
    <w:multiLevelType w:val="hybridMultilevel"/>
    <w:tmpl w:val="D1FA11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4"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022B8"/>
    <w:multiLevelType w:val="hybridMultilevel"/>
    <w:tmpl w:val="DF4045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87647"/>
    <w:multiLevelType w:val="hybridMultilevel"/>
    <w:tmpl w:val="DF404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290A1E"/>
    <w:multiLevelType w:val="hybridMultilevel"/>
    <w:tmpl w:val="6EAAFB98"/>
    <w:lvl w:ilvl="0" w:tplc="5366DA0A">
      <w:start w:val="1"/>
      <w:numFmt w:val="decimal"/>
      <w:lvlText w:val="%1."/>
      <w:lvlJc w:val="left"/>
      <w:pPr>
        <w:ind w:left="720" w:hanging="360"/>
      </w:pPr>
      <w:rPr>
        <w:rFonts w:hint="default"/>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7512305">
    <w:abstractNumId w:val="10"/>
  </w:num>
  <w:num w:numId="2" w16cid:durableId="537012696">
    <w:abstractNumId w:val="1"/>
  </w:num>
  <w:num w:numId="3" w16cid:durableId="436024333">
    <w:abstractNumId w:val="5"/>
  </w:num>
  <w:num w:numId="4" w16cid:durableId="516313658">
    <w:abstractNumId w:val="4"/>
  </w:num>
  <w:num w:numId="5" w16cid:durableId="1657760423">
    <w:abstractNumId w:val="6"/>
  </w:num>
  <w:num w:numId="6" w16cid:durableId="1575822748">
    <w:abstractNumId w:val="17"/>
  </w:num>
  <w:num w:numId="7" w16cid:durableId="1868181179">
    <w:abstractNumId w:val="15"/>
  </w:num>
  <w:num w:numId="8" w16cid:durableId="35786102">
    <w:abstractNumId w:val="7"/>
  </w:num>
  <w:num w:numId="9" w16cid:durableId="1978604563">
    <w:abstractNumId w:val="3"/>
  </w:num>
  <w:num w:numId="10" w16cid:durableId="798305073">
    <w:abstractNumId w:val="13"/>
  </w:num>
  <w:num w:numId="11" w16cid:durableId="39982131">
    <w:abstractNumId w:val="11"/>
  </w:num>
  <w:num w:numId="12" w16cid:durableId="550925170">
    <w:abstractNumId w:val="2"/>
  </w:num>
  <w:num w:numId="13" w16cid:durableId="1534727380">
    <w:abstractNumId w:val="9"/>
  </w:num>
  <w:num w:numId="14" w16cid:durableId="199903729">
    <w:abstractNumId w:val="14"/>
  </w:num>
  <w:num w:numId="15" w16cid:durableId="1229875197">
    <w:abstractNumId w:val="19"/>
  </w:num>
  <w:num w:numId="16" w16cid:durableId="1341857642">
    <w:abstractNumId w:val="16"/>
  </w:num>
  <w:num w:numId="17" w16cid:durableId="1124735240">
    <w:abstractNumId w:val="18"/>
  </w:num>
  <w:num w:numId="18" w16cid:durableId="1960718168">
    <w:abstractNumId w:val="8"/>
  </w:num>
  <w:num w:numId="19" w16cid:durableId="33503905">
    <w:abstractNumId w:val="0"/>
  </w:num>
  <w:num w:numId="20" w16cid:durableId="2019307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7F74"/>
    <w:rsid w:val="00151638"/>
    <w:rsid w:val="00152C1E"/>
    <w:rsid w:val="0017374B"/>
    <w:rsid w:val="00174409"/>
    <w:rsid w:val="00175031"/>
    <w:rsid w:val="00182922"/>
    <w:rsid w:val="00187702"/>
    <w:rsid w:val="001A41A5"/>
    <w:rsid w:val="001A6CDB"/>
    <w:rsid w:val="001E3CFB"/>
    <w:rsid w:val="001E7925"/>
    <w:rsid w:val="001F26C0"/>
    <w:rsid w:val="001F2739"/>
    <w:rsid w:val="001F65F5"/>
    <w:rsid w:val="00200BD4"/>
    <w:rsid w:val="0021388A"/>
    <w:rsid w:val="00225C1E"/>
    <w:rsid w:val="00227169"/>
    <w:rsid w:val="00230074"/>
    <w:rsid w:val="002348B3"/>
    <w:rsid w:val="00254A25"/>
    <w:rsid w:val="00256F06"/>
    <w:rsid w:val="002638B2"/>
    <w:rsid w:val="00272F44"/>
    <w:rsid w:val="0028404C"/>
    <w:rsid w:val="00292EDD"/>
    <w:rsid w:val="00295280"/>
    <w:rsid w:val="0029544E"/>
    <w:rsid w:val="002A3FD6"/>
    <w:rsid w:val="002B215B"/>
    <w:rsid w:val="002B71AE"/>
    <w:rsid w:val="002B7CD5"/>
    <w:rsid w:val="002C0F99"/>
    <w:rsid w:val="002C377B"/>
    <w:rsid w:val="002C4537"/>
    <w:rsid w:val="003047C9"/>
    <w:rsid w:val="003050BD"/>
    <w:rsid w:val="00310567"/>
    <w:rsid w:val="00317F98"/>
    <w:rsid w:val="00324E3D"/>
    <w:rsid w:val="003449FE"/>
    <w:rsid w:val="00345DE8"/>
    <w:rsid w:val="00360DBA"/>
    <w:rsid w:val="003732EF"/>
    <w:rsid w:val="003738BB"/>
    <w:rsid w:val="00376746"/>
    <w:rsid w:val="0038393A"/>
    <w:rsid w:val="00394EDD"/>
    <w:rsid w:val="00395FC6"/>
    <w:rsid w:val="003A3805"/>
    <w:rsid w:val="003A6A95"/>
    <w:rsid w:val="003A6F72"/>
    <w:rsid w:val="003C3C6B"/>
    <w:rsid w:val="003C4DA6"/>
    <w:rsid w:val="003D1EC4"/>
    <w:rsid w:val="003D566C"/>
    <w:rsid w:val="003E5976"/>
    <w:rsid w:val="003E6613"/>
    <w:rsid w:val="003E7BD7"/>
    <w:rsid w:val="003F18BB"/>
    <w:rsid w:val="003F3166"/>
    <w:rsid w:val="003F3B0E"/>
    <w:rsid w:val="004128D8"/>
    <w:rsid w:val="00425BA0"/>
    <w:rsid w:val="00453F2B"/>
    <w:rsid w:val="0046623A"/>
    <w:rsid w:val="00467BAD"/>
    <w:rsid w:val="004765BB"/>
    <w:rsid w:val="00481B79"/>
    <w:rsid w:val="004A0EAF"/>
    <w:rsid w:val="004A120C"/>
    <w:rsid w:val="004B33BF"/>
    <w:rsid w:val="004C08FF"/>
    <w:rsid w:val="004C13D0"/>
    <w:rsid w:val="004C5DD6"/>
    <w:rsid w:val="004C71FF"/>
    <w:rsid w:val="004D0414"/>
    <w:rsid w:val="004D4159"/>
    <w:rsid w:val="004E36A7"/>
    <w:rsid w:val="004E763B"/>
    <w:rsid w:val="004F1AC4"/>
    <w:rsid w:val="004F4FC3"/>
    <w:rsid w:val="005055F6"/>
    <w:rsid w:val="00511A22"/>
    <w:rsid w:val="005125AD"/>
    <w:rsid w:val="0052090F"/>
    <w:rsid w:val="0052523C"/>
    <w:rsid w:val="00531D93"/>
    <w:rsid w:val="00534E4D"/>
    <w:rsid w:val="00535D18"/>
    <w:rsid w:val="0054106B"/>
    <w:rsid w:val="00551479"/>
    <w:rsid w:val="00567814"/>
    <w:rsid w:val="00583341"/>
    <w:rsid w:val="005855E0"/>
    <w:rsid w:val="00585CD8"/>
    <w:rsid w:val="00587988"/>
    <w:rsid w:val="00597DA1"/>
    <w:rsid w:val="005A4976"/>
    <w:rsid w:val="005A7E23"/>
    <w:rsid w:val="005C3341"/>
    <w:rsid w:val="005E5D5F"/>
    <w:rsid w:val="005F12C1"/>
    <w:rsid w:val="005F152D"/>
    <w:rsid w:val="005F1550"/>
    <w:rsid w:val="006015C1"/>
    <w:rsid w:val="00606046"/>
    <w:rsid w:val="006073B4"/>
    <w:rsid w:val="00614EFF"/>
    <w:rsid w:val="006321FE"/>
    <w:rsid w:val="00632769"/>
    <w:rsid w:val="006348D7"/>
    <w:rsid w:val="0064119D"/>
    <w:rsid w:val="00642DEC"/>
    <w:rsid w:val="00643714"/>
    <w:rsid w:val="0064519F"/>
    <w:rsid w:val="00652D1F"/>
    <w:rsid w:val="00661098"/>
    <w:rsid w:val="006C084F"/>
    <w:rsid w:val="006C60B8"/>
    <w:rsid w:val="006D0960"/>
    <w:rsid w:val="006D2D7F"/>
    <w:rsid w:val="006E0E3F"/>
    <w:rsid w:val="006E4B84"/>
    <w:rsid w:val="006F3BC1"/>
    <w:rsid w:val="0070667A"/>
    <w:rsid w:val="0071194E"/>
    <w:rsid w:val="00727D16"/>
    <w:rsid w:val="007300A9"/>
    <w:rsid w:val="007324C6"/>
    <w:rsid w:val="00737018"/>
    <w:rsid w:val="0074255C"/>
    <w:rsid w:val="00753872"/>
    <w:rsid w:val="0075688B"/>
    <w:rsid w:val="00764DF0"/>
    <w:rsid w:val="00771FF5"/>
    <w:rsid w:val="007967CD"/>
    <w:rsid w:val="007A1E67"/>
    <w:rsid w:val="007B44C2"/>
    <w:rsid w:val="007B6DE4"/>
    <w:rsid w:val="007C6559"/>
    <w:rsid w:val="007D08C9"/>
    <w:rsid w:val="007D6157"/>
    <w:rsid w:val="007D7FA1"/>
    <w:rsid w:val="007F06F4"/>
    <w:rsid w:val="007F335A"/>
    <w:rsid w:val="00803C75"/>
    <w:rsid w:val="00813184"/>
    <w:rsid w:val="00813A37"/>
    <w:rsid w:val="00813C5B"/>
    <w:rsid w:val="00813F83"/>
    <w:rsid w:val="0082236E"/>
    <w:rsid w:val="00825473"/>
    <w:rsid w:val="0083143B"/>
    <w:rsid w:val="00832C1C"/>
    <w:rsid w:val="00856C58"/>
    <w:rsid w:val="0086259A"/>
    <w:rsid w:val="00867B2C"/>
    <w:rsid w:val="00867C73"/>
    <w:rsid w:val="00871C75"/>
    <w:rsid w:val="00874022"/>
    <w:rsid w:val="008A0001"/>
    <w:rsid w:val="008A5F7E"/>
    <w:rsid w:val="008B527B"/>
    <w:rsid w:val="008B7BCA"/>
    <w:rsid w:val="008B7E4B"/>
    <w:rsid w:val="008C25EE"/>
    <w:rsid w:val="008D3738"/>
    <w:rsid w:val="008D5BE3"/>
    <w:rsid w:val="008E1378"/>
    <w:rsid w:val="008F51A8"/>
    <w:rsid w:val="008F6A9F"/>
    <w:rsid w:val="00933502"/>
    <w:rsid w:val="00934ECD"/>
    <w:rsid w:val="009446B9"/>
    <w:rsid w:val="009465B2"/>
    <w:rsid w:val="00957FD9"/>
    <w:rsid w:val="009658F2"/>
    <w:rsid w:val="00981132"/>
    <w:rsid w:val="00983DDB"/>
    <w:rsid w:val="009B2E56"/>
    <w:rsid w:val="009B60AE"/>
    <w:rsid w:val="009C0DB7"/>
    <w:rsid w:val="009C33A6"/>
    <w:rsid w:val="009C705A"/>
    <w:rsid w:val="009F7F4C"/>
    <w:rsid w:val="00A00D5F"/>
    <w:rsid w:val="00A0107C"/>
    <w:rsid w:val="00A1223D"/>
    <w:rsid w:val="00A25B7C"/>
    <w:rsid w:val="00A303D5"/>
    <w:rsid w:val="00A45DEF"/>
    <w:rsid w:val="00A52FB4"/>
    <w:rsid w:val="00A635B1"/>
    <w:rsid w:val="00A72C2F"/>
    <w:rsid w:val="00A72FB6"/>
    <w:rsid w:val="00A8213E"/>
    <w:rsid w:val="00A8478A"/>
    <w:rsid w:val="00A84F5F"/>
    <w:rsid w:val="00A862B8"/>
    <w:rsid w:val="00A92332"/>
    <w:rsid w:val="00A95BE3"/>
    <w:rsid w:val="00AA4C87"/>
    <w:rsid w:val="00AB2159"/>
    <w:rsid w:val="00AB5D07"/>
    <w:rsid w:val="00AC543D"/>
    <w:rsid w:val="00AD2C31"/>
    <w:rsid w:val="00AE0475"/>
    <w:rsid w:val="00B12A98"/>
    <w:rsid w:val="00B12DEA"/>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C2C71"/>
    <w:rsid w:val="00BE09F9"/>
    <w:rsid w:val="00BF4FF8"/>
    <w:rsid w:val="00C042C8"/>
    <w:rsid w:val="00C052CD"/>
    <w:rsid w:val="00C15C7E"/>
    <w:rsid w:val="00C449A5"/>
    <w:rsid w:val="00C458C5"/>
    <w:rsid w:val="00C53FA2"/>
    <w:rsid w:val="00C76EBF"/>
    <w:rsid w:val="00C8150E"/>
    <w:rsid w:val="00C87BAE"/>
    <w:rsid w:val="00C9211A"/>
    <w:rsid w:val="00CB091C"/>
    <w:rsid w:val="00CB1F9E"/>
    <w:rsid w:val="00CC3A8D"/>
    <w:rsid w:val="00CC7655"/>
    <w:rsid w:val="00CD224F"/>
    <w:rsid w:val="00CD4A3A"/>
    <w:rsid w:val="00CE0DDD"/>
    <w:rsid w:val="00CE1131"/>
    <w:rsid w:val="00CE1FBC"/>
    <w:rsid w:val="00CF3797"/>
    <w:rsid w:val="00CF7E24"/>
    <w:rsid w:val="00D03B59"/>
    <w:rsid w:val="00D07AF2"/>
    <w:rsid w:val="00D10702"/>
    <w:rsid w:val="00D119BD"/>
    <w:rsid w:val="00D31DA7"/>
    <w:rsid w:val="00D371BE"/>
    <w:rsid w:val="00D50D99"/>
    <w:rsid w:val="00D5352D"/>
    <w:rsid w:val="00D53648"/>
    <w:rsid w:val="00D5429E"/>
    <w:rsid w:val="00D60A49"/>
    <w:rsid w:val="00D64E58"/>
    <w:rsid w:val="00D7228A"/>
    <w:rsid w:val="00D728A9"/>
    <w:rsid w:val="00D91E0B"/>
    <w:rsid w:val="00D92A7A"/>
    <w:rsid w:val="00DA6969"/>
    <w:rsid w:val="00DB62E1"/>
    <w:rsid w:val="00DC1828"/>
    <w:rsid w:val="00DC734D"/>
    <w:rsid w:val="00DD2658"/>
    <w:rsid w:val="00DD58C8"/>
    <w:rsid w:val="00DD590E"/>
    <w:rsid w:val="00DE1360"/>
    <w:rsid w:val="00DE2176"/>
    <w:rsid w:val="00DE2C2F"/>
    <w:rsid w:val="00DE3525"/>
    <w:rsid w:val="00DE6411"/>
    <w:rsid w:val="00DF56DF"/>
    <w:rsid w:val="00DF66A5"/>
    <w:rsid w:val="00E000EC"/>
    <w:rsid w:val="00E0111A"/>
    <w:rsid w:val="00E13D2D"/>
    <w:rsid w:val="00E330DB"/>
    <w:rsid w:val="00E42937"/>
    <w:rsid w:val="00E42A4B"/>
    <w:rsid w:val="00E43425"/>
    <w:rsid w:val="00E50623"/>
    <w:rsid w:val="00E70B9E"/>
    <w:rsid w:val="00E9346A"/>
    <w:rsid w:val="00E952E2"/>
    <w:rsid w:val="00E96E31"/>
    <w:rsid w:val="00EA696A"/>
    <w:rsid w:val="00EA7F82"/>
    <w:rsid w:val="00EB0A13"/>
    <w:rsid w:val="00EB54C2"/>
    <w:rsid w:val="00EC0493"/>
    <w:rsid w:val="00EC1323"/>
    <w:rsid w:val="00EC2173"/>
    <w:rsid w:val="00EE4838"/>
    <w:rsid w:val="00F0113A"/>
    <w:rsid w:val="00F070CF"/>
    <w:rsid w:val="00F162F9"/>
    <w:rsid w:val="00F20AC5"/>
    <w:rsid w:val="00F21E61"/>
    <w:rsid w:val="00F25765"/>
    <w:rsid w:val="00F30071"/>
    <w:rsid w:val="00F44B61"/>
    <w:rsid w:val="00F45159"/>
    <w:rsid w:val="00F51ADB"/>
    <w:rsid w:val="00F556EE"/>
    <w:rsid w:val="00F72C82"/>
    <w:rsid w:val="00FA04E2"/>
    <w:rsid w:val="00FA6D86"/>
    <w:rsid w:val="00FC27A3"/>
    <w:rsid w:val="00FC62E4"/>
    <w:rsid w:val="00FD4160"/>
    <w:rsid w:val="00FD6277"/>
    <w:rsid w:val="00FD71F4"/>
    <w:rsid w:val="00FE172B"/>
    <w:rsid w:val="00FE541C"/>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NormalWeb">
    <w:name w:val="Normal (Web)"/>
    <w:basedOn w:val="Normal"/>
    <w:uiPriority w:val="99"/>
    <w:semiHidden/>
    <w:unhideWhenUsed/>
    <w:rsid w:val="0039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5743500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266742809">
      <w:bodyDiv w:val="1"/>
      <w:marLeft w:val="0"/>
      <w:marRight w:val="0"/>
      <w:marTop w:val="0"/>
      <w:marBottom w:val="0"/>
      <w:divBdr>
        <w:top w:val="none" w:sz="0" w:space="0" w:color="auto"/>
        <w:left w:val="none" w:sz="0" w:space="0" w:color="auto"/>
        <w:bottom w:val="none" w:sz="0" w:space="0" w:color="auto"/>
        <w:right w:val="none" w:sz="0" w:space="0" w:color="auto"/>
      </w:divBdr>
    </w:div>
    <w:div w:id="329529779">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48028515">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684596450">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2432346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995911449">
      <w:bodyDiv w:val="1"/>
      <w:marLeft w:val="0"/>
      <w:marRight w:val="0"/>
      <w:marTop w:val="0"/>
      <w:marBottom w:val="0"/>
      <w:divBdr>
        <w:top w:val="none" w:sz="0" w:space="0" w:color="auto"/>
        <w:left w:val="none" w:sz="0" w:space="0" w:color="auto"/>
        <w:bottom w:val="none" w:sz="0" w:space="0" w:color="auto"/>
        <w:right w:val="none" w:sz="0" w:space="0" w:color="auto"/>
      </w:divBdr>
    </w:div>
    <w:div w:id="1008408283">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097947666">
      <w:bodyDiv w:val="1"/>
      <w:marLeft w:val="0"/>
      <w:marRight w:val="0"/>
      <w:marTop w:val="0"/>
      <w:marBottom w:val="0"/>
      <w:divBdr>
        <w:top w:val="none" w:sz="0" w:space="0" w:color="auto"/>
        <w:left w:val="none" w:sz="0" w:space="0" w:color="auto"/>
        <w:bottom w:val="none" w:sz="0" w:space="0" w:color="auto"/>
        <w:right w:val="none" w:sz="0" w:space="0" w:color="auto"/>
      </w:divBdr>
    </w:div>
    <w:div w:id="1124008812">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295941320">
      <w:bodyDiv w:val="1"/>
      <w:marLeft w:val="0"/>
      <w:marRight w:val="0"/>
      <w:marTop w:val="0"/>
      <w:marBottom w:val="0"/>
      <w:divBdr>
        <w:top w:val="none" w:sz="0" w:space="0" w:color="auto"/>
        <w:left w:val="none" w:sz="0" w:space="0" w:color="auto"/>
        <w:bottom w:val="none" w:sz="0" w:space="0" w:color="auto"/>
        <w:right w:val="none" w:sz="0" w:space="0" w:color="auto"/>
      </w:divBdr>
    </w:div>
    <w:div w:id="1328438073">
      <w:bodyDiv w:val="1"/>
      <w:marLeft w:val="0"/>
      <w:marRight w:val="0"/>
      <w:marTop w:val="0"/>
      <w:marBottom w:val="0"/>
      <w:divBdr>
        <w:top w:val="none" w:sz="0" w:space="0" w:color="auto"/>
        <w:left w:val="none" w:sz="0" w:space="0" w:color="auto"/>
        <w:bottom w:val="none" w:sz="0" w:space="0" w:color="auto"/>
        <w:right w:val="none" w:sz="0" w:space="0" w:color="auto"/>
      </w:divBdr>
    </w:div>
    <w:div w:id="1352340346">
      <w:bodyDiv w:val="1"/>
      <w:marLeft w:val="0"/>
      <w:marRight w:val="0"/>
      <w:marTop w:val="0"/>
      <w:marBottom w:val="0"/>
      <w:divBdr>
        <w:top w:val="none" w:sz="0" w:space="0" w:color="auto"/>
        <w:left w:val="none" w:sz="0" w:space="0" w:color="auto"/>
        <w:bottom w:val="none" w:sz="0" w:space="0" w:color="auto"/>
        <w:right w:val="none" w:sz="0" w:space="0" w:color="auto"/>
      </w:divBdr>
    </w:div>
    <w:div w:id="1374500639">
      <w:bodyDiv w:val="1"/>
      <w:marLeft w:val="0"/>
      <w:marRight w:val="0"/>
      <w:marTop w:val="0"/>
      <w:marBottom w:val="0"/>
      <w:divBdr>
        <w:top w:val="none" w:sz="0" w:space="0" w:color="auto"/>
        <w:left w:val="none" w:sz="0" w:space="0" w:color="auto"/>
        <w:bottom w:val="none" w:sz="0" w:space="0" w:color="auto"/>
        <w:right w:val="none" w:sz="0" w:space="0" w:color="auto"/>
      </w:divBdr>
    </w:div>
    <w:div w:id="1424716813">
      <w:bodyDiv w:val="1"/>
      <w:marLeft w:val="0"/>
      <w:marRight w:val="0"/>
      <w:marTop w:val="0"/>
      <w:marBottom w:val="0"/>
      <w:divBdr>
        <w:top w:val="none" w:sz="0" w:space="0" w:color="auto"/>
        <w:left w:val="none" w:sz="0" w:space="0" w:color="auto"/>
        <w:bottom w:val="none" w:sz="0" w:space="0" w:color="auto"/>
        <w:right w:val="none" w:sz="0" w:space="0" w:color="auto"/>
      </w:divBdr>
    </w:div>
    <w:div w:id="1428691236">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41892134">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15151858">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84902465">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30694331">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 w:id="1952543014">
      <w:bodyDiv w:val="1"/>
      <w:marLeft w:val="0"/>
      <w:marRight w:val="0"/>
      <w:marTop w:val="0"/>
      <w:marBottom w:val="0"/>
      <w:divBdr>
        <w:top w:val="none" w:sz="0" w:space="0" w:color="auto"/>
        <w:left w:val="none" w:sz="0" w:space="0" w:color="auto"/>
        <w:bottom w:val="none" w:sz="0" w:space="0" w:color="auto"/>
        <w:right w:val="none" w:sz="0" w:space="0" w:color="auto"/>
      </w:divBdr>
    </w:div>
    <w:div w:id="1969508055">
      <w:bodyDiv w:val="1"/>
      <w:marLeft w:val="0"/>
      <w:marRight w:val="0"/>
      <w:marTop w:val="0"/>
      <w:marBottom w:val="0"/>
      <w:divBdr>
        <w:top w:val="none" w:sz="0" w:space="0" w:color="auto"/>
        <w:left w:val="none" w:sz="0" w:space="0" w:color="auto"/>
        <w:bottom w:val="none" w:sz="0" w:space="0" w:color="auto"/>
        <w:right w:val="none" w:sz="0" w:space="0" w:color="auto"/>
      </w:divBdr>
    </w:div>
    <w:div w:id="20658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26A1-6C16-4E68-8E12-13D229C9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4525</Words>
  <Characters>2580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Greta Butkuviene</cp:lastModifiedBy>
  <cp:revision>43</cp:revision>
  <cp:lastPrinted>2017-09-25T07:05:00Z</cp:lastPrinted>
  <dcterms:created xsi:type="dcterms:W3CDTF">2022-03-01T10:34:00Z</dcterms:created>
  <dcterms:modified xsi:type="dcterms:W3CDTF">2026-06-04T06:08:00Z</dcterms:modified>
</cp:coreProperties>
</file>