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62EE4" w14:textId="2DBA3617" w:rsidR="0057558B" w:rsidRPr="00D22521" w:rsidRDefault="0057558B" w:rsidP="0057558B">
      <w:pPr>
        <w:tabs>
          <w:tab w:val="num" w:pos="993"/>
          <w:tab w:val="num" w:pos="1134"/>
        </w:tabs>
        <w:ind w:firstLine="567"/>
        <w:jc w:val="right"/>
        <w:rPr>
          <w:sz w:val="22"/>
          <w:szCs w:val="22"/>
        </w:rPr>
      </w:pPr>
      <w:r w:rsidRPr="00D22521">
        <w:rPr>
          <w:sz w:val="22"/>
          <w:szCs w:val="22"/>
        </w:rPr>
        <w:t>1 priedas</w:t>
      </w:r>
    </w:p>
    <w:p w14:paraId="62518D1C" w14:textId="77777777" w:rsidR="0057558B" w:rsidRPr="00D22521" w:rsidRDefault="0057558B" w:rsidP="0057558B">
      <w:pPr>
        <w:tabs>
          <w:tab w:val="num" w:pos="993"/>
          <w:tab w:val="num" w:pos="1134"/>
        </w:tabs>
        <w:ind w:firstLine="567"/>
        <w:jc w:val="right"/>
        <w:rPr>
          <w:sz w:val="22"/>
          <w:szCs w:val="22"/>
        </w:rPr>
      </w:pPr>
    </w:p>
    <w:p w14:paraId="03887A24" w14:textId="272248FB" w:rsidR="006E06CE" w:rsidRDefault="0057558B" w:rsidP="0057558B">
      <w:pPr>
        <w:autoSpaceDE w:val="0"/>
        <w:autoSpaceDN w:val="0"/>
        <w:adjustRightInd w:val="0"/>
        <w:jc w:val="center"/>
        <w:rPr>
          <w:b/>
          <w:bCs/>
          <w:caps/>
        </w:rPr>
      </w:pPr>
      <w:r w:rsidRPr="00D22521">
        <w:rPr>
          <w:b/>
          <w:bCs/>
        </w:rPr>
        <w:t xml:space="preserve">CHECK POINT UGNIASIENIŲ LICENCIJOS ATNAUJINIMO </w:t>
      </w:r>
      <w:r w:rsidR="00F91C28">
        <w:rPr>
          <w:b/>
          <w:bCs/>
        </w:rPr>
        <w:t xml:space="preserve">PASLAUGŲ </w:t>
      </w:r>
      <w:r w:rsidRPr="00D22521">
        <w:rPr>
          <w:b/>
          <w:bCs/>
        </w:rPr>
        <w:t>PIRKIMO</w:t>
      </w:r>
      <w:r w:rsidRPr="00D22521">
        <w:rPr>
          <w:b/>
          <w:bCs/>
          <w:caps/>
        </w:rPr>
        <w:t xml:space="preserve"> </w:t>
      </w:r>
    </w:p>
    <w:p w14:paraId="2705CA06" w14:textId="1447049B" w:rsidR="0057558B" w:rsidRDefault="006E06CE" w:rsidP="0057558B">
      <w:pPr>
        <w:autoSpaceDE w:val="0"/>
        <w:autoSpaceDN w:val="0"/>
        <w:adjustRightInd w:val="0"/>
        <w:jc w:val="center"/>
        <w:rPr>
          <w:b/>
          <w:bCs/>
          <w:caps/>
        </w:rPr>
      </w:pPr>
      <w:r>
        <w:rPr>
          <w:b/>
          <w:bCs/>
          <w:caps/>
        </w:rPr>
        <w:t xml:space="preserve">TECHNINĖS </w:t>
      </w:r>
      <w:r w:rsidR="0057558B" w:rsidRPr="00D22521">
        <w:rPr>
          <w:b/>
          <w:bCs/>
          <w:caps/>
        </w:rPr>
        <w:t>specifikacij</w:t>
      </w:r>
      <w:r>
        <w:rPr>
          <w:b/>
          <w:bCs/>
          <w:caps/>
        </w:rPr>
        <w:t>OS PROJEKTAS</w:t>
      </w:r>
    </w:p>
    <w:p w14:paraId="367C5044" w14:textId="77777777" w:rsidR="00F91C28" w:rsidRDefault="00F91C28" w:rsidP="0057558B">
      <w:pPr>
        <w:autoSpaceDE w:val="0"/>
        <w:autoSpaceDN w:val="0"/>
        <w:adjustRightInd w:val="0"/>
        <w:jc w:val="center"/>
        <w:rPr>
          <w:b/>
          <w:bCs/>
          <w:caps/>
        </w:rPr>
      </w:pPr>
    </w:p>
    <w:p w14:paraId="18EFA2FA" w14:textId="6B665475" w:rsidR="00F91C28" w:rsidRPr="00F91C28" w:rsidRDefault="00F91C28" w:rsidP="0057558B">
      <w:pPr>
        <w:autoSpaceDE w:val="0"/>
        <w:autoSpaceDN w:val="0"/>
        <w:adjustRightInd w:val="0"/>
        <w:jc w:val="center"/>
        <w:rPr>
          <w:b/>
          <w:bCs/>
          <w:i/>
          <w:iCs/>
          <w:caps/>
        </w:rPr>
      </w:pPr>
      <w:r w:rsidRPr="00F91C28">
        <w:rPr>
          <w:b/>
          <w:bCs/>
          <w:i/>
          <w:iCs/>
          <w:caps/>
        </w:rPr>
        <w:t>pIRKIMUI SKIRTA LĖŠŲ SUMA YRA 60 000,00 eUR BE pvm</w:t>
      </w:r>
    </w:p>
    <w:p w14:paraId="242409F8" w14:textId="77777777" w:rsidR="0057558B" w:rsidRPr="00D22521" w:rsidRDefault="0057558B" w:rsidP="0057558B">
      <w:pPr>
        <w:autoSpaceDE w:val="0"/>
        <w:autoSpaceDN w:val="0"/>
        <w:adjustRightInd w:val="0"/>
        <w:jc w:val="center"/>
        <w:rPr>
          <w:b/>
          <w:bCs/>
        </w:rPr>
      </w:pPr>
    </w:p>
    <w:p w14:paraId="17C12CE6" w14:textId="28E4F4E2" w:rsidR="0057558B" w:rsidRPr="00D22521" w:rsidRDefault="0057558B" w:rsidP="0057558B">
      <w:pPr>
        <w:numPr>
          <w:ilvl w:val="0"/>
          <w:numId w:val="1"/>
        </w:numPr>
        <w:ind w:left="567"/>
        <w:jc w:val="both"/>
        <w:rPr>
          <w:szCs w:val="24"/>
          <w:lang w:eastAsia="ar-SA"/>
        </w:rPr>
      </w:pPr>
      <w:r w:rsidRPr="00D22521">
        <w:rPr>
          <w:rFonts w:eastAsia="TimesNewRomanPSMT"/>
          <w:szCs w:val="24"/>
        </w:rPr>
        <w:t xml:space="preserve">Perkančioji organizacija siekia įsigyti </w:t>
      </w:r>
      <w:proofErr w:type="spellStart"/>
      <w:r w:rsidRPr="00D22521">
        <w:rPr>
          <w:szCs w:val="24"/>
        </w:rPr>
        <w:t>Check</w:t>
      </w:r>
      <w:proofErr w:type="spellEnd"/>
      <w:r w:rsidRPr="00D22521">
        <w:rPr>
          <w:szCs w:val="24"/>
        </w:rPr>
        <w:t xml:space="preserve"> </w:t>
      </w:r>
      <w:proofErr w:type="spellStart"/>
      <w:r w:rsidRPr="00D22521">
        <w:rPr>
          <w:szCs w:val="24"/>
        </w:rPr>
        <w:t>Point</w:t>
      </w:r>
      <w:proofErr w:type="spellEnd"/>
      <w:r w:rsidRPr="00D22521">
        <w:rPr>
          <w:szCs w:val="24"/>
        </w:rPr>
        <w:t xml:space="preserve"> tinklo ugniasienių įsilaužimo prevencijai, ir žalingo turinio blokavimui </w:t>
      </w:r>
      <w:proofErr w:type="spellStart"/>
      <w:r w:rsidRPr="00D22521">
        <w:rPr>
          <w:szCs w:val="24"/>
        </w:rPr>
        <w:t>Next</w:t>
      </w:r>
      <w:proofErr w:type="spellEnd"/>
      <w:r w:rsidRPr="00D22521">
        <w:rPr>
          <w:szCs w:val="24"/>
        </w:rPr>
        <w:t xml:space="preserve"> </w:t>
      </w:r>
      <w:proofErr w:type="spellStart"/>
      <w:r w:rsidRPr="00D22521">
        <w:rPr>
          <w:szCs w:val="24"/>
        </w:rPr>
        <w:t>Generation</w:t>
      </w:r>
      <w:proofErr w:type="spellEnd"/>
      <w:r w:rsidRPr="00D22521">
        <w:rPr>
          <w:szCs w:val="24"/>
        </w:rPr>
        <w:t xml:space="preserve"> </w:t>
      </w:r>
      <w:proofErr w:type="spellStart"/>
      <w:r w:rsidRPr="00D22521">
        <w:rPr>
          <w:szCs w:val="24"/>
        </w:rPr>
        <w:t>Threat</w:t>
      </w:r>
      <w:proofErr w:type="spellEnd"/>
      <w:r w:rsidRPr="00D22521">
        <w:rPr>
          <w:szCs w:val="24"/>
        </w:rPr>
        <w:t xml:space="preserve"> </w:t>
      </w:r>
      <w:proofErr w:type="spellStart"/>
      <w:r w:rsidRPr="00D22521">
        <w:rPr>
          <w:szCs w:val="24"/>
        </w:rPr>
        <w:t>Prevention</w:t>
      </w:r>
      <w:proofErr w:type="spellEnd"/>
      <w:r w:rsidRPr="00D22521">
        <w:rPr>
          <w:szCs w:val="24"/>
        </w:rPr>
        <w:t xml:space="preserve"> (NGTP) paketo licencijas su 36 mėn. naujumo garantija ir techniniu palaikymu</w:t>
      </w:r>
      <w:r w:rsidRPr="00D22521">
        <w:rPr>
          <w:color w:val="1F497D"/>
          <w:szCs w:val="24"/>
        </w:rPr>
        <w:t xml:space="preserve"> </w:t>
      </w:r>
      <w:r w:rsidRPr="00D22521">
        <w:rPr>
          <w:rFonts w:eastAsia="TimesNewRomanPSMT"/>
          <w:szCs w:val="24"/>
        </w:rPr>
        <w:t>(toliau – Prekės)</w:t>
      </w:r>
      <w:r w:rsidRPr="00D22521">
        <w:rPr>
          <w:szCs w:val="24"/>
        </w:rPr>
        <w:t xml:space="preserve">. Licencijos turi būti suderinamos su organizacijos naudojamomis </w:t>
      </w:r>
      <w:proofErr w:type="spellStart"/>
      <w:r w:rsidRPr="00D22521">
        <w:rPr>
          <w:szCs w:val="24"/>
        </w:rPr>
        <w:t>Check</w:t>
      </w:r>
      <w:proofErr w:type="spellEnd"/>
      <w:r w:rsidRPr="00D22521">
        <w:rPr>
          <w:szCs w:val="24"/>
        </w:rPr>
        <w:t xml:space="preserve"> </w:t>
      </w:r>
      <w:proofErr w:type="spellStart"/>
      <w:r w:rsidRPr="00D22521">
        <w:rPr>
          <w:szCs w:val="24"/>
        </w:rPr>
        <w:t>Point</w:t>
      </w:r>
      <w:proofErr w:type="spellEnd"/>
      <w:r w:rsidRPr="00D22521">
        <w:rPr>
          <w:szCs w:val="24"/>
        </w:rPr>
        <w:t xml:space="preserve"> </w:t>
      </w:r>
      <w:proofErr w:type="spellStart"/>
      <w:r w:rsidRPr="00D22521">
        <w:rPr>
          <w:szCs w:val="24"/>
        </w:rPr>
        <w:t>software</w:t>
      </w:r>
      <w:proofErr w:type="spellEnd"/>
      <w:r w:rsidRPr="00D22521">
        <w:rPr>
          <w:szCs w:val="24"/>
        </w:rPr>
        <w:t xml:space="preserve"> </w:t>
      </w:r>
      <w:proofErr w:type="spellStart"/>
      <w:r w:rsidRPr="00D22521">
        <w:rPr>
          <w:szCs w:val="24"/>
        </w:rPr>
        <w:t>technologies</w:t>
      </w:r>
      <w:proofErr w:type="spellEnd"/>
      <w:r w:rsidRPr="00D22521">
        <w:rPr>
          <w:szCs w:val="24"/>
        </w:rPr>
        <w:t xml:space="preserve"> SG 6200 ugniasienėmis.</w:t>
      </w:r>
    </w:p>
    <w:p w14:paraId="16F60A56" w14:textId="77777777" w:rsidR="0057558B" w:rsidRPr="00D22521" w:rsidRDefault="0057558B" w:rsidP="0057558B">
      <w:pPr>
        <w:pStyle w:val="Sraopastraipa"/>
        <w:numPr>
          <w:ilvl w:val="1"/>
          <w:numId w:val="2"/>
        </w:numPr>
        <w:ind w:left="567" w:firstLine="0"/>
        <w:jc w:val="both"/>
        <w:rPr>
          <w:szCs w:val="24"/>
          <w:lang w:eastAsia="ar-SA"/>
        </w:rPr>
      </w:pPr>
      <w:r w:rsidRPr="00D22521">
        <w:rPr>
          <w:bCs/>
          <w:szCs w:val="24"/>
          <w:lang w:eastAsia="ar-SA"/>
        </w:rPr>
        <w:t>Licencijos, paslaugų atnaujinimai ir gamintojo techninis palaikymas turi būti taikomas:</w:t>
      </w:r>
    </w:p>
    <w:tbl>
      <w:tblPr>
        <w:tblStyle w:val="Lentelstinklelis"/>
        <w:tblW w:w="8784" w:type="dxa"/>
        <w:tblInd w:w="567" w:type="dxa"/>
        <w:tblLook w:val="04A0" w:firstRow="1" w:lastRow="0" w:firstColumn="1" w:lastColumn="0" w:noHBand="0" w:noVBand="1"/>
      </w:tblPr>
      <w:tblGrid>
        <w:gridCol w:w="700"/>
        <w:gridCol w:w="2822"/>
        <w:gridCol w:w="2177"/>
        <w:gridCol w:w="3085"/>
      </w:tblGrid>
      <w:tr w:rsidR="0057558B" w:rsidRPr="00D22521" w14:paraId="1A5562EB" w14:textId="77777777" w:rsidTr="00687374">
        <w:tc>
          <w:tcPr>
            <w:tcW w:w="700" w:type="dxa"/>
          </w:tcPr>
          <w:p w14:paraId="62927927" w14:textId="77777777" w:rsidR="0057558B" w:rsidRPr="00D22521" w:rsidRDefault="0057558B" w:rsidP="00687374">
            <w:pPr>
              <w:jc w:val="center"/>
              <w:rPr>
                <w:b/>
                <w:bCs/>
                <w:szCs w:val="24"/>
                <w:lang w:eastAsia="ar-SA"/>
              </w:rPr>
            </w:pPr>
            <w:r w:rsidRPr="00D22521">
              <w:rPr>
                <w:b/>
                <w:bCs/>
                <w:szCs w:val="24"/>
                <w:lang w:eastAsia="ar-SA"/>
              </w:rPr>
              <w:t>Eil. Nr.</w:t>
            </w:r>
          </w:p>
        </w:tc>
        <w:tc>
          <w:tcPr>
            <w:tcW w:w="2822" w:type="dxa"/>
          </w:tcPr>
          <w:p w14:paraId="283EAE80" w14:textId="77777777" w:rsidR="0057558B" w:rsidRPr="00D22521" w:rsidRDefault="0057558B" w:rsidP="00687374">
            <w:pPr>
              <w:jc w:val="center"/>
              <w:rPr>
                <w:b/>
                <w:bCs/>
                <w:szCs w:val="24"/>
                <w:lang w:eastAsia="ar-SA"/>
              </w:rPr>
            </w:pPr>
            <w:r w:rsidRPr="00D22521">
              <w:rPr>
                <w:b/>
                <w:bCs/>
                <w:szCs w:val="24"/>
                <w:lang w:eastAsia="ar-SA"/>
              </w:rPr>
              <w:t>Įranga</w:t>
            </w:r>
          </w:p>
        </w:tc>
        <w:tc>
          <w:tcPr>
            <w:tcW w:w="2177" w:type="dxa"/>
          </w:tcPr>
          <w:p w14:paraId="07B93C78" w14:textId="77777777" w:rsidR="0057558B" w:rsidRPr="00D22521" w:rsidRDefault="0057558B" w:rsidP="00687374">
            <w:pPr>
              <w:jc w:val="center"/>
              <w:rPr>
                <w:b/>
                <w:bCs/>
                <w:szCs w:val="24"/>
                <w:lang w:eastAsia="ar-SA"/>
              </w:rPr>
            </w:pPr>
            <w:r w:rsidRPr="00D22521">
              <w:rPr>
                <w:b/>
                <w:bCs/>
                <w:szCs w:val="24"/>
                <w:lang w:eastAsia="ar-SA"/>
              </w:rPr>
              <w:t>Serijinis numeris</w:t>
            </w:r>
          </w:p>
        </w:tc>
        <w:tc>
          <w:tcPr>
            <w:tcW w:w="3085" w:type="dxa"/>
          </w:tcPr>
          <w:p w14:paraId="68518482" w14:textId="77777777" w:rsidR="0057558B" w:rsidRPr="00D22521" w:rsidRDefault="0057558B" w:rsidP="00687374">
            <w:pPr>
              <w:jc w:val="center"/>
              <w:rPr>
                <w:b/>
                <w:bCs/>
                <w:szCs w:val="24"/>
                <w:lang w:eastAsia="ar-SA"/>
              </w:rPr>
            </w:pPr>
            <w:r w:rsidRPr="00D22521">
              <w:rPr>
                <w:b/>
                <w:bCs/>
                <w:szCs w:val="24"/>
                <w:lang w:eastAsia="ar-SA"/>
              </w:rPr>
              <w:t>Techninio palaikymo (</w:t>
            </w:r>
            <w:proofErr w:type="spellStart"/>
            <w:r w:rsidRPr="00D22521">
              <w:rPr>
                <w:b/>
                <w:bCs/>
                <w:szCs w:val="24"/>
                <w:lang w:eastAsia="ar-SA"/>
              </w:rPr>
              <w:t>Support</w:t>
            </w:r>
            <w:proofErr w:type="spellEnd"/>
            <w:r w:rsidRPr="00D22521">
              <w:rPr>
                <w:b/>
                <w:bCs/>
                <w:szCs w:val="24"/>
                <w:lang w:eastAsia="ar-SA"/>
              </w:rPr>
              <w:t>) modelis</w:t>
            </w:r>
          </w:p>
        </w:tc>
      </w:tr>
      <w:tr w:rsidR="0057558B" w:rsidRPr="00D22521" w14:paraId="6C5A2068" w14:textId="77777777" w:rsidTr="00687374">
        <w:tc>
          <w:tcPr>
            <w:tcW w:w="700" w:type="dxa"/>
          </w:tcPr>
          <w:p w14:paraId="58C0963B" w14:textId="77777777" w:rsidR="0057558B" w:rsidRPr="00D22521" w:rsidRDefault="0057558B" w:rsidP="00687374">
            <w:pPr>
              <w:jc w:val="both"/>
              <w:rPr>
                <w:szCs w:val="24"/>
                <w:lang w:eastAsia="ar-SA"/>
              </w:rPr>
            </w:pPr>
            <w:r w:rsidRPr="00D22521">
              <w:rPr>
                <w:szCs w:val="24"/>
                <w:lang w:eastAsia="ar-SA"/>
              </w:rPr>
              <w:t>1.1.1</w:t>
            </w:r>
          </w:p>
        </w:tc>
        <w:tc>
          <w:tcPr>
            <w:tcW w:w="2822" w:type="dxa"/>
          </w:tcPr>
          <w:p w14:paraId="6F502C7F" w14:textId="77777777" w:rsidR="0057558B" w:rsidRPr="00D22521" w:rsidRDefault="0057558B" w:rsidP="00687374">
            <w:pPr>
              <w:jc w:val="both"/>
              <w:rPr>
                <w:szCs w:val="24"/>
                <w:lang w:eastAsia="ar-SA"/>
              </w:rPr>
            </w:pPr>
            <w:r w:rsidRPr="00D22521">
              <w:rPr>
                <w:szCs w:val="24"/>
                <w:lang w:eastAsia="ar-SA"/>
              </w:rPr>
              <w:t xml:space="preserve">6200 PLUS </w:t>
            </w:r>
            <w:proofErr w:type="spellStart"/>
            <w:r w:rsidRPr="00D22521">
              <w:rPr>
                <w:szCs w:val="24"/>
                <w:lang w:eastAsia="ar-SA"/>
              </w:rPr>
              <w:t>appliance</w:t>
            </w:r>
            <w:proofErr w:type="spellEnd"/>
            <w:r w:rsidRPr="00D22521">
              <w:rPr>
                <w:szCs w:val="24"/>
                <w:lang w:eastAsia="ar-SA"/>
              </w:rPr>
              <w:t xml:space="preserve"> </w:t>
            </w:r>
            <w:proofErr w:type="spellStart"/>
            <w:r w:rsidRPr="00D22521">
              <w:rPr>
                <w:szCs w:val="24"/>
                <w:lang w:eastAsia="ar-SA"/>
              </w:rPr>
              <w:t>with</w:t>
            </w:r>
            <w:proofErr w:type="spellEnd"/>
            <w:r w:rsidRPr="00D22521">
              <w:rPr>
                <w:szCs w:val="24"/>
                <w:lang w:eastAsia="ar-SA"/>
              </w:rPr>
              <w:t xml:space="preserve"> </w:t>
            </w:r>
            <w:proofErr w:type="spellStart"/>
            <w:r w:rsidRPr="00D22521">
              <w:rPr>
                <w:szCs w:val="24"/>
                <w:lang w:eastAsia="ar-SA"/>
              </w:rPr>
              <w:t>SandBlast</w:t>
            </w:r>
            <w:proofErr w:type="spellEnd"/>
            <w:r w:rsidRPr="00D22521">
              <w:rPr>
                <w:szCs w:val="24"/>
                <w:lang w:eastAsia="ar-SA"/>
              </w:rPr>
              <w:t xml:space="preserve"> </w:t>
            </w:r>
            <w:proofErr w:type="spellStart"/>
            <w:r w:rsidRPr="00D22521">
              <w:rPr>
                <w:szCs w:val="24"/>
                <w:lang w:eastAsia="ar-SA"/>
              </w:rPr>
              <w:t>subscription</w:t>
            </w:r>
            <w:proofErr w:type="spellEnd"/>
            <w:r w:rsidRPr="00D22521">
              <w:rPr>
                <w:szCs w:val="24"/>
                <w:lang w:eastAsia="ar-SA"/>
              </w:rPr>
              <w:t xml:space="preserve"> </w:t>
            </w:r>
            <w:proofErr w:type="spellStart"/>
            <w:r w:rsidRPr="00D22521">
              <w:rPr>
                <w:szCs w:val="24"/>
                <w:lang w:eastAsia="ar-SA"/>
              </w:rPr>
              <w:t>package</w:t>
            </w:r>
            <w:proofErr w:type="spellEnd"/>
          </w:p>
        </w:tc>
        <w:tc>
          <w:tcPr>
            <w:tcW w:w="2177" w:type="dxa"/>
          </w:tcPr>
          <w:p w14:paraId="71C806E2" w14:textId="77777777" w:rsidR="0057558B" w:rsidRPr="00D22521" w:rsidRDefault="0057558B" w:rsidP="00687374">
            <w:pPr>
              <w:jc w:val="both"/>
              <w:rPr>
                <w:szCs w:val="24"/>
                <w:highlight w:val="yellow"/>
                <w:lang w:eastAsia="ar-SA"/>
              </w:rPr>
            </w:pPr>
            <w:r w:rsidRPr="00D22521">
              <w:rPr>
                <w:szCs w:val="24"/>
                <w:lang w:eastAsia="ar-SA"/>
              </w:rPr>
              <w:t>00:1C:7F:C1:A5:85</w:t>
            </w:r>
          </w:p>
        </w:tc>
        <w:tc>
          <w:tcPr>
            <w:tcW w:w="3085" w:type="dxa"/>
          </w:tcPr>
          <w:p w14:paraId="21BD0AF5" w14:textId="77777777" w:rsidR="0057558B" w:rsidRPr="00D22521" w:rsidRDefault="0057558B" w:rsidP="00687374">
            <w:pPr>
              <w:jc w:val="both"/>
              <w:rPr>
                <w:szCs w:val="24"/>
                <w:lang w:eastAsia="ar-SA"/>
              </w:rPr>
            </w:pPr>
            <w:proofErr w:type="spellStart"/>
            <w:r w:rsidRPr="00D22521">
              <w:rPr>
                <w:szCs w:val="24"/>
                <w:shd w:val="clear" w:color="auto" w:fill="FFFFFF"/>
              </w:rPr>
              <w:t>Direct</w:t>
            </w:r>
            <w:proofErr w:type="spellEnd"/>
            <w:r w:rsidRPr="00D22521">
              <w:rPr>
                <w:szCs w:val="24"/>
                <w:shd w:val="clear" w:color="auto" w:fill="FFFFFF"/>
              </w:rPr>
              <w:t xml:space="preserve"> </w:t>
            </w:r>
            <w:proofErr w:type="spellStart"/>
            <w:r w:rsidRPr="00D22521">
              <w:rPr>
                <w:szCs w:val="24"/>
                <w:shd w:val="clear" w:color="auto" w:fill="FFFFFF"/>
              </w:rPr>
              <w:t>Enterprise</w:t>
            </w:r>
            <w:proofErr w:type="spellEnd"/>
            <w:r w:rsidRPr="00D22521">
              <w:rPr>
                <w:szCs w:val="24"/>
                <w:shd w:val="clear" w:color="auto" w:fill="FFFFFF"/>
              </w:rPr>
              <w:t xml:space="preserve"> </w:t>
            </w:r>
            <w:proofErr w:type="spellStart"/>
            <w:r w:rsidRPr="00D22521">
              <w:rPr>
                <w:szCs w:val="24"/>
                <w:shd w:val="clear" w:color="auto" w:fill="FFFFFF"/>
              </w:rPr>
              <w:t>Software</w:t>
            </w:r>
            <w:proofErr w:type="spellEnd"/>
            <w:r w:rsidRPr="00D22521">
              <w:rPr>
                <w:szCs w:val="24"/>
                <w:shd w:val="clear" w:color="auto" w:fill="FFFFFF"/>
              </w:rPr>
              <w:t xml:space="preserve"> </w:t>
            </w:r>
            <w:proofErr w:type="spellStart"/>
            <w:r w:rsidRPr="00D22521">
              <w:rPr>
                <w:szCs w:val="24"/>
                <w:shd w:val="clear" w:color="auto" w:fill="FFFFFF"/>
              </w:rPr>
              <w:t>Subscription</w:t>
            </w:r>
            <w:proofErr w:type="spellEnd"/>
            <w:r w:rsidRPr="00D22521">
              <w:rPr>
                <w:szCs w:val="24"/>
                <w:shd w:val="clear" w:color="auto" w:fill="FFFFFF"/>
              </w:rPr>
              <w:t xml:space="preserve"> </w:t>
            </w:r>
            <w:proofErr w:type="spellStart"/>
            <w:r w:rsidRPr="00D22521">
              <w:rPr>
                <w:szCs w:val="24"/>
                <w:shd w:val="clear" w:color="auto" w:fill="FFFFFF"/>
              </w:rPr>
              <w:t>and</w:t>
            </w:r>
            <w:proofErr w:type="spellEnd"/>
            <w:r w:rsidRPr="00D22521">
              <w:rPr>
                <w:szCs w:val="24"/>
                <w:shd w:val="clear" w:color="auto" w:fill="FFFFFF"/>
              </w:rPr>
              <w:t xml:space="preserve"> Standard </w:t>
            </w:r>
            <w:proofErr w:type="spellStart"/>
            <w:r w:rsidRPr="00D22521">
              <w:rPr>
                <w:szCs w:val="24"/>
                <w:shd w:val="clear" w:color="auto" w:fill="FFFFFF"/>
              </w:rPr>
              <w:t>Support</w:t>
            </w:r>
            <w:proofErr w:type="spellEnd"/>
          </w:p>
        </w:tc>
      </w:tr>
      <w:tr w:rsidR="0057558B" w:rsidRPr="00D22521" w14:paraId="3EBF5BFD" w14:textId="77777777" w:rsidTr="00687374">
        <w:tc>
          <w:tcPr>
            <w:tcW w:w="700" w:type="dxa"/>
          </w:tcPr>
          <w:p w14:paraId="589A39F4" w14:textId="77777777" w:rsidR="0057558B" w:rsidRPr="00D22521" w:rsidRDefault="0057558B" w:rsidP="00687374">
            <w:pPr>
              <w:jc w:val="both"/>
              <w:rPr>
                <w:szCs w:val="24"/>
                <w:lang w:eastAsia="ar-SA"/>
              </w:rPr>
            </w:pPr>
            <w:r w:rsidRPr="00D22521">
              <w:rPr>
                <w:szCs w:val="24"/>
                <w:lang w:eastAsia="ar-SA"/>
              </w:rPr>
              <w:t>1.1.2</w:t>
            </w:r>
          </w:p>
        </w:tc>
        <w:tc>
          <w:tcPr>
            <w:tcW w:w="2822" w:type="dxa"/>
          </w:tcPr>
          <w:p w14:paraId="2FAE2F5E" w14:textId="77777777" w:rsidR="0057558B" w:rsidRPr="00D22521" w:rsidRDefault="0057558B" w:rsidP="00687374">
            <w:pPr>
              <w:jc w:val="both"/>
              <w:rPr>
                <w:szCs w:val="24"/>
                <w:lang w:eastAsia="ar-SA"/>
              </w:rPr>
            </w:pPr>
            <w:r w:rsidRPr="00D22521">
              <w:rPr>
                <w:szCs w:val="24"/>
                <w:lang w:eastAsia="ar-SA"/>
              </w:rPr>
              <w:t xml:space="preserve">6200 PLUS </w:t>
            </w:r>
            <w:proofErr w:type="spellStart"/>
            <w:r w:rsidRPr="00D22521">
              <w:rPr>
                <w:szCs w:val="24"/>
                <w:lang w:eastAsia="ar-SA"/>
              </w:rPr>
              <w:t>appliance</w:t>
            </w:r>
            <w:proofErr w:type="spellEnd"/>
            <w:r w:rsidRPr="00D22521">
              <w:rPr>
                <w:szCs w:val="24"/>
                <w:lang w:eastAsia="ar-SA"/>
              </w:rPr>
              <w:t xml:space="preserve"> </w:t>
            </w:r>
            <w:proofErr w:type="spellStart"/>
            <w:r w:rsidRPr="00D22521">
              <w:rPr>
                <w:szCs w:val="24"/>
                <w:lang w:eastAsia="ar-SA"/>
              </w:rPr>
              <w:t>with</w:t>
            </w:r>
            <w:proofErr w:type="spellEnd"/>
            <w:r w:rsidRPr="00D22521">
              <w:rPr>
                <w:szCs w:val="24"/>
                <w:lang w:eastAsia="ar-SA"/>
              </w:rPr>
              <w:t xml:space="preserve"> </w:t>
            </w:r>
            <w:proofErr w:type="spellStart"/>
            <w:r w:rsidRPr="00D22521">
              <w:rPr>
                <w:szCs w:val="24"/>
                <w:lang w:eastAsia="ar-SA"/>
              </w:rPr>
              <w:t>SandBlast</w:t>
            </w:r>
            <w:proofErr w:type="spellEnd"/>
            <w:r w:rsidRPr="00D22521">
              <w:rPr>
                <w:szCs w:val="24"/>
                <w:lang w:eastAsia="ar-SA"/>
              </w:rPr>
              <w:t xml:space="preserve"> </w:t>
            </w:r>
            <w:proofErr w:type="spellStart"/>
            <w:r w:rsidRPr="00D22521">
              <w:rPr>
                <w:szCs w:val="24"/>
                <w:lang w:eastAsia="ar-SA"/>
              </w:rPr>
              <w:t>subscription</w:t>
            </w:r>
            <w:proofErr w:type="spellEnd"/>
            <w:r w:rsidRPr="00D22521">
              <w:rPr>
                <w:szCs w:val="24"/>
                <w:lang w:eastAsia="ar-SA"/>
              </w:rPr>
              <w:t xml:space="preserve"> </w:t>
            </w:r>
            <w:proofErr w:type="spellStart"/>
            <w:r w:rsidRPr="00D22521">
              <w:rPr>
                <w:szCs w:val="24"/>
                <w:lang w:eastAsia="ar-SA"/>
              </w:rPr>
              <w:t>package</w:t>
            </w:r>
            <w:proofErr w:type="spellEnd"/>
          </w:p>
        </w:tc>
        <w:tc>
          <w:tcPr>
            <w:tcW w:w="2177" w:type="dxa"/>
          </w:tcPr>
          <w:p w14:paraId="485BE7F0" w14:textId="77777777" w:rsidR="0057558B" w:rsidRPr="00D22521" w:rsidRDefault="0057558B" w:rsidP="00687374">
            <w:pPr>
              <w:jc w:val="both"/>
              <w:rPr>
                <w:szCs w:val="24"/>
                <w:highlight w:val="yellow"/>
                <w:lang w:eastAsia="ar-SA"/>
              </w:rPr>
            </w:pPr>
            <w:r w:rsidRPr="00D22521">
              <w:rPr>
                <w:szCs w:val="24"/>
                <w:shd w:val="clear" w:color="auto" w:fill="FFFFFF"/>
              </w:rPr>
              <w:t>00:1C:7F:C1:A5:C1</w:t>
            </w:r>
          </w:p>
        </w:tc>
        <w:tc>
          <w:tcPr>
            <w:tcW w:w="3085" w:type="dxa"/>
          </w:tcPr>
          <w:p w14:paraId="08DDC446" w14:textId="77777777" w:rsidR="0057558B" w:rsidRPr="00D22521" w:rsidRDefault="0057558B" w:rsidP="00687374">
            <w:pPr>
              <w:jc w:val="both"/>
              <w:rPr>
                <w:szCs w:val="24"/>
                <w:lang w:eastAsia="ar-SA"/>
              </w:rPr>
            </w:pPr>
            <w:proofErr w:type="spellStart"/>
            <w:r w:rsidRPr="00D22521">
              <w:rPr>
                <w:szCs w:val="24"/>
                <w:shd w:val="clear" w:color="auto" w:fill="FFFFFF"/>
              </w:rPr>
              <w:t>Direct</w:t>
            </w:r>
            <w:proofErr w:type="spellEnd"/>
            <w:r w:rsidRPr="00D22521">
              <w:rPr>
                <w:szCs w:val="24"/>
                <w:shd w:val="clear" w:color="auto" w:fill="FFFFFF"/>
              </w:rPr>
              <w:t xml:space="preserve"> </w:t>
            </w:r>
            <w:proofErr w:type="spellStart"/>
            <w:r w:rsidRPr="00D22521">
              <w:rPr>
                <w:szCs w:val="24"/>
                <w:shd w:val="clear" w:color="auto" w:fill="FFFFFF"/>
              </w:rPr>
              <w:t>Enterprise</w:t>
            </w:r>
            <w:proofErr w:type="spellEnd"/>
            <w:r w:rsidRPr="00D22521">
              <w:rPr>
                <w:szCs w:val="24"/>
                <w:shd w:val="clear" w:color="auto" w:fill="FFFFFF"/>
              </w:rPr>
              <w:t xml:space="preserve"> </w:t>
            </w:r>
            <w:proofErr w:type="spellStart"/>
            <w:r w:rsidRPr="00D22521">
              <w:rPr>
                <w:szCs w:val="24"/>
                <w:shd w:val="clear" w:color="auto" w:fill="FFFFFF"/>
              </w:rPr>
              <w:t>Software</w:t>
            </w:r>
            <w:proofErr w:type="spellEnd"/>
            <w:r w:rsidRPr="00D22521">
              <w:rPr>
                <w:szCs w:val="24"/>
                <w:shd w:val="clear" w:color="auto" w:fill="FFFFFF"/>
              </w:rPr>
              <w:t xml:space="preserve"> </w:t>
            </w:r>
            <w:proofErr w:type="spellStart"/>
            <w:r w:rsidRPr="00D22521">
              <w:rPr>
                <w:szCs w:val="24"/>
                <w:shd w:val="clear" w:color="auto" w:fill="FFFFFF"/>
              </w:rPr>
              <w:t>Subscription</w:t>
            </w:r>
            <w:proofErr w:type="spellEnd"/>
            <w:r w:rsidRPr="00D22521">
              <w:rPr>
                <w:szCs w:val="24"/>
                <w:shd w:val="clear" w:color="auto" w:fill="FFFFFF"/>
              </w:rPr>
              <w:t xml:space="preserve"> </w:t>
            </w:r>
            <w:proofErr w:type="spellStart"/>
            <w:r w:rsidRPr="00D22521">
              <w:rPr>
                <w:szCs w:val="24"/>
                <w:shd w:val="clear" w:color="auto" w:fill="FFFFFF"/>
              </w:rPr>
              <w:t>and</w:t>
            </w:r>
            <w:proofErr w:type="spellEnd"/>
            <w:r w:rsidRPr="00D22521">
              <w:rPr>
                <w:szCs w:val="24"/>
                <w:shd w:val="clear" w:color="auto" w:fill="FFFFFF"/>
              </w:rPr>
              <w:t xml:space="preserve"> Standard </w:t>
            </w:r>
            <w:proofErr w:type="spellStart"/>
            <w:r w:rsidRPr="00D22521">
              <w:rPr>
                <w:szCs w:val="24"/>
                <w:shd w:val="clear" w:color="auto" w:fill="FFFFFF"/>
              </w:rPr>
              <w:t>Support</w:t>
            </w:r>
            <w:proofErr w:type="spellEnd"/>
          </w:p>
        </w:tc>
      </w:tr>
    </w:tbl>
    <w:p w14:paraId="4E38D958" w14:textId="77777777" w:rsidR="0057558B" w:rsidRPr="00D22521" w:rsidRDefault="0057558B" w:rsidP="0057558B">
      <w:pPr>
        <w:ind w:left="567"/>
        <w:jc w:val="both"/>
        <w:rPr>
          <w:szCs w:val="24"/>
          <w:lang w:eastAsia="ar-SA"/>
        </w:rPr>
      </w:pPr>
    </w:p>
    <w:p w14:paraId="75F6D60A" w14:textId="77777777" w:rsidR="0057558B" w:rsidRPr="00D22521" w:rsidRDefault="0057558B" w:rsidP="0057558B">
      <w:pPr>
        <w:pStyle w:val="Sraopastraipa"/>
        <w:numPr>
          <w:ilvl w:val="1"/>
          <w:numId w:val="2"/>
        </w:numPr>
        <w:ind w:left="567" w:firstLine="0"/>
        <w:jc w:val="both"/>
        <w:rPr>
          <w:szCs w:val="24"/>
        </w:rPr>
      </w:pPr>
      <w:r w:rsidRPr="00D22521">
        <w:rPr>
          <w:szCs w:val="24"/>
        </w:rPr>
        <w:t xml:space="preserve">Licencijos paketas turi apimti šį funkcionalumą: </w:t>
      </w:r>
    </w:p>
    <w:tbl>
      <w:tblPr>
        <w:tblStyle w:val="Lentelstinklelis"/>
        <w:tblW w:w="8789" w:type="dxa"/>
        <w:tblInd w:w="562" w:type="dxa"/>
        <w:tblLook w:val="04A0" w:firstRow="1" w:lastRow="0" w:firstColumn="1" w:lastColumn="0" w:noHBand="0" w:noVBand="1"/>
      </w:tblPr>
      <w:tblGrid>
        <w:gridCol w:w="816"/>
        <w:gridCol w:w="7973"/>
      </w:tblGrid>
      <w:tr w:rsidR="0057558B" w:rsidRPr="00D22521" w14:paraId="52A97A69" w14:textId="77777777" w:rsidTr="00687374">
        <w:tc>
          <w:tcPr>
            <w:tcW w:w="816" w:type="dxa"/>
          </w:tcPr>
          <w:p w14:paraId="186AEB45" w14:textId="77777777" w:rsidR="0057558B" w:rsidRPr="00D22521" w:rsidRDefault="0057558B" w:rsidP="00687374">
            <w:pPr>
              <w:jc w:val="center"/>
              <w:rPr>
                <w:b/>
                <w:bCs/>
                <w:szCs w:val="24"/>
                <w:lang w:eastAsia="ar-SA"/>
              </w:rPr>
            </w:pPr>
            <w:r w:rsidRPr="00D22521">
              <w:rPr>
                <w:b/>
                <w:bCs/>
                <w:szCs w:val="24"/>
                <w:lang w:eastAsia="ar-SA"/>
              </w:rPr>
              <w:t xml:space="preserve">Eil. </w:t>
            </w:r>
            <w:proofErr w:type="spellStart"/>
            <w:r w:rsidRPr="00D22521">
              <w:rPr>
                <w:b/>
                <w:bCs/>
                <w:szCs w:val="24"/>
                <w:lang w:eastAsia="ar-SA"/>
              </w:rPr>
              <w:t>Nr</w:t>
            </w:r>
            <w:proofErr w:type="spellEnd"/>
          </w:p>
        </w:tc>
        <w:tc>
          <w:tcPr>
            <w:tcW w:w="7973" w:type="dxa"/>
          </w:tcPr>
          <w:p w14:paraId="58D085CA" w14:textId="77777777" w:rsidR="0057558B" w:rsidRPr="00D22521" w:rsidRDefault="0057558B" w:rsidP="00687374">
            <w:pPr>
              <w:jc w:val="center"/>
              <w:rPr>
                <w:b/>
                <w:bCs/>
                <w:szCs w:val="24"/>
                <w:lang w:eastAsia="ar-SA"/>
              </w:rPr>
            </w:pPr>
            <w:r w:rsidRPr="00D22521">
              <w:rPr>
                <w:b/>
                <w:bCs/>
                <w:szCs w:val="24"/>
                <w:lang w:eastAsia="ar-SA"/>
              </w:rPr>
              <w:t>Funkcionalumas</w:t>
            </w:r>
          </w:p>
        </w:tc>
      </w:tr>
      <w:tr w:rsidR="0057558B" w:rsidRPr="00D22521" w14:paraId="3EAE904A" w14:textId="77777777" w:rsidTr="00687374">
        <w:tc>
          <w:tcPr>
            <w:tcW w:w="816" w:type="dxa"/>
          </w:tcPr>
          <w:p w14:paraId="4AC9FACA" w14:textId="77777777" w:rsidR="0057558B" w:rsidRPr="00D22521" w:rsidRDefault="0057558B" w:rsidP="00687374">
            <w:pPr>
              <w:rPr>
                <w:szCs w:val="24"/>
                <w:lang w:eastAsia="ar-SA"/>
              </w:rPr>
            </w:pPr>
            <w:r w:rsidRPr="00D22521">
              <w:rPr>
                <w:szCs w:val="24"/>
                <w:lang w:eastAsia="ar-SA"/>
              </w:rPr>
              <w:t>1.2.1</w:t>
            </w:r>
          </w:p>
        </w:tc>
        <w:tc>
          <w:tcPr>
            <w:tcW w:w="7973" w:type="dxa"/>
          </w:tcPr>
          <w:p w14:paraId="41A6FFC2" w14:textId="77777777" w:rsidR="0057558B" w:rsidRPr="00D22521" w:rsidRDefault="0057558B" w:rsidP="00687374">
            <w:pPr>
              <w:jc w:val="both"/>
              <w:rPr>
                <w:szCs w:val="24"/>
                <w:lang w:eastAsia="ar-SA"/>
              </w:rPr>
            </w:pPr>
            <w:r w:rsidRPr="00D22521">
              <w:rPr>
                <w:szCs w:val="24"/>
                <w:lang w:eastAsia="ar-SA"/>
              </w:rPr>
              <w:t>Ugniasienės (</w:t>
            </w:r>
            <w:proofErr w:type="spellStart"/>
            <w:r w:rsidRPr="00D22521">
              <w:rPr>
                <w:szCs w:val="24"/>
                <w:lang w:eastAsia="ar-SA"/>
              </w:rPr>
              <w:t>Firewall</w:t>
            </w:r>
            <w:proofErr w:type="spellEnd"/>
            <w:r w:rsidRPr="00D22521">
              <w:rPr>
                <w:szCs w:val="24"/>
                <w:lang w:eastAsia="ar-SA"/>
              </w:rPr>
              <w:t xml:space="preserve"> </w:t>
            </w:r>
            <w:proofErr w:type="spellStart"/>
            <w:r w:rsidRPr="00D22521">
              <w:rPr>
                <w:szCs w:val="24"/>
                <w:lang w:eastAsia="ar-SA"/>
              </w:rPr>
              <w:t>blade</w:t>
            </w:r>
            <w:proofErr w:type="spellEnd"/>
            <w:r w:rsidRPr="00D22521">
              <w:rPr>
                <w:szCs w:val="24"/>
                <w:lang w:eastAsia="ar-SA"/>
              </w:rPr>
              <w:t>)</w:t>
            </w:r>
          </w:p>
        </w:tc>
      </w:tr>
      <w:tr w:rsidR="0057558B" w:rsidRPr="00D22521" w14:paraId="063062D2" w14:textId="77777777" w:rsidTr="00687374">
        <w:tc>
          <w:tcPr>
            <w:tcW w:w="816" w:type="dxa"/>
          </w:tcPr>
          <w:p w14:paraId="49E2466B" w14:textId="77777777" w:rsidR="0057558B" w:rsidRPr="00D22521" w:rsidRDefault="0057558B" w:rsidP="00687374">
            <w:pPr>
              <w:jc w:val="both"/>
              <w:rPr>
                <w:szCs w:val="24"/>
                <w:lang w:eastAsia="ar-SA"/>
              </w:rPr>
            </w:pPr>
            <w:r w:rsidRPr="00D22521">
              <w:rPr>
                <w:szCs w:val="24"/>
                <w:lang w:eastAsia="ar-SA"/>
              </w:rPr>
              <w:t>1.2.2</w:t>
            </w:r>
          </w:p>
        </w:tc>
        <w:tc>
          <w:tcPr>
            <w:tcW w:w="7973" w:type="dxa"/>
          </w:tcPr>
          <w:p w14:paraId="08B4410E" w14:textId="77777777" w:rsidR="0057558B" w:rsidRPr="00D22521" w:rsidRDefault="0057558B" w:rsidP="00687374">
            <w:pPr>
              <w:jc w:val="both"/>
              <w:rPr>
                <w:szCs w:val="24"/>
                <w:lang w:eastAsia="ar-SA"/>
              </w:rPr>
            </w:pPr>
            <w:r w:rsidRPr="00D22521">
              <w:rPr>
                <w:szCs w:val="24"/>
              </w:rPr>
              <w:t>Vartotojų atpažinimo (</w:t>
            </w:r>
            <w:proofErr w:type="spellStart"/>
            <w:r w:rsidRPr="00D22521">
              <w:rPr>
                <w:i/>
                <w:szCs w:val="24"/>
              </w:rPr>
              <w:t>identity</w:t>
            </w:r>
            <w:proofErr w:type="spellEnd"/>
            <w:r w:rsidRPr="00D22521">
              <w:rPr>
                <w:i/>
                <w:szCs w:val="24"/>
              </w:rPr>
              <w:t xml:space="preserve"> </w:t>
            </w:r>
            <w:proofErr w:type="spellStart"/>
            <w:r w:rsidRPr="00D22521">
              <w:rPr>
                <w:i/>
                <w:szCs w:val="24"/>
              </w:rPr>
              <w:t>awareness</w:t>
            </w:r>
            <w:proofErr w:type="spellEnd"/>
            <w:r w:rsidRPr="00D22521">
              <w:rPr>
                <w:szCs w:val="24"/>
              </w:rPr>
              <w:t>)</w:t>
            </w:r>
          </w:p>
        </w:tc>
      </w:tr>
      <w:tr w:rsidR="0057558B" w:rsidRPr="00D22521" w14:paraId="60739929" w14:textId="77777777" w:rsidTr="00687374">
        <w:tc>
          <w:tcPr>
            <w:tcW w:w="816" w:type="dxa"/>
          </w:tcPr>
          <w:p w14:paraId="094BD6A1" w14:textId="77777777" w:rsidR="0057558B" w:rsidRPr="00D22521" w:rsidRDefault="0057558B" w:rsidP="00687374">
            <w:pPr>
              <w:jc w:val="both"/>
              <w:rPr>
                <w:szCs w:val="24"/>
                <w:lang w:eastAsia="ar-SA"/>
              </w:rPr>
            </w:pPr>
            <w:r w:rsidRPr="00D22521">
              <w:rPr>
                <w:szCs w:val="24"/>
                <w:lang w:eastAsia="ar-SA"/>
              </w:rPr>
              <w:t>1.2.3</w:t>
            </w:r>
          </w:p>
        </w:tc>
        <w:tc>
          <w:tcPr>
            <w:tcW w:w="7973" w:type="dxa"/>
          </w:tcPr>
          <w:p w14:paraId="3D7584C7" w14:textId="77777777" w:rsidR="0057558B" w:rsidRPr="00D22521" w:rsidRDefault="0057558B" w:rsidP="00687374">
            <w:pPr>
              <w:jc w:val="both"/>
              <w:rPr>
                <w:szCs w:val="24"/>
                <w:lang w:eastAsia="ar-SA"/>
              </w:rPr>
            </w:pPr>
            <w:proofErr w:type="spellStart"/>
            <w:r w:rsidRPr="00D22521">
              <w:rPr>
                <w:szCs w:val="24"/>
              </w:rPr>
              <w:t>IPSec</w:t>
            </w:r>
            <w:proofErr w:type="spellEnd"/>
            <w:r w:rsidRPr="00D22521">
              <w:rPr>
                <w:szCs w:val="24"/>
              </w:rPr>
              <w:t xml:space="preserve"> VPN, pažangaus tinklo ir aukšto patikimumo (</w:t>
            </w:r>
            <w:proofErr w:type="spellStart"/>
            <w:r w:rsidRPr="00D22521">
              <w:rPr>
                <w:i/>
                <w:szCs w:val="24"/>
              </w:rPr>
              <w:t>advanced</w:t>
            </w:r>
            <w:proofErr w:type="spellEnd"/>
            <w:r w:rsidRPr="00D22521">
              <w:rPr>
                <w:i/>
                <w:szCs w:val="24"/>
              </w:rPr>
              <w:t xml:space="preserve"> </w:t>
            </w:r>
            <w:proofErr w:type="spellStart"/>
            <w:r w:rsidRPr="00D22521">
              <w:rPr>
                <w:i/>
                <w:szCs w:val="24"/>
              </w:rPr>
              <w:t>networking</w:t>
            </w:r>
            <w:proofErr w:type="spellEnd"/>
            <w:r w:rsidRPr="00D22521">
              <w:rPr>
                <w:i/>
                <w:szCs w:val="24"/>
              </w:rPr>
              <w:t xml:space="preserve"> </w:t>
            </w:r>
            <w:proofErr w:type="spellStart"/>
            <w:r w:rsidRPr="00D22521">
              <w:rPr>
                <w:i/>
                <w:szCs w:val="24"/>
              </w:rPr>
              <w:t>and</w:t>
            </w:r>
            <w:proofErr w:type="spellEnd"/>
            <w:r w:rsidRPr="00D22521">
              <w:rPr>
                <w:i/>
                <w:szCs w:val="24"/>
              </w:rPr>
              <w:t xml:space="preserve"> </w:t>
            </w:r>
            <w:proofErr w:type="spellStart"/>
            <w:r w:rsidRPr="00D22521">
              <w:rPr>
                <w:i/>
                <w:szCs w:val="24"/>
              </w:rPr>
              <w:t>clustering</w:t>
            </w:r>
            <w:proofErr w:type="spellEnd"/>
            <w:r w:rsidRPr="00D22521">
              <w:rPr>
                <w:szCs w:val="24"/>
              </w:rPr>
              <w:t>)</w:t>
            </w:r>
          </w:p>
        </w:tc>
      </w:tr>
      <w:tr w:rsidR="0057558B" w:rsidRPr="00D22521" w14:paraId="6ED6C968" w14:textId="77777777" w:rsidTr="00687374">
        <w:tc>
          <w:tcPr>
            <w:tcW w:w="816" w:type="dxa"/>
          </w:tcPr>
          <w:p w14:paraId="4DC7B60D" w14:textId="77777777" w:rsidR="0057558B" w:rsidRPr="00D22521" w:rsidRDefault="0057558B" w:rsidP="00687374">
            <w:pPr>
              <w:jc w:val="both"/>
              <w:rPr>
                <w:szCs w:val="24"/>
                <w:lang w:eastAsia="ar-SA"/>
              </w:rPr>
            </w:pPr>
            <w:r w:rsidRPr="00D22521">
              <w:rPr>
                <w:szCs w:val="24"/>
                <w:lang w:eastAsia="ar-SA"/>
              </w:rPr>
              <w:t>1.2.4</w:t>
            </w:r>
          </w:p>
        </w:tc>
        <w:tc>
          <w:tcPr>
            <w:tcW w:w="7973" w:type="dxa"/>
          </w:tcPr>
          <w:p w14:paraId="019FE9BE" w14:textId="58D842FB" w:rsidR="0057558B" w:rsidRPr="00D22521" w:rsidRDefault="00B76003" w:rsidP="00687374">
            <w:pPr>
              <w:jc w:val="both"/>
              <w:rPr>
                <w:szCs w:val="24"/>
                <w:lang w:eastAsia="ar-SA"/>
              </w:rPr>
            </w:pPr>
            <w:r>
              <w:rPr>
                <w:szCs w:val="24"/>
              </w:rPr>
              <w:t>Į</w:t>
            </w:r>
            <w:r w:rsidR="0057558B" w:rsidRPr="00D22521">
              <w:rPr>
                <w:szCs w:val="24"/>
              </w:rPr>
              <w:t>silaužimo prevencijos (</w:t>
            </w:r>
            <w:r w:rsidR="0057558B" w:rsidRPr="00D22521">
              <w:rPr>
                <w:i/>
                <w:szCs w:val="24"/>
              </w:rPr>
              <w:t>IPS</w:t>
            </w:r>
            <w:r w:rsidR="0057558B" w:rsidRPr="00D22521">
              <w:rPr>
                <w:szCs w:val="24"/>
              </w:rPr>
              <w:t>)</w:t>
            </w:r>
          </w:p>
        </w:tc>
      </w:tr>
      <w:tr w:rsidR="0057558B" w:rsidRPr="00D22521" w14:paraId="1E14294A" w14:textId="77777777" w:rsidTr="00687374">
        <w:tc>
          <w:tcPr>
            <w:tcW w:w="816" w:type="dxa"/>
          </w:tcPr>
          <w:p w14:paraId="40F97B24" w14:textId="77777777" w:rsidR="0057558B" w:rsidRPr="00D22521" w:rsidRDefault="0057558B" w:rsidP="00687374">
            <w:pPr>
              <w:jc w:val="both"/>
              <w:rPr>
                <w:szCs w:val="24"/>
                <w:lang w:eastAsia="ar-SA"/>
              </w:rPr>
            </w:pPr>
            <w:r w:rsidRPr="00D22521">
              <w:rPr>
                <w:szCs w:val="24"/>
                <w:lang w:eastAsia="ar-SA"/>
              </w:rPr>
              <w:t>1.2.5</w:t>
            </w:r>
          </w:p>
        </w:tc>
        <w:tc>
          <w:tcPr>
            <w:tcW w:w="7973" w:type="dxa"/>
          </w:tcPr>
          <w:p w14:paraId="3DF5E9B9" w14:textId="26E29331" w:rsidR="0057558B" w:rsidRPr="00D22521" w:rsidRDefault="00B76003" w:rsidP="00687374">
            <w:pPr>
              <w:jc w:val="both"/>
              <w:rPr>
                <w:szCs w:val="24"/>
                <w:lang w:eastAsia="ar-SA"/>
              </w:rPr>
            </w:pPr>
            <w:r>
              <w:rPr>
                <w:szCs w:val="24"/>
              </w:rPr>
              <w:t>A</w:t>
            </w:r>
            <w:r w:rsidR="0057558B" w:rsidRPr="00D22521">
              <w:rPr>
                <w:szCs w:val="24"/>
              </w:rPr>
              <w:t>plikacijų kontrolės (</w:t>
            </w:r>
            <w:proofErr w:type="spellStart"/>
            <w:r w:rsidR="0057558B" w:rsidRPr="00D22521">
              <w:rPr>
                <w:i/>
                <w:szCs w:val="24"/>
              </w:rPr>
              <w:t>application</w:t>
            </w:r>
            <w:proofErr w:type="spellEnd"/>
            <w:r w:rsidR="0057558B" w:rsidRPr="00D22521">
              <w:rPr>
                <w:i/>
                <w:szCs w:val="24"/>
              </w:rPr>
              <w:t xml:space="preserve"> </w:t>
            </w:r>
            <w:proofErr w:type="spellStart"/>
            <w:r w:rsidR="0057558B" w:rsidRPr="00D22521">
              <w:rPr>
                <w:i/>
                <w:szCs w:val="24"/>
              </w:rPr>
              <w:t>control</w:t>
            </w:r>
            <w:proofErr w:type="spellEnd"/>
            <w:r w:rsidR="0057558B" w:rsidRPr="00D22521">
              <w:rPr>
                <w:szCs w:val="24"/>
              </w:rPr>
              <w:t>)</w:t>
            </w:r>
          </w:p>
        </w:tc>
      </w:tr>
      <w:tr w:rsidR="0057558B" w:rsidRPr="00D22521" w14:paraId="7085FBE3" w14:textId="77777777" w:rsidTr="00687374">
        <w:tc>
          <w:tcPr>
            <w:tcW w:w="816" w:type="dxa"/>
          </w:tcPr>
          <w:p w14:paraId="0680AF83" w14:textId="77777777" w:rsidR="0057558B" w:rsidRPr="00D22521" w:rsidRDefault="0057558B" w:rsidP="00687374">
            <w:pPr>
              <w:jc w:val="both"/>
              <w:rPr>
                <w:szCs w:val="24"/>
                <w:lang w:eastAsia="ar-SA"/>
              </w:rPr>
            </w:pPr>
            <w:r w:rsidRPr="00D22521">
              <w:rPr>
                <w:szCs w:val="24"/>
                <w:lang w:eastAsia="ar-SA"/>
              </w:rPr>
              <w:t>1.2.6</w:t>
            </w:r>
          </w:p>
        </w:tc>
        <w:tc>
          <w:tcPr>
            <w:tcW w:w="7973" w:type="dxa"/>
          </w:tcPr>
          <w:p w14:paraId="11D9EDD7" w14:textId="6AB22E52" w:rsidR="0057558B" w:rsidRPr="00D22521" w:rsidRDefault="00B76003" w:rsidP="00687374">
            <w:pPr>
              <w:jc w:val="both"/>
              <w:rPr>
                <w:szCs w:val="24"/>
                <w:lang w:eastAsia="ar-SA"/>
              </w:rPr>
            </w:pPr>
            <w:r>
              <w:rPr>
                <w:szCs w:val="24"/>
              </w:rPr>
              <w:t>T</w:t>
            </w:r>
            <w:r w:rsidR="0057558B" w:rsidRPr="00D22521">
              <w:rPr>
                <w:szCs w:val="24"/>
              </w:rPr>
              <w:t>urinio atpažinimo (</w:t>
            </w:r>
            <w:proofErr w:type="spellStart"/>
            <w:r w:rsidR="0057558B" w:rsidRPr="00D22521">
              <w:rPr>
                <w:i/>
                <w:szCs w:val="24"/>
              </w:rPr>
              <w:t>content</w:t>
            </w:r>
            <w:proofErr w:type="spellEnd"/>
            <w:r w:rsidR="0057558B" w:rsidRPr="00D22521">
              <w:rPr>
                <w:i/>
                <w:szCs w:val="24"/>
              </w:rPr>
              <w:t xml:space="preserve"> </w:t>
            </w:r>
            <w:proofErr w:type="spellStart"/>
            <w:r w:rsidR="0057558B" w:rsidRPr="00D22521">
              <w:rPr>
                <w:i/>
                <w:szCs w:val="24"/>
              </w:rPr>
              <w:t>awareness</w:t>
            </w:r>
            <w:proofErr w:type="spellEnd"/>
            <w:r w:rsidR="0057558B" w:rsidRPr="00D22521">
              <w:rPr>
                <w:szCs w:val="24"/>
              </w:rPr>
              <w:t>)</w:t>
            </w:r>
          </w:p>
        </w:tc>
      </w:tr>
      <w:tr w:rsidR="0057558B" w:rsidRPr="00D22521" w14:paraId="00A022BC" w14:textId="77777777" w:rsidTr="00687374">
        <w:tc>
          <w:tcPr>
            <w:tcW w:w="816" w:type="dxa"/>
          </w:tcPr>
          <w:p w14:paraId="5F1D28CD" w14:textId="77777777" w:rsidR="0057558B" w:rsidRPr="00D22521" w:rsidRDefault="0057558B" w:rsidP="00687374">
            <w:pPr>
              <w:jc w:val="both"/>
              <w:rPr>
                <w:szCs w:val="24"/>
                <w:lang w:eastAsia="ar-SA"/>
              </w:rPr>
            </w:pPr>
            <w:r w:rsidRPr="00D22521">
              <w:rPr>
                <w:szCs w:val="24"/>
                <w:lang w:eastAsia="ar-SA"/>
              </w:rPr>
              <w:t>1.2.7</w:t>
            </w:r>
          </w:p>
        </w:tc>
        <w:tc>
          <w:tcPr>
            <w:tcW w:w="7973" w:type="dxa"/>
          </w:tcPr>
          <w:p w14:paraId="7CB32BB1" w14:textId="77777777" w:rsidR="0057558B" w:rsidRPr="00D22521" w:rsidRDefault="0057558B" w:rsidP="00687374">
            <w:pPr>
              <w:jc w:val="both"/>
              <w:rPr>
                <w:szCs w:val="24"/>
                <w:lang w:eastAsia="ar-SA"/>
              </w:rPr>
            </w:pPr>
            <w:r w:rsidRPr="00D22521">
              <w:rPr>
                <w:szCs w:val="24"/>
              </w:rPr>
              <w:t>URL filtravimo (</w:t>
            </w:r>
            <w:r w:rsidRPr="00D22521">
              <w:rPr>
                <w:i/>
                <w:szCs w:val="24"/>
              </w:rPr>
              <w:t xml:space="preserve">URL </w:t>
            </w:r>
            <w:proofErr w:type="spellStart"/>
            <w:r w:rsidRPr="00D22521">
              <w:rPr>
                <w:i/>
                <w:szCs w:val="24"/>
              </w:rPr>
              <w:t>filtering</w:t>
            </w:r>
            <w:proofErr w:type="spellEnd"/>
            <w:r w:rsidRPr="00D22521">
              <w:rPr>
                <w:szCs w:val="24"/>
              </w:rPr>
              <w:t>)</w:t>
            </w:r>
          </w:p>
        </w:tc>
      </w:tr>
      <w:tr w:rsidR="0057558B" w:rsidRPr="00D22521" w14:paraId="4E7306E6" w14:textId="77777777" w:rsidTr="00687374">
        <w:tc>
          <w:tcPr>
            <w:tcW w:w="816" w:type="dxa"/>
          </w:tcPr>
          <w:p w14:paraId="1A613C79" w14:textId="77777777" w:rsidR="0057558B" w:rsidRPr="00D22521" w:rsidRDefault="0057558B" w:rsidP="00687374">
            <w:pPr>
              <w:jc w:val="both"/>
              <w:rPr>
                <w:szCs w:val="24"/>
                <w:lang w:eastAsia="ar-SA"/>
              </w:rPr>
            </w:pPr>
            <w:r w:rsidRPr="00D22521">
              <w:rPr>
                <w:szCs w:val="24"/>
                <w:lang w:eastAsia="ar-SA"/>
              </w:rPr>
              <w:t>1.2.8</w:t>
            </w:r>
          </w:p>
        </w:tc>
        <w:tc>
          <w:tcPr>
            <w:tcW w:w="7973" w:type="dxa"/>
          </w:tcPr>
          <w:p w14:paraId="1F59ADF3" w14:textId="534BFC0A" w:rsidR="0057558B" w:rsidRPr="00D22521" w:rsidRDefault="00B76003" w:rsidP="00687374">
            <w:pPr>
              <w:jc w:val="both"/>
              <w:rPr>
                <w:szCs w:val="24"/>
                <w:lang w:eastAsia="ar-SA"/>
              </w:rPr>
            </w:pPr>
            <w:r>
              <w:rPr>
                <w:szCs w:val="24"/>
              </w:rPr>
              <w:t>A</w:t>
            </w:r>
            <w:r w:rsidR="0057558B" w:rsidRPr="00D22521">
              <w:rPr>
                <w:szCs w:val="24"/>
              </w:rPr>
              <w:t>ntivirusinės kontrolės (</w:t>
            </w:r>
            <w:proofErr w:type="spellStart"/>
            <w:r w:rsidR="0057558B" w:rsidRPr="00D22521">
              <w:rPr>
                <w:i/>
                <w:szCs w:val="24"/>
              </w:rPr>
              <w:t>antivirus</w:t>
            </w:r>
            <w:proofErr w:type="spellEnd"/>
            <w:r w:rsidR="0057558B" w:rsidRPr="00D22521">
              <w:rPr>
                <w:szCs w:val="24"/>
              </w:rPr>
              <w:t>)</w:t>
            </w:r>
          </w:p>
        </w:tc>
      </w:tr>
      <w:tr w:rsidR="0057558B" w:rsidRPr="00D22521" w14:paraId="2301E922" w14:textId="77777777" w:rsidTr="00687374">
        <w:tc>
          <w:tcPr>
            <w:tcW w:w="816" w:type="dxa"/>
          </w:tcPr>
          <w:p w14:paraId="2DDC8FEB" w14:textId="77777777" w:rsidR="0057558B" w:rsidRPr="00D22521" w:rsidRDefault="0057558B" w:rsidP="00687374">
            <w:pPr>
              <w:jc w:val="both"/>
              <w:rPr>
                <w:szCs w:val="24"/>
                <w:lang w:eastAsia="ar-SA"/>
              </w:rPr>
            </w:pPr>
            <w:r w:rsidRPr="00D22521">
              <w:rPr>
                <w:szCs w:val="24"/>
                <w:lang w:eastAsia="ar-SA"/>
              </w:rPr>
              <w:t>1.2.9</w:t>
            </w:r>
          </w:p>
        </w:tc>
        <w:tc>
          <w:tcPr>
            <w:tcW w:w="7973" w:type="dxa"/>
          </w:tcPr>
          <w:p w14:paraId="0189EAD0" w14:textId="12D03530" w:rsidR="0057558B" w:rsidRPr="00D22521" w:rsidRDefault="00B76003" w:rsidP="00687374">
            <w:pPr>
              <w:jc w:val="both"/>
              <w:rPr>
                <w:szCs w:val="24"/>
                <w:lang w:eastAsia="ar-SA"/>
              </w:rPr>
            </w:pPr>
            <w:r>
              <w:rPr>
                <w:szCs w:val="24"/>
              </w:rPr>
              <w:t>E</w:t>
            </w:r>
            <w:r w:rsidR="0057558B" w:rsidRPr="00D22521">
              <w:rPr>
                <w:szCs w:val="24"/>
              </w:rPr>
              <w:t>l. pašto apsaugos (</w:t>
            </w:r>
            <w:proofErr w:type="spellStart"/>
            <w:r w:rsidR="0057558B" w:rsidRPr="00D22521">
              <w:rPr>
                <w:i/>
                <w:szCs w:val="24"/>
              </w:rPr>
              <w:t>Anti-Spam</w:t>
            </w:r>
            <w:proofErr w:type="spellEnd"/>
            <w:r w:rsidR="0057558B" w:rsidRPr="00D22521">
              <w:rPr>
                <w:szCs w:val="24"/>
              </w:rPr>
              <w:t>)</w:t>
            </w:r>
          </w:p>
        </w:tc>
      </w:tr>
      <w:tr w:rsidR="0057558B" w:rsidRPr="00D22521" w14:paraId="562F82D7" w14:textId="77777777" w:rsidTr="00687374">
        <w:tc>
          <w:tcPr>
            <w:tcW w:w="816" w:type="dxa"/>
          </w:tcPr>
          <w:p w14:paraId="1B598057" w14:textId="77777777" w:rsidR="0057558B" w:rsidRPr="00D22521" w:rsidRDefault="0057558B" w:rsidP="00687374">
            <w:pPr>
              <w:jc w:val="both"/>
              <w:rPr>
                <w:szCs w:val="24"/>
                <w:lang w:eastAsia="ar-SA"/>
              </w:rPr>
            </w:pPr>
            <w:r w:rsidRPr="00D22521">
              <w:rPr>
                <w:szCs w:val="24"/>
                <w:lang w:eastAsia="ar-SA"/>
              </w:rPr>
              <w:t>1.2.10</w:t>
            </w:r>
          </w:p>
        </w:tc>
        <w:tc>
          <w:tcPr>
            <w:tcW w:w="7973" w:type="dxa"/>
          </w:tcPr>
          <w:p w14:paraId="539D576B" w14:textId="6B5B2502" w:rsidR="0057558B" w:rsidRPr="00D22521" w:rsidRDefault="00B76003" w:rsidP="00687374">
            <w:pPr>
              <w:jc w:val="both"/>
              <w:rPr>
                <w:szCs w:val="24"/>
                <w:lang w:eastAsia="ar-SA"/>
              </w:rPr>
            </w:pPr>
            <w:r>
              <w:rPr>
                <w:szCs w:val="24"/>
              </w:rPr>
              <w:t>A</w:t>
            </w:r>
            <w:r w:rsidR="0057558B" w:rsidRPr="00D22521">
              <w:rPr>
                <w:szCs w:val="24"/>
              </w:rPr>
              <w:t xml:space="preserve">psaugos nuo </w:t>
            </w:r>
            <w:proofErr w:type="spellStart"/>
            <w:r w:rsidR="0057558B" w:rsidRPr="00D22521">
              <w:rPr>
                <w:szCs w:val="24"/>
              </w:rPr>
              <w:t>botnet</w:t>
            </w:r>
            <w:proofErr w:type="spellEnd"/>
            <w:r w:rsidR="0057558B" w:rsidRPr="00D22521">
              <w:rPr>
                <w:szCs w:val="24"/>
              </w:rPr>
              <w:t xml:space="preserve"> tinklų (</w:t>
            </w:r>
            <w:proofErr w:type="spellStart"/>
            <w:r w:rsidR="0057558B" w:rsidRPr="00D22521">
              <w:rPr>
                <w:i/>
                <w:szCs w:val="24"/>
              </w:rPr>
              <w:t>Anti</w:t>
            </w:r>
            <w:proofErr w:type="spellEnd"/>
            <w:r w:rsidR="0057558B" w:rsidRPr="00D22521">
              <w:rPr>
                <w:i/>
                <w:szCs w:val="24"/>
              </w:rPr>
              <w:t>-Bot</w:t>
            </w:r>
            <w:r w:rsidR="0057558B" w:rsidRPr="00D22521">
              <w:rPr>
                <w:szCs w:val="24"/>
              </w:rPr>
              <w:t>)</w:t>
            </w:r>
          </w:p>
        </w:tc>
      </w:tr>
      <w:tr w:rsidR="0057558B" w:rsidRPr="00D22521" w14:paraId="2F1B212D" w14:textId="77777777" w:rsidTr="00687374">
        <w:tc>
          <w:tcPr>
            <w:tcW w:w="816" w:type="dxa"/>
          </w:tcPr>
          <w:p w14:paraId="77BB67E4" w14:textId="77777777" w:rsidR="0057558B" w:rsidRPr="00D22521" w:rsidRDefault="0057558B" w:rsidP="00687374">
            <w:pPr>
              <w:jc w:val="both"/>
              <w:rPr>
                <w:szCs w:val="24"/>
                <w:lang w:eastAsia="ar-SA"/>
              </w:rPr>
            </w:pPr>
            <w:r w:rsidRPr="00D22521">
              <w:rPr>
                <w:szCs w:val="24"/>
                <w:lang w:eastAsia="ar-SA"/>
              </w:rPr>
              <w:t>1.2.11</w:t>
            </w:r>
          </w:p>
        </w:tc>
        <w:tc>
          <w:tcPr>
            <w:tcW w:w="7973" w:type="dxa"/>
          </w:tcPr>
          <w:p w14:paraId="6B8D8458" w14:textId="77777777" w:rsidR="0057558B" w:rsidRPr="00D22521" w:rsidRDefault="0057558B" w:rsidP="00687374">
            <w:pPr>
              <w:jc w:val="both"/>
              <w:rPr>
                <w:szCs w:val="24"/>
              </w:rPr>
            </w:pPr>
            <w:r w:rsidRPr="00D22521">
              <w:rPr>
                <w:szCs w:val="24"/>
              </w:rPr>
              <w:t>DNS apsauga</w:t>
            </w:r>
          </w:p>
        </w:tc>
      </w:tr>
      <w:tr w:rsidR="0057558B" w:rsidRPr="00D22521" w14:paraId="4095323D" w14:textId="77777777" w:rsidTr="00687374">
        <w:tc>
          <w:tcPr>
            <w:tcW w:w="816" w:type="dxa"/>
          </w:tcPr>
          <w:p w14:paraId="3ED482E8" w14:textId="77777777" w:rsidR="0057558B" w:rsidRPr="00D22521" w:rsidRDefault="0057558B" w:rsidP="00687374">
            <w:pPr>
              <w:jc w:val="both"/>
              <w:rPr>
                <w:szCs w:val="24"/>
                <w:lang w:eastAsia="ar-SA"/>
              </w:rPr>
            </w:pPr>
            <w:r w:rsidRPr="00D22521">
              <w:rPr>
                <w:szCs w:val="24"/>
                <w:lang w:eastAsia="ar-SA"/>
              </w:rPr>
              <w:t>1.2.12</w:t>
            </w:r>
          </w:p>
        </w:tc>
        <w:tc>
          <w:tcPr>
            <w:tcW w:w="7973" w:type="dxa"/>
          </w:tcPr>
          <w:p w14:paraId="79AEC3A9" w14:textId="77777777" w:rsidR="0057558B" w:rsidRPr="00D22521" w:rsidRDefault="0057558B" w:rsidP="00687374">
            <w:pPr>
              <w:jc w:val="both"/>
              <w:rPr>
                <w:szCs w:val="24"/>
              </w:rPr>
            </w:pPr>
            <w:r w:rsidRPr="00D22521">
              <w:rPr>
                <w:szCs w:val="24"/>
              </w:rPr>
              <w:t xml:space="preserve">Kenksmingo kodo analizės ir apsaugos </w:t>
            </w:r>
            <w:r w:rsidRPr="00D22521">
              <w:rPr>
                <w:i/>
                <w:iCs/>
                <w:szCs w:val="24"/>
              </w:rPr>
              <w:t>(</w:t>
            </w:r>
            <w:proofErr w:type="spellStart"/>
            <w:r w:rsidRPr="00D22521">
              <w:rPr>
                <w:i/>
                <w:iCs/>
                <w:szCs w:val="24"/>
              </w:rPr>
              <w:t>Sandblast</w:t>
            </w:r>
            <w:proofErr w:type="spellEnd"/>
            <w:r w:rsidRPr="00D22521">
              <w:rPr>
                <w:i/>
                <w:iCs/>
                <w:szCs w:val="24"/>
              </w:rPr>
              <w:t xml:space="preserve"> </w:t>
            </w:r>
            <w:proofErr w:type="spellStart"/>
            <w:r w:rsidRPr="00D22521">
              <w:rPr>
                <w:i/>
                <w:iCs/>
                <w:szCs w:val="24"/>
              </w:rPr>
              <w:t>Threat</w:t>
            </w:r>
            <w:proofErr w:type="spellEnd"/>
            <w:r w:rsidRPr="00D22521">
              <w:rPr>
                <w:i/>
                <w:iCs/>
                <w:szCs w:val="24"/>
              </w:rPr>
              <w:t xml:space="preserve"> </w:t>
            </w:r>
            <w:proofErr w:type="spellStart"/>
            <w:r w:rsidRPr="00D22521">
              <w:rPr>
                <w:i/>
                <w:iCs/>
                <w:szCs w:val="24"/>
              </w:rPr>
              <w:t>Emulation</w:t>
            </w:r>
            <w:proofErr w:type="spellEnd"/>
            <w:r w:rsidRPr="00D22521">
              <w:rPr>
                <w:i/>
                <w:iCs/>
                <w:szCs w:val="24"/>
              </w:rPr>
              <w:t xml:space="preserve"> </w:t>
            </w:r>
            <w:proofErr w:type="spellStart"/>
            <w:r w:rsidRPr="00D22521">
              <w:rPr>
                <w:i/>
                <w:iCs/>
                <w:szCs w:val="24"/>
              </w:rPr>
              <w:t>and</w:t>
            </w:r>
            <w:proofErr w:type="spellEnd"/>
            <w:r w:rsidRPr="00D22521">
              <w:rPr>
                <w:i/>
                <w:iCs/>
                <w:szCs w:val="24"/>
              </w:rPr>
              <w:t xml:space="preserve"> </w:t>
            </w:r>
            <w:proofErr w:type="spellStart"/>
            <w:r w:rsidRPr="00D22521">
              <w:rPr>
                <w:i/>
                <w:iCs/>
                <w:szCs w:val="24"/>
              </w:rPr>
              <w:t>Extraction</w:t>
            </w:r>
            <w:proofErr w:type="spellEnd"/>
            <w:r w:rsidRPr="00D22521">
              <w:rPr>
                <w:i/>
                <w:iCs/>
                <w:szCs w:val="24"/>
              </w:rPr>
              <w:t>)</w:t>
            </w:r>
          </w:p>
        </w:tc>
      </w:tr>
      <w:tr w:rsidR="0057558B" w:rsidRPr="00D22521" w14:paraId="2927F72A" w14:textId="77777777" w:rsidTr="00687374">
        <w:tc>
          <w:tcPr>
            <w:tcW w:w="816" w:type="dxa"/>
          </w:tcPr>
          <w:p w14:paraId="36B53423" w14:textId="77777777" w:rsidR="0057558B" w:rsidRPr="00D22521" w:rsidRDefault="0057558B" w:rsidP="00687374">
            <w:pPr>
              <w:jc w:val="both"/>
              <w:rPr>
                <w:szCs w:val="24"/>
                <w:lang w:eastAsia="ar-SA"/>
              </w:rPr>
            </w:pPr>
            <w:r w:rsidRPr="00D22521">
              <w:rPr>
                <w:szCs w:val="24"/>
                <w:lang w:eastAsia="ar-SA"/>
              </w:rPr>
              <w:t>1.2.13</w:t>
            </w:r>
          </w:p>
        </w:tc>
        <w:tc>
          <w:tcPr>
            <w:tcW w:w="7973" w:type="dxa"/>
          </w:tcPr>
          <w:p w14:paraId="609E04B8" w14:textId="6660243F" w:rsidR="0057558B" w:rsidRPr="00D22521" w:rsidRDefault="0057558B" w:rsidP="00687374">
            <w:pPr>
              <w:jc w:val="both"/>
              <w:rPr>
                <w:szCs w:val="24"/>
              </w:rPr>
            </w:pPr>
            <w:r w:rsidRPr="00D22521">
              <w:rPr>
                <w:szCs w:val="24"/>
              </w:rPr>
              <w:t xml:space="preserve">Nuotolinės prieigos </w:t>
            </w:r>
            <w:r w:rsidR="00FD30F8" w:rsidRPr="00D22521">
              <w:rPr>
                <w:szCs w:val="24"/>
              </w:rPr>
              <w:t>10</w:t>
            </w:r>
            <w:r w:rsidRPr="00D22521">
              <w:rPr>
                <w:szCs w:val="24"/>
              </w:rPr>
              <w:t>0 konkurentinių vartotojų (</w:t>
            </w:r>
            <w:proofErr w:type="spellStart"/>
            <w:r w:rsidRPr="00D22521">
              <w:rPr>
                <w:szCs w:val="24"/>
              </w:rPr>
              <w:t>Mobile</w:t>
            </w:r>
            <w:proofErr w:type="spellEnd"/>
            <w:r w:rsidRPr="00D22521">
              <w:rPr>
                <w:szCs w:val="24"/>
              </w:rPr>
              <w:t xml:space="preserve"> Access </w:t>
            </w:r>
            <w:proofErr w:type="spellStart"/>
            <w:r w:rsidRPr="00D22521">
              <w:rPr>
                <w:szCs w:val="24"/>
              </w:rPr>
              <w:t>Blade</w:t>
            </w:r>
            <w:proofErr w:type="spellEnd"/>
            <w:r w:rsidRPr="00D22521">
              <w:rPr>
                <w:szCs w:val="24"/>
              </w:rPr>
              <w:t xml:space="preserve"> </w:t>
            </w:r>
            <w:proofErr w:type="spellStart"/>
            <w:r w:rsidRPr="00D22521">
              <w:rPr>
                <w:szCs w:val="24"/>
              </w:rPr>
              <w:t>for</w:t>
            </w:r>
            <w:proofErr w:type="spellEnd"/>
            <w:r w:rsidRPr="00D22521">
              <w:rPr>
                <w:szCs w:val="24"/>
              </w:rPr>
              <w:t xml:space="preserve"> </w:t>
            </w:r>
            <w:r w:rsidR="00FD30F8" w:rsidRPr="00D22521">
              <w:rPr>
                <w:szCs w:val="24"/>
              </w:rPr>
              <w:t>10</w:t>
            </w:r>
            <w:r w:rsidRPr="00D22521">
              <w:rPr>
                <w:szCs w:val="24"/>
              </w:rPr>
              <w:t xml:space="preserve">0 </w:t>
            </w:r>
            <w:proofErr w:type="spellStart"/>
            <w:r w:rsidRPr="00D22521">
              <w:rPr>
                <w:szCs w:val="24"/>
              </w:rPr>
              <w:t>concurrent</w:t>
            </w:r>
            <w:proofErr w:type="spellEnd"/>
            <w:r w:rsidRPr="00D22521">
              <w:rPr>
                <w:szCs w:val="24"/>
              </w:rPr>
              <w:t xml:space="preserve"> </w:t>
            </w:r>
            <w:proofErr w:type="spellStart"/>
            <w:r w:rsidRPr="00D22521">
              <w:rPr>
                <w:szCs w:val="24"/>
              </w:rPr>
              <w:t>connections</w:t>
            </w:r>
            <w:proofErr w:type="spellEnd"/>
            <w:r w:rsidRPr="00D22521">
              <w:rPr>
                <w:szCs w:val="24"/>
              </w:rPr>
              <w:t>)</w:t>
            </w:r>
          </w:p>
        </w:tc>
      </w:tr>
    </w:tbl>
    <w:p w14:paraId="7D41C472" w14:textId="77777777" w:rsidR="0057558B" w:rsidRPr="00D22521" w:rsidRDefault="0057558B" w:rsidP="0057558B">
      <w:pPr>
        <w:pStyle w:val="Sraopastraipa"/>
        <w:ind w:left="0"/>
        <w:jc w:val="both"/>
        <w:rPr>
          <w:szCs w:val="24"/>
          <w:lang w:eastAsia="ar-SA"/>
        </w:rPr>
      </w:pPr>
    </w:p>
    <w:p w14:paraId="5F1A4079" w14:textId="77777777" w:rsidR="0057558B" w:rsidRPr="00D22521" w:rsidRDefault="0057558B" w:rsidP="0057558B">
      <w:pPr>
        <w:numPr>
          <w:ilvl w:val="0"/>
          <w:numId w:val="1"/>
        </w:numPr>
        <w:ind w:left="567"/>
        <w:jc w:val="both"/>
        <w:rPr>
          <w:szCs w:val="24"/>
          <w:lang w:eastAsia="ar-SA"/>
        </w:rPr>
      </w:pPr>
      <w:r w:rsidRPr="00D22521">
        <w:rPr>
          <w:szCs w:val="24"/>
          <w:lang w:eastAsia="ar-SA"/>
        </w:rPr>
        <w:t xml:space="preserve"> </w:t>
      </w:r>
      <w:r w:rsidRPr="00D22521">
        <w:rPr>
          <w:rFonts w:eastAsia="TimesNewRomanPSMT"/>
          <w:szCs w:val="24"/>
        </w:rPr>
        <w:t xml:space="preserve">Perkančioji organizacija siekia įsigyti </w:t>
      </w:r>
      <w:proofErr w:type="spellStart"/>
      <w:r w:rsidRPr="00D22521">
        <w:rPr>
          <w:szCs w:val="24"/>
        </w:rPr>
        <w:t>Check</w:t>
      </w:r>
      <w:proofErr w:type="spellEnd"/>
      <w:r w:rsidRPr="00D22521">
        <w:rPr>
          <w:szCs w:val="24"/>
        </w:rPr>
        <w:t xml:space="preserve"> </w:t>
      </w:r>
      <w:proofErr w:type="spellStart"/>
      <w:r w:rsidRPr="00D22521">
        <w:rPr>
          <w:szCs w:val="24"/>
        </w:rPr>
        <w:t>Point</w:t>
      </w:r>
      <w:proofErr w:type="spellEnd"/>
      <w:r w:rsidRPr="00D22521">
        <w:rPr>
          <w:szCs w:val="24"/>
        </w:rPr>
        <w:t xml:space="preserve"> Smart-1 valdymo serverio licencijas su 36 mėn. naujumo garantija ir techniniu palaikymu</w:t>
      </w:r>
      <w:r w:rsidRPr="00D22521">
        <w:rPr>
          <w:color w:val="1F497D"/>
          <w:szCs w:val="24"/>
        </w:rPr>
        <w:t xml:space="preserve"> </w:t>
      </w:r>
      <w:r w:rsidRPr="00D22521">
        <w:rPr>
          <w:szCs w:val="24"/>
        </w:rPr>
        <w:t xml:space="preserve"> </w:t>
      </w:r>
      <w:r w:rsidRPr="00D22521">
        <w:rPr>
          <w:rFonts w:eastAsia="TimesNewRomanPSMT"/>
          <w:szCs w:val="24"/>
        </w:rPr>
        <w:t>(toliau – Prekės)</w:t>
      </w:r>
      <w:r w:rsidRPr="00D22521">
        <w:rPr>
          <w:szCs w:val="24"/>
        </w:rPr>
        <w:t xml:space="preserve">. Licencijos turi būti suderinamos su organizacijos naudojamomis </w:t>
      </w:r>
      <w:proofErr w:type="spellStart"/>
      <w:r w:rsidRPr="00D22521">
        <w:rPr>
          <w:szCs w:val="24"/>
        </w:rPr>
        <w:t>Check</w:t>
      </w:r>
      <w:proofErr w:type="spellEnd"/>
      <w:r w:rsidRPr="00D22521">
        <w:rPr>
          <w:szCs w:val="24"/>
        </w:rPr>
        <w:t xml:space="preserve"> </w:t>
      </w:r>
      <w:proofErr w:type="spellStart"/>
      <w:r w:rsidRPr="00D22521">
        <w:rPr>
          <w:szCs w:val="24"/>
        </w:rPr>
        <w:t>Point</w:t>
      </w:r>
      <w:proofErr w:type="spellEnd"/>
      <w:r w:rsidRPr="00D22521">
        <w:rPr>
          <w:szCs w:val="24"/>
        </w:rPr>
        <w:t xml:space="preserve"> </w:t>
      </w:r>
      <w:proofErr w:type="spellStart"/>
      <w:r w:rsidRPr="00D22521">
        <w:rPr>
          <w:szCs w:val="24"/>
        </w:rPr>
        <w:t>Software</w:t>
      </w:r>
      <w:proofErr w:type="spellEnd"/>
      <w:r w:rsidRPr="00D22521">
        <w:rPr>
          <w:szCs w:val="24"/>
        </w:rPr>
        <w:t xml:space="preserve"> Technologies Smart-1 NGSM600S valdymo serverio.</w:t>
      </w:r>
    </w:p>
    <w:p w14:paraId="5F286923" w14:textId="77777777" w:rsidR="0057558B" w:rsidRPr="00D22521" w:rsidRDefault="0057558B" w:rsidP="0057558B">
      <w:pPr>
        <w:pStyle w:val="Sraopastraipa"/>
        <w:numPr>
          <w:ilvl w:val="1"/>
          <w:numId w:val="3"/>
        </w:numPr>
        <w:ind w:left="567" w:firstLine="0"/>
        <w:jc w:val="both"/>
        <w:rPr>
          <w:szCs w:val="24"/>
          <w:lang w:eastAsia="ar-SA"/>
        </w:rPr>
      </w:pPr>
      <w:r w:rsidRPr="00D22521">
        <w:rPr>
          <w:bCs/>
          <w:szCs w:val="24"/>
          <w:lang w:eastAsia="ar-SA"/>
        </w:rPr>
        <w:t>Licencijos, paslaugų atnaujinimai ir gamintojo techninis palaikymas turi būti taikomas:</w:t>
      </w:r>
    </w:p>
    <w:tbl>
      <w:tblPr>
        <w:tblStyle w:val="Lentelstinklelis"/>
        <w:tblW w:w="8784" w:type="dxa"/>
        <w:tblInd w:w="567" w:type="dxa"/>
        <w:tblLook w:val="04A0" w:firstRow="1" w:lastRow="0" w:firstColumn="1" w:lastColumn="0" w:noHBand="0" w:noVBand="1"/>
      </w:tblPr>
      <w:tblGrid>
        <w:gridCol w:w="700"/>
        <w:gridCol w:w="2924"/>
        <w:gridCol w:w="1963"/>
        <w:gridCol w:w="3197"/>
      </w:tblGrid>
      <w:tr w:rsidR="0057558B" w:rsidRPr="00D22521" w14:paraId="54688A61" w14:textId="77777777" w:rsidTr="00687374">
        <w:tc>
          <w:tcPr>
            <w:tcW w:w="700" w:type="dxa"/>
          </w:tcPr>
          <w:p w14:paraId="05CEA7E1" w14:textId="77777777" w:rsidR="0057558B" w:rsidRPr="00D22521" w:rsidRDefault="0057558B" w:rsidP="00687374">
            <w:pPr>
              <w:jc w:val="center"/>
              <w:rPr>
                <w:b/>
                <w:bCs/>
                <w:szCs w:val="24"/>
                <w:lang w:eastAsia="ar-SA"/>
              </w:rPr>
            </w:pPr>
            <w:r w:rsidRPr="00D22521">
              <w:rPr>
                <w:b/>
                <w:bCs/>
                <w:szCs w:val="24"/>
                <w:lang w:eastAsia="ar-SA"/>
              </w:rPr>
              <w:t>Eil. Nr.</w:t>
            </w:r>
          </w:p>
        </w:tc>
        <w:tc>
          <w:tcPr>
            <w:tcW w:w="2924" w:type="dxa"/>
          </w:tcPr>
          <w:p w14:paraId="640B190F" w14:textId="77777777" w:rsidR="0057558B" w:rsidRPr="00D22521" w:rsidRDefault="0057558B" w:rsidP="00687374">
            <w:pPr>
              <w:jc w:val="center"/>
              <w:rPr>
                <w:b/>
                <w:bCs/>
                <w:szCs w:val="24"/>
                <w:lang w:eastAsia="ar-SA"/>
              </w:rPr>
            </w:pPr>
            <w:r w:rsidRPr="00D22521">
              <w:rPr>
                <w:b/>
                <w:bCs/>
                <w:szCs w:val="24"/>
                <w:lang w:eastAsia="ar-SA"/>
              </w:rPr>
              <w:t>Įranga</w:t>
            </w:r>
          </w:p>
        </w:tc>
        <w:tc>
          <w:tcPr>
            <w:tcW w:w="1963" w:type="dxa"/>
          </w:tcPr>
          <w:p w14:paraId="18CD48BE" w14:textId="77777777" w:rsidR="0057558B" w:rsidRPr="00D22521" w:rsidRDefault="0057558B" w:rsidP="00687374">
            <w:pPr>
              <w:jc w:val="center"/>
              <w:rPr>
                <w:b/>
                <w:bCs/>
                <w:szCs w:val="24"/>
                <w:lang w:eastAsia="ar-SA"/>
              </w:rPr>
            </w:pPr>
            <w:r w:rsidRPr="00D22521">
              <w:rPr>
                <w:b/>
                <w:bCs/>
                <w:szCs w:val="24"/>
                <w:lang w:eastAsia="ar-SA"/>
              </w:rPr>
              <w:t>Serijinis numeris</w:t>
            </w:r>
          </w:p>
        </w:tc>
        <w:tc>
          <w:tcPr>
            <w:tcW w:w="3197" w:type="dxa"/>
          </w:tcPr>
          <w:p w14:paraId="166C50E8" w14:textId="77777777" w:rsidR="0057558B" w:rsidRPr="00D22521" w:rsidRDefault="0057558B" w:rsidP="00687374">
            <w:pPr>
              <w:jc w:val="center"/>
              <w:rPr>
                <w:b/>
                <w:bCs/>
                <w:szCs w:val="24"/>
                <w:lang w:eastAsia="ar-SA"/>
              </w:rPr>
            </w:pPr>
            <w:r w:rsidRPr="00D22521">
              <w:rPr>
                <w:b/>
                <w:bCs/>
                <w:szCs w:val="24"/>
                <w:lang w:eastAsia="ar-SA"/>
              </w:rPr>
              <w:t>Techninio palaikymo (</w:t>
            </w:r>
            <w:proofErr w:type="spellStart"/>
            <w:r w:rsidRPr="00D22521">
              <w:rPr>
                <w:b/>
                <w:bCs/>
                <w:szCs w:val="24"/>
                <w:lang w:eastAsia="ar-SA"/>
              </w:rPr>
              <w:t>Support</w:t>
            </w:r>
            <w:proofErr w:type="spellEnd"/>
            <w:r w:rsidRPr="00D22521">
              <w:rPr>
                <w:b/>
                <w:bCs/>
                <w:szCs w:val="24"/>
                <w:lang w:eastAsia="ar-SA"/>
              </w:rPr>
              <w:t>) modelis</w:t>
            </w:r>
          </w:p>
        </w:tc>
      </w:tr>
      <w:tr w:rsidR="0057558B" w:rsidRPr="00D22521" w14:paraId="33AE2134" w14:textId="77777777" w:rsidTr="00687374">
        <w:tc>
          <w:tcPr>
            <w:tcW w:w="700" w:type="dxa"/>
          </w:tcPr>
          <w:p w14:paraId="49918A9F" w14:textId="77777777" w:rsidR="0057558B" w:rsidRPr="00D22521" w:rsidRDefault="0057558B" w:rsidP="00687374">
            <w:pPr>
              <w:jc w:val="both"/>
              <w:rPr>
                <w:szCs w:val="24"/>
                <w:lang w:eastAsia="ar-SA"/>
              </w:rPr>
            </w:pPr>
            <w:r w:rsidRPr="00D22521">
              <w:rPr>
                <w:szCs w:val="24"/>
                <w:lang w:eastAsia="ar-SA"/>
              </w:rPr>
              <w:lastRenderedPageBreak/>
              <w:t>2.1.1</w:t>
            </w:r>
          </w:p>
        </w:tc>
        <w:tc>
          <w:tcPr>
            <w:tcW w:w="2924" w:type="dxa"/>
          </w:tcPr>
          <w:p w14:paraId="6F7FD85D" w14:textId="77777777" w:rsidR="0057558B" w:rsidRPr="00D22521" w:rsidRDefault="0057558B" w:rsidP="00687374">
            <w:pPr>
              <w:jc w:val="both"/>
              <w:rPr>
                <w:szCs w:val="24"/>
                <w:lang w:eastAsia="ar-SA"/>
              </w:rPr>
            </w:pPr>
            <w:r w:rsidRPr="00D22521">
              <w:rPr>
                <w:szCs w:val="24"/>
                <w:lang w:eastAsia="ar-SA"/>
              </w:rPr>
              <w:t xml:space="preserve">Smart-1 600-S Base Gen-6 </w:t>
            </w:r>
            <w:proofErr w:type="spellStart"/>
            <w:r w:rsidRPr="00D22521">
              <w:rPr>
                <w:szCs w:val="24"/>
                <w:lang w:eastAsia="ar-SA"/>
              </w:rPr>
              <w:t>Security</w:t>
            </w:r>
            <w:proofErr w:type="spellEnd"/>
            <w:r w:rsidRPr="00D22521">
              <w:rPr>
                <w:szCs w:val="24"/>
                <w:lang w:eastAsia="ar-SA"/>
              </w:rPr>
              <w:t xml:space="preserve"> </w:t>
            </w:r>
            <w:proofErr w:type="spellStart"/>
            <w:r w:rsidRPr="00D22521">
              <w:rPr>
                <w:szCs w:val="24"/>
                <w:lang w:eastAsia="ar-SA"/>
              </w:rPr>
              <w:t>Management,Log</w:t>
            </w:r>
            <w:proofErr w:type="spellEnd"/>
            <w:r w:rsidRPr="00D22521">
              <w:rPr>
                <w:szCs w:val="24"/>
                <w:lang w:eastAsia="ar-SA"/>
              </w:rPr>
              <w:t xml:space="preserve"> </w:t>
            </w:r>
            <w:proofErr w:type="spellStart"/>
            <w:r w:rsidRPr="00D22521">
              <w:rPr>
                <w:szCs w:val="24"/>
                <w:lang w:eastAsia="ar-SA"/>
              </w:rPr>
              <w:t>and</w:t>
            </w:r>
            <w:proofErr w:type="spellEnd"/>
            <w:r w:rsidRPr="00D22521">
              <w:rPr>
                <w:szCs w:val="24"/>
                <w:lang w:eastAsia="ar-SA"/>
              </w:rPr>
              <w:t xml:space="preserve"> </w:t>
            </w:r>
            <w:proofErr w:type="spellStart"/>
            <w:r w:rsidRPr="00D22521">
              <w:rPr>
                <w:szCs w:val="24"/>
                <w:lang w:eastAsia="ar-SA"/>
              </w:rPr>
              <w:t>SmartEvent</w:t>
            </w:r>
            <w:proofErr w:type="spellEnd"/>
            <w:r w:rsidRPr="00D22521">
              <w:rPr>
                <w:szCs w:val="24"/>
                <w:lang w:eastAsia="ar-SA"/>
              </w:rPr>
              <w:t xml:space="preserve"> </w:t>
            </w:r>
            <w:proofErr w:type="spellStart"/>
            <w:r w:rsidRPr="00D22521">
              <w:rPr>
                <w:szCs w:val="24"/>
                <w:lang w:eastAsia="ar-SA"/>
              </w:rPr>
              <w:t>appliance</w:t>
            </w:r>
            <w:proofErr w:type="spellEnd"/>
          </w:p>
        </w:tc>
        <w:tc>
          <w:tcPr>
            <w:tcW w:w="1963" w:type="dxa"/>
          </w:tcPr>
          <w:p w14:paraId="169C697D" w14:textId="77777777" w:rsidR="0057558B" w:rsidRPr="00D22521" w:rsidRDefault="0057558B" w:rsidP="00687374">
            <w:pPr>
              <w:jc w:val="both"/>
              <w:rPr>
                <w:szCs w:val="24"/>
                <w:lang w:eastAsia="ar-SA"/>
              </w:rPr>
            </w:pPr>
            <w:r w:rsidRPr="00D22521">
              <w:rPr>
                <w:szCs w:val="24"/>
                <w:lang w:eastAsia="ar-SA"/>
              </w:rPr>
              <w:t>00:1C:7F:C1:93:83</w:t>
            </w:r>
          </w:p>
        </w:tc>
        <w:tc>
          <w:tcPr>
            <w:tcW w:w="3197" w:type="dxa"/>
          </w:tcPr>
          <w:p w14:paraId="0987A413" w14:textId="77777777" w:rsidR="0057558B" w:rsidRPr="00D22521" w:rsidRDefault="0057558B" w:rsidP="00687374">
            <w:pPr>
              <w:jc w:val="both"/>
              <w:rPr>
                <w:szCs w:val="24"/>
                <w:lang w:eastAsia="ar-SA"/>
              </w:rPr>
            </w:pPr>
            <w:proofErr w:type="spellStart"/>
            <w:r w:rsidRPr="00D22521">
              <w:rPr>
                <w:szCs w:val="24"/>
                <w:shd w:val="clear" w:color="auto" w:fill="FFFFFF"/>
              </w:rPr>
              <w:t>Direct</w:t>
            </w:r>
            <w:proofErr w:type="spellEnd"/>
            <w:r w:rsidRPr="00D22521">
              <w:rPr>
                <w:szCs w:val="24"/>
                <w:shd w:val="clear" w:color="auto" w:fill="FFFFFF"/>
              </w:rPr>
              <w:t xml:space="preserve"> </w:t>
            </w:r>
            <w:proofErr w:type="spellStart"/>
            <w:r w:rsidRPr="00D22521">
              <w:rPr>
                <w:szCs w:val="24"/>
                <w:shd w:val="clear" w:color="auto" w:fill="FFFFFF"/>
              </w:rPr>
              <w:t>Enterprise</w:t>
            </w:r>
            <w:proofErr w:type="spellEnd"/>
            <w:r w:rsidRPr="00D22521">
              <w:rPr>
                <w:szCs w:val="24"/>
                <w:shd w:val="clear" w:color="auto" w:fill="FFFFFF"/>
              </w:rPr>
              <w:t xml:space="preserve"> </w:t>
            </w:r>
            <w:proofErr w:type="spellStart"/>
            <w:r w:rsidRPr="00D22521">
              <w:rPr>
                <w:szCs w:val="24"/>
                <w:shd w:val="clear" w:color="auto" w:fill="FFFFFF"/>
              </w:rPr>
              <w:t>Software</w:t>
            </w:r>
            <w:proofErr w:type="spellEnd"/>
            <w:r w:rsidRPr="00D22521">
              <w:rPr>
                <w:szCs w:val="24"/>
                <w:shd w:val="clear" w:color="auto" w:fill="FFFFFF"/>
              </w:rPr>
              <w:t xml:space="preserve"> </w:t>
            </w:r>
            <w:proofErr w:type="spellStart"/>
            <w:r w:rsidRPr="00D22521">
              <w:rPr>
                <w:szCs w:val="24"/>
                <w:shd w:val="clear" w:color="auto" w:fill="FFFFFF"/>
              </w:rPr>
              <w:t>Subscription</w:t>
            </w:r>
            <w:proofErr w:type="spellEnd"/>
            <w:r w:rsidRPr="00D22521">
              <w:rPr>
                <w:szCs w:val="24"/>
                <w:shd w:val="clear" w:color="auto" w:fill="FFFFFF"/>
              </w:rPr>
              <w:t xml:space="preserve"> </w:t>
            </w:r>
            <w:proofErr w:type="spellStart"/>
            <w:r w:rsidRPr="00D22521">
              <w:rPr>
                <w:szCs w:val="24"/>
                <w:shd w:val="clear" w:color="auto" w:fill="FFFFFF"/>
              </w:rPr>
              <w:t>and</w:t>
            </w:r>
            <w:proofErr w:type="spellEnd"/>
            <w:r w:rsidRPr="00D22521">
              <w:rPr>
                <w:szCs w:val="24"/>
                <w:shd w:val="clear" w:color="auto" w:fill="FFFFFF"/>
              </w:rPr>
              <w:t xml:space="preserve"> Standard </w:t>
            </w:r>
            <w:proofErr w:type="spellStart"/>
            <w:r w:rsidRPr="00D22521">
              <w:rPr>
                <w:szCs w:val="24"/>
                <w:shd w:val="clear" w:color="auto" w:fill="FFFFFF"/>
              </w:rPr>
              <w:t>Support</w:t>
            </w:r>
            <w:proofErr w:type="spellEnd"/>
          </w:p>
        </w:tc>
      </w:tr>
    </w:tbl>
    <w:p w14:paraId="3A3C997D" w14:textId="77777777" w:rsidR="0057558B" w:rsidRPr="00D22521" w:rsidRDefault="0057558B" w:rsidP="0057558B">
      <w:pPr>
        <w:ind w:left="567"/>
        <w:jc w:val="both"/>
        <w:rPr>
          <w:szCs w:val="24"/>
          <w:lang w:eastAsia="ar-SA"/>
        </w:rPr>
      </w:pPr>
    </w:p>
    <w:p w14:paraId="41D922D5" w14:textId="77777777" w:rsidR="0057558B" w:rsidRPr="00D22521" w:rsidRDefault="0057558B" w:rsidP="0057558B">
      <w:pPr>
        <w:pStyle w:val="Sraopastraipa"/>
        <w:numPr>
          <w:ilvl w:val="1"/>
          <w:numId w:val="3"/>
        </w:numPr>
        <w:ind w:left="567" w:firstLine="0"/>
        <w:jc w:val="both"/>
        <w:rPr>
          <w:szCs w:val="24"/>
        </w:rPr>
      </w:pPr>
      <w:r w:rsidRPr="00D22521">
        <w:rPr>
          <w:szCs w:val="24"/>
        </w:rPr>
        <w:t xml:space="preserve">Licencijos paketas turi apimti šį funkcionalumą: </w:t>
      </w:r>
    </w:p>
    <w:tbl>
      <w:tblPr>
        <w:tblStyle w:val="Lentelstinklelis"/>
        <w:tblW w:w="8789" w:type="dxa"/>
        <w:tblInd w:w="562" w:type="dxa"/>
        <w:tblLook w:val="04A0" w:firstRow="1" w:lastRow="0" w:firstColumn="1" w:lastColumn="0" w:noHBand="0" w:noVBand="1"/>
      </w:tblPr>
      <w:tblGrid>
        <w:gridCol w:w="816"/>
        <w:gridCol w:w="7973"/>
      </w:tblGrid>
      <w:tr w:rsidR="0057558B" w:rsidRPr="00D22521" w14:paraId="1A6C437F" w14:textId="77777777" w:rsidTr="00687374">
        <w:tc>
          <w:tcPr>
            <w:tcW w:w="816" w:type="dxa"/>
          </w:tcPr>
          <w:p w14:paraId="7E0D05F2" w14:textId="77777777" w:rsidR="0057558B" w:rsidRPr="00D22521" w:rsidRDefault="0057558B" w:rsidP="00687374">
            <w:pPr>
              <w:jc w:val="center"/>
              <w:rPr>
                <w:b/>
                <w:bCs/>
                <w:szCs w:val="24"/>
                <w:lang w:eastAsia="ar-SA"/>
              </w:rPr>
            </w:pPr>
            <w:r w:rsidRPr="00D22521">
              <w:rPr>
                <w:b/>
                <w:bCs/>
                <w:szCs w:val="24"/>
                <w:lang w:eastAsia="ar-SA"/>
              </w:rPr>
              <w:t xml:space="preserve">Eil. </w:t>
            </w:r>
            <w:proofErr w:type="spellStart"/>
            <w:r w:rsidRPr="00D22521">
              <w:rPr>
                <w:b/>
                <w:bCs/>
                <w:szCs w:val="24"/>
                <w:lang w:eastAsia="ar-SA"/>
              </w:rPr>
              <w:t>Nr</w:t>
            </w:r>
            <w:proofErr w:type="spellEnd"/>
          </w:p>
        </w:tc>
        <w:tc>
          <w:tcPr>
            <w:tcW w:w="7973" w:type="dxa"/>
          </w:tcPr>
          <w:p w14:paraId="54AA0AC6" w14:textId="77777777" w:rsidR="0057558B" w:rsidRPr="00D22521" w:rsidRDefault="0057558B" w:rsidP="00687374">
            <w:pPr>
              <w:jc w:val="center"/>
              <w:rPr>
                <w:b/>
                <w:bCs/>
                <w:szCs w:val="24"/>
                <w:lang w:eastAsia="ar-SA"/>
              </w:rPr>
            </w:pPr>
            <w:r w:rsidRPr="00D22521">
              <w:rPr>
                <w:b/>
                <w:bCs/>
                <w:szCs w:val="24"/>
                <w:lang w:eastAsia="ar-SA"/>
              </w:rPr>
              <w:t>Funkcionalumas</w:t>
            </w:r>
          </w:p>
        </w:tc>
      </w:tr>
      <w:tr w:rsidR="0057558B" w:rsidRPr="00D22521" w14:paraId="2106D579" w14:textId="77777777" w:rsidTr="00687374">
        <w:tc>
          <w:tcPr>
            <w:tcW w:w="816" w:type="dxa"/>
          </w:tcPr>
          <w:p w14:paraId="46661263" w14:textId="77777777" w:rsidR="0057558B" w:rsidRPr="00D22521" w:rsidRDefault="0057558B" w:rsidP="00687374">
            <w:pPr>
              <w:jc w:val="both"/>
              <w:rPr>
                <w:szCs w:val="24"/>
                <w:lang w:eastAsia="ar-SA"/>
              </w:rPr>
            </w:pPr>
            <w:r w:rsidRPr="00D22521">
              <w:rPr>
                <w:szCs w:val="24"/>
                <w:lang w:eastAsia="ar-SA"/>
              </w:rPr>
              <w:t>2.2.1</w:t>
            </w:r>
          </w:p>
        </w:tc>
        <w:tc>
          <w:tcPr>
            <w:tcW w:w="7973" w:type="dxa"/>
          </w:tcPr>
          <w:p w14:paraId="54DC4318" w14:textId="77777777" w:rsidR="0057558B" w:rsidRPr="00D22521" w:rsidRDefault="0057558B" w:rsidP="00687374">
            <w:pPr>
              <w:jc w:val="both"/>
              <w:rPr>
                <w:szCs w:val="24"/>
              </w:rPr>
            </w:pPr>
            <w:r w:rsidRPr="00D22521">
              <w:rPr>
                <w:szCs w:val="24"/>
              </w:rPr>
              <w:t>Įvykių analizės funkcionalumas (</w:t>
            </w:r>
            <w:proofErr w:type="spellStart"/>
            <w:r w:rsidRPr="00D22521">
              <w:rPr>
                <w:szCs w:val="24"/>
              </w:rPr>
              <w:t>Check</w:t>
            </w:r>
            <w:proofErr w:type="spellEnd"/>
            <w:r w:rsidRPr="00D22521">
              <w:rPr>
                <w:szCs w:val="24"/>
              </w:rPr>
              <w:t xml:space="preserve"> </w:t>
            </w:r>
            <w:proofErr w:type="spellStart"/>
            <w:r w:rsidRPr="00D22521">
              <w:rPr>
                <w:szCs w:val="24"/>
              </w:rPr>
              <w:t>Point</w:t>
            </w:r>
            <w:proofErr w:type="spellEnd"/>
            <w:r w:rsidRPr="00D22521">
              <w:rPr>
                <w:szCs w:val="24"/>
              </w:rPr>
              <w:t xml:space="preserve"> </w:t>
            </w:r>
            <w:proofErr w:type="spellStart"/>
            <w:r w:rsidRPr="00D22521">
              <w:rPr>
                <w:szCs w:val="24"/>
              </w:rPr>
              <w:t>SmartEvent</w:t>
            </w:r>
            <w:proofErr w:type="spellEnd"/>
            <w:r w:rsidRPr="00D22521">
              <w:rPr>
                <w:szCs w:val="24"/>
              </w:rPr>
              <w:t xml:space="preserve"> </w:t>
            </w:r>
            <w:proofErr w:type="spellStart"/>
            <w:r w:rsidRPr="00D22521">
              <w:rPr>
                <w:szCs w:val="24"/>
              </w:rPr>
              <w:t>blade</w:t>
            </w:r>
            <w:proofErr w:type="spellEnd"/>
            <w:r w:rsidRPr="00D22521">
              <w:rPr>
                <w:szCs w:val="24"/>
              </w:rPr>
              <w:t>)</w:t>
            </w:r>
          </w:p>
        </w:tc>
      </w:tr>
      <w:tr w:rsidR="0057558B" w:rsidRPr="00D22521" w14:paraId="2A09B3A2" w14:textId="77777777" w:rsidTr="00687374">
        <w:tc>
          <w:tcPr>
            <w:tcW w:w="816" w:type="dxa"/>
          </w:tcPr>
          <w:p w14:paraId="1E385010" w14:textId="77777777" w:rsidR="0057558B" w:rsidRPr="00D22521" w:rsidRDefault="0057558B" w:rsidP="00687374">
            <w:pPr>
              <w:jc w:val="both"/>
              <w:rPr>
                <w:szCs w:val="24"/>
                <w:lang w:eastAsia="ar-SA"/>
              </w:rPr>
            </w:pPr>
            <w:r w:rsidRPr="00D22521">
              <w:rPr>
                <w:szCs w:val="24"/>
                <w:lang w:eastAsia="ar-SA"/>
              </w:rPr>
              <w:t>2.2.2</w:t>
            </w:r>
          </w:p>
        </w:tc>
        <w:tc>
          <w:tcPr>
            <w:tcW w:w="7973" w:type="dxa"/>
          </w:tcPr>
          <w:p w14:paraId="716425C4" w14:textId="77777777" w:rsidR="0057558B" w:rsidRPr="00D22521" w:rsidRDefault="0057558B" w:rsidP="00687374">
            <w:pPr>
              <w:jc w:val="both"/>
              <w:rPr>
                <w:szCs w:val="24"/>
              </w:rPr>
            </w:pPr>
            <w:r w:rsidRPr="00D22521">
              <w:rPr>
                <w:szCs w:val="24"/>
              </w:rPr>
              <w:t>Ataskaitų funkcionalumas (</w:t>
            </w:r>
            <w:proofErr w:type="spellStart"/>
            <w:r w:rsidRPr="00D22521">
              <w:rPr>
                <w:szCs w:val="24"/>
              </w:rPr>
              <w:t>SmartReporter</w:t>
            </w:r>
            <w:proofErr w:type="spellEnd"/>
            <w:r w:rsidRPr="00D22521">
              <w:rPr>
                <w:szCs w:val="24"/>
              </w:rPr>
              <w:t xml:space="preserve"> </w:t>
            </w:r>
            <w:proofErr w:type="spellStart"/>
            <w:r w:rsidRPr="00D22521">
              <w:rPr>
                <w:szCs w:val="24"/>
              </w:rPr>
              <w:t>blade</w:t>
            </w:r>
            <w:proofErr w:type="spellEnd"/>
            <w:r w:rsidRPr="00D22521">
              <w:rPr>
                <w:szCs w:val="24"/>
              </w:rPr>
              <w:t>)</w:t>
            </w:r>
          </w:p>
        </w:tc>
      </w:tr>
    </w:tbl>
    <w:p w14:paraId="513D2930" w14:textId="77777777" w:rsidR="0057558B" w:rsidRPr="00D22521" w:rsidRDefault="0057558B" w:rsidP="0057558B">
      <w:pPr>
        <w:jc w:val="both"/>
        <w:rPr>
          <w:szCs w:val="24"/>
          <w:lang w:eastAsia="ar-SA"/>
        </w:rPr>
      </w:pPr>
    </w:p>
    <w:p w14:paraId="783A8E1C" w14:textId="77777777" w:rsidR="0057558B" w:rsidRPr="00D22521" w:rsidRDefault="0057558B" w:rsidP="0057558B">
      <w:pPr>
        <w:pStyle w:val="Sraopastraipa"/>
        <w:numPr>
          <w:ilvl w:val="0"/>
          <w:numId w:val="1"/>
        </w:numPr>
        <w:ind w:left="567"/>
        <w:jc w:val="both"/>
        <w:rPr>
          <w:szCs w:val="24"/>
          <w:lang w:eastAsia="ar-SA"/>
        </w:rPr>
      </w:pPr>
      <w:r w:rsidRPr="00D22521">
        <w:rPr>
          <w:szCs w:val="24"/>
        </w:rPr>
        <w:t>Reikalavimai techninio palaikymo paslaugoms:</w:t>
      </w:r>
    </w:p>
    <w:p w14:paraId="796AC094" w14:textId="77777777" w:rsidR="0057558B" w:rsidRPr="00D22521" w:rsidRDefault="0057558B" w:rsidP="0057558B">
      <w:pPr>
        <w:pStyle w:val="Sraopastraipa"/>
        <w:numPr>
          <w:ilvl w:val="1"/>
          <w:numId w:val="1"/>
        </w:numPr>
        <w:ind w:left="567"/>
        <w:jc w:val="both"/>
        <w:rPr>
          <w:szCs w:val="24"/>
          <w:lang w:eastAsia="ar-SA"/>
        </w:rPr>
      </w:pPr>
      <w:r w:rsidRPr="00D22521">
        <w:rPr>
          <w:szCs w:val="24"/>
        </w:rPr>
        <w:t>Visų įsigyjamų licencijų techninio palaikymo paslaugos turi apimti:</w:t>
      </w:r>
    </w:p>
    <w:p w14:paraId="0F6AEA13" w14:textId="77777777" w:rsidR="0057558B" w:rsidRPr="00D22521" w:rsidRDefault="0057558B" w:rsidP="0057558B">
      <w:pPr>
        <w:pStyle w:val="Sraopastraipa"/>
        <w:numPr>
          <w:ilvl w:val="2"/>
          <w:numId w:val="1"/>
        </w:numPr>
        <w:ind w:left="567"/>
        <w:jc w:val="both"/>
        <w:rPr>
          <w:szCs w:val="24"/>
          <w:lang w:eastAsia="ar-SA"/>
        </w:rPr>
      </w:pPr>
      <w:r w:rsidRPr="00D22521">
        <w:rPr>
          <w:szCs w:val="24"/>
        </w:rPr>
        <w:t>programinės įrangos palaikymą, teisę gauti klaidų taisymus, taip pat naujas programinės įrangos versijas 36 mėnesiu laikotarpyje;</w:t>
      </w:r>
    </w:p>
    <w:p w14:paraId="13A29B92" w14:textId="77777777" w:rsidR="0057558B" w:rsidRPr="00D22521" w:rsidRDefault="0057558B" w:rsidP="0057558B">
      <w:pPr>
        <w:pStyle w:val="Sraopastraipa"/>
        <w:numPr>
          <w:ilvl w:val="2"/>
          <w:numId w:val="1"/>
        </w:numPr>
        <w:ind w:left="567"/>
        <w:jc w:val="both"/>
        <w:rPr>
          <w:szCs w:val="24"/>
          <w:lang w:eastAsia="ar-SA"/>
        </w:rPr>
      </w:pPr>
      <w:r w:rsidRPr="00D22521">
        <w:rPr>
          <w:szCs w:val="24"/>
        </w:rPr>
        <w:t xml:space="preserve">Automatinius gamintojo teikiamus saugumo duomenų bazių atnaujinimus; </w:t>
      </w:r>
    </w:p>
    <w:p w14:paraId="6036DA26" w14:textId="77777777" w:rsidR="0057558B" w:rsidRPr="00D22521" w:rsidRDefault="0057558B" w:rsidP="0057558B">
      <w:pPr>
        <w:pStyle w:val="Sraopastraipa"/>
        <w:numPr>
          <w:ilvl w:val="2"/>
          <w:numId w:val="1"/>
        </w:numPr>
        <w:ind w:left="567"/>
        <w:jc w:val="both"/>
        <w:rPr>
          <w:szCs w:val="24"/>
          <w:lang w:eastAsia="ar-SA"/>
        </w:rPr>
      </w:pPr>
      <w:r w:rsidRPr="00D22521">
        <w:rPr>
          <w:szCs w:val="24"/>
        </w:rPr>
        <w:t>Prieiga prie gamintojo internetiniame puslapyje esančių techninių resursų, tarp jų ir programinės įrangos bibliotekos;</w:t>
      </w:r>
    </w:p>
    <w:p w14:paraId="335BC0CB" w14:textId="77777777" w:rsidR="0057558B" w:rsidRPr="00D22521" w:rsidRDefault="0057558B" w:rsidP="0057558B">
      <w:pPr>
        <w:pStyle w:val="Sraopastraipa"/>
        <w:numPr>
          <w:ilvl w:val="2"/>
          <w:numId w:val="1"/>
        </w:numPr>
        <w:ind w:left="567"/>
        <w:jc w:val="both"/>
        <w:rPr>
          <w:szCs w:val="24"/>
          <w:lang w:eastAsia="ar-SA"/>
        </w:rPr>
      </w:pPr>
      <w:r w:rsidRPr="00D22521">
        <w:rPr>
          <w:szCs w:val="24"/>
        </w:rPr>
        <w:t>Prieigą prie gamintojo žinių duomenų bazės;</w:t>
      </w:r>
    </w:p>
    <w:p w14:paraId="61FFEF2E" w14:textId="77777777" w:rsidR="0057558B" w:rsidRPr="00D22521" w:rsidRDefault="0057558B" w:rsidP="0057558B">
      <w:pPr>
        <w:pStyle w:val="Sraopastraipa"/>
        <w:numPr>
          <w:ilvl w:val="2"/>
          <w:numId w:val="1"/>
        </w:numPr>
        <w:ind w:left="567"/>
        <w:jc w:val="both"/>
        <w:rPr>
          <w:szCs w:val="24"/>
          <w:lang w:eastAsia="ar-SA"/>
        </w:rPr>
      </w:pPr>
      <w:r w:rsidRPr="00D22521">
        <w:rPr>
          <w:szCs w:val="24"/>
        </w:rPr>
        <w:t>Teisę kreiptis į gamintojo aptarnavimo centrą iškilus problemai (produkto naudojimo, konfigūravimo ir problemų sprendimo klausimais) darbo dienomis, darbo valandomis, internetu, elektroniniu paštu arba telefonu. Reakcijos į kreipinius laikas – ne daugiau 4 val.</w:t>
      </w:r>
    </w:p>
    <w:p w14:paraId="3287A3D5" w14:textId="77777777" w:rsidR="0057558B" w:rsidRPr="00D22521" w:rsidRDefault="0057558B" w:rsidP="0057558B">
      <w:pPr>
        <w:pStyle w:val="Sraopastraipa"/>
        <w:numPr>
          <w:ilvl w:val="1"/>
          <w:numId w:val="1"/>
        </w:numPr>
        <w:ind w:left="567"/>
        <w:jc w:val="both"/>
        <w:rPr>
          <w:szCs w:val="24"/>
        </w:rPr>
      </w:pPr>
      <w:r w:rsidRPr="00D22521">
        <w:rPr>
          <w:szCs w:val="24"/>
        </w:rPr>
        <w:t>Ugniasienių technines įrangos, reikalingos pilnam programinės įrangos funkcionavimui techninio palaikymo paslaugos turi apimti nemokamą įrangos remontą ir dalių tiekimą įrangos techninių gedimų atveju.</w:t>
      </w:r>
    </w:p>
    <w:p w14:paraId="18A50057" w14:textId="77777777" w:rsidR="0057558B" w:rsidRPr="00D22521" w:rsidRDefault="0057558B" w:rsidP="0057558B">
      <w:pPr>
        <w:pStyle w:val="Sraopastraipa"/>
        <w:numPr>
          <w:ilvl w:val="1"/>
          <w:numId w:val="1"/>
        </w:numPr>
        <w:ind w:left="567"/>
        <w:jc w:val="both"/>
        <w:rPr>
          <w:szCs w:val="24"/>
        </w:rPr>
      </w:pPr>
      <w:r w:rsidRPr="00D22521">
        <w:rPr>
          <w:szCs w:val="24"/>
        </w:rPr>
        <w:t xml:space="preserve">Nemokamą techninės įrangos, šiuo metu registruotos gamintojo </w:t>
      </w:r>
      <w:proofErr w:type="spellStart"/>
      <w:r w:rsidRPr="00D22521">
        <w:rPr>
          <w:szCs w:val="24"/>
        </w:rPr>
        <w:t>Check</w:t>
      </w:r>
      <w:proofErr w:type="spellEnd"/>
      <w:r w:rsidRPr="00D22521">
        <w:rPr>
          <w:szCs w:val="24"/>
        </w:rPr>
        <w:t xml:space="preserve"> </w:t>
      </w:r>
      <w:proofErr w:type="spellStart"/>
      <w:r w:rsidRPr="00D22521">
        <w:rPr>
          <w:szCs w:val="24"/>
        </w:rPr>
        <w:t>Point</w:t>
      </w:r>
      <w:proofErr w:type="spellEnd"/>
      <w:r w:rsidRPr="00D22521">
        <w:rPr>
          <w:szCs w:val="24"/>
        </w:rPr>
        <w:t xml:space="preserve"> </w:t>
      </w:r>
      <w:proofErr w:type="spellStart"/>
      <w:r w:rsidRPr="00D22521">
        <w:rPr>
          <w:szCs w:val="24"/>
        </w:rPr>
        <w:t>software</w:t>
      </w:r>
      <w:proofErr w:type="spellEnd"/>
      <w:r w:rsidRPr="00D22521">
        <w:rPr>
          <w:szCs w:val="24"/>
        </w:rPr>
        <w:t xml:space="preserve"> </w:t>
      </w:r>
      <w:proofErr w:type="spellStart"/>
      <w:r w:rsidRPr="00D22521">
        <w:rPr>
          <w:szCs w:val="24"/>
        </w:rPr>
        <w:t>technologies</w:t>
      </w:r>
      <w:proofErr w:type="spellEnd"/>
      <w:r w:rsidRPr="00D22521">
        <w:rPr>
          <w:szCs w:val="24"/>
        </w:rPr>
        <w:t xml:space="preserve"> vartotojo paskyroje Nr. 8506174 pakeitimą naujais modeliais, pagal savo savybes (našumo parametrus, prievadų kiekį) ne prastesniais negu Perkančiosios organizacijos turimais, tais atvejais kai turima  įranga arba jos dalis techninio aptarnavimo laikotarpiu gamintojo būtų paskelbta nebeaptarnaujama (</w:t>
      </w:r>
      <w:r w:rsidRPr="00D22521">
        <w:rPr>
          <w:i/>
          <w:iCs/>
          <w:szCs w:val="24"/>
        </w:rPr>
        <w:t xml:space="preserve">angl. </w:t>
      </w:r>
      <w:proofErr w:type="spellStart"/>
      <w:r w:rsidRPr="00D22521">
        <w:rPr>
          <w:i/>
          <w:iCs/>
          <w:szCs w:val="24"/>
        </w:rPr>
        <w:t>End</w:t>
      </w:r>
      <w:proofErr w:type="spellEnd"/>
      <w:r w:rsidRPr="00D22521">
        <w:rPr>
          <w:i/>
          <w:iCs/>
          <w:szCs w:val="24"/>
        </w:rPr>
        <w:t xml:space="preserve"> </w:t>
      </w:r>
      <w:proofErr w:type="spellStart"/>
      <w:r w:rsidRPr="00D22521">
        <w:rPr>
          <w:i/>
          <w:iCs/>
          <w:szCs w:val="24"/>
        </w:rPr>
        <w:t>of</w:t>
      </w:r>
      <w:proofErr w:type="spellEnd"/>
      <w:r w:rsidRPr="00D22521">
        <w:rPr>
          <w:i/>
          <w:iCs/>
          <w:szCs w:val="24"/>
        </w:rPr>
        <w:t xml:space="preserve"> </w:t>
      </w:r>
      <w:proofErr w:type="spellStart"/>
      <w:r w:rsidRPr="00D22521">
        <w:rPr>
          <w:i/>
          <w:iCs/>
          <w:szCs w:val="24"/>
        </w:rPr>
        <w:t>Support</w:t>
      </w:r>
      <w:proofErr w:type="spellEnd"/>
      <w:r w:rsidRPr="00D22521">
        <w:rPr>
          <w:szCs w:val="24"/>
        </w:rPr>
        <w:t>) pagal gamintojo viešai skelbiamą įrangos gyvavimo ciklo tvarkaraštį (</w:t>
      </w:r>
      <w:r w:rsidRPr="00D22521">
        <w:rPr>
          <w:i/>
          <w:iCs/>
          <w:szCs w:val="24"/>
        </w:rPr>
        <w:t xml:space="preserve">angl. </w:t>
      </w:r>
      <w:proofErr w:type="spellStart"/>
      <w:r w:rsidRPr="00D22521">
        <w:rPr>
          <w:i/>
          <w:iCs/>
          <w:szCs w:val="24"/>
        </w:rPr>
        <w:t>Support</w:t>
      </w:r>
      <w:proofErr w:type="spellEnd"/>
      <w:r w:rsidRPr="00D22521">
        <w:rPr>
          <w:i/>
          <w:iCs/>
          <w:szCs w:val="24"/>
        </w:rPr>
        <w:t xml:space="preserve"> </w:t>
      </w:r>
      <w:proofErr w:type="spellStart"/>
      <w:r w:rsidRPr="00D22521">
        <w:rPr>
          <w:i/>
          <w:iCs/>
          <w:szCs w:val="24"/>
        </w:rPr>
        <w:t>Life</w:t>
      </w:r>
      <w:proofErr w:type="spellEnd"/>
      <w:r w:rsidRPr="00D22521">
        <w:rPr>
          <w:i/>
          <w:iCs/>
          <w:szCs w:val="24"/>
        </w:rPr>
        <w:t xml:space="preserve"> </w:t>
      </w:r>
      <w:proofErr w:type="spellStart"/>
      <w:r w:rsidRPr="00D22521">
        <w:rPr>
          <w:i/>
          <w:iCs/>
          <w:szCs w:val="24"/>
        </w:rPr>
        <w:t>Cycle</w:t>
      </w:r>
      <w:proofErr w:type="spellEnd"/>
      <w:r w:rsidRPr="00D22521">
        <w:rPr>
          <w:i/>
          <w:iCs/>
          <w:szCs w:val="24"/>
        </w:rPr>
        <w:t xml:space="preserve"> </w:t>
      </w:r>
      <w:proofErr w:type="spellStart"/>
      <w:r w:rsidRPr="00D22521">
        <w:rPr>
          <w:i/>
          <w:iCs/>
          <w:szCs w:val="24"/>
        </w:rPr>
        <w:t>Policy</w:t>
      </w:r>
      <w:proofErr w:type="spellEnd"/>
      <w:r w:rsidRPr="00D22521">
        <w:rPr>
          <w:szCs w:val="24"/>
        </w:rPr>
        <w:t xml:space="preserve">) arba nauji modeliai būtų geresnių savybių (užima mažiau vietos, naudoja mažiau elektros energijos, yra geresnių našumo parametrų). </w:t>
      </w:r>
    </w:p>
    <w:p w14:paraId="0D0ADAE8" w14:textId="77777777" w:rsidR="0057558B" w:rsidRPr="00D22521" w:rsidRDefault="0057558B" w:rsidP="0057558B">
      <w:pPr>
        <w:pStyle w:val="Sraopastraipa"/>
        <w:numPr>
          <w:ilvl w:val="1"/>
          <w:numId w:val="1"/>
        </w:numPr>
        <w:ind w:left="567"/>
        <w:jc w:val="both"/>
        <w:rPr>
          <w:szCs w:val="24"/>
        </w:rPr>
      </w:pPr>
      <w:r w:rsidRPr="00D22521">
        <w:rPr>
          <w:szCs w:val="24"/>
        </w:rPr>
        <w:t xml:space="preserve">Įrangos keitimo atveju, </w:t>
      </w:r>
      <w:r w:rsidRPr="00D22521">
        <w:rPr>
          <w:bCs/>
          <w:szCs w:val="24"/>
          <w:lang w:eastAsia="ar-SA"/>
        </w:rPr>
        <w:t>Pardavėjas turi užtikrinti sklandų įrangos pakeitimą nauja išlaikant tą patį ugniasienių funkcionalumą ir užtikrinti tolimesnį įsigyjamų licencijų naudojimą visą 36 mėnesių laikotarpį;</w:t>
      </w:r>
    </w:p>
    <w:p w14:paraId="747CACD4" w14:textId="77777777" w:rsidR="0057558B" w:rsidRPr="00D22521" w:rsidRDefault="0057558B" w:rsidP="0057558B">
      <w:pPr>
        <w:pStyle w:val="Sraopastraipa"/>
        <w:numPr>
          <w:ilvl w:val="0"/>
          <w:numId w:val="1"/>
        </w:numPr>
        <w:ind w:left="567"/>
        <w:jc w:val="both"/>
        <w:rPr>
          <w:szCs w:val="24"/>
        </w:rPr>
      </w:pPr>
      <w:r w:rsidRPr="00D22521">
        <w:rPr>
          <w:bCs/>
          <w:szCs w:val="24"/>
          <w:lang w:eastAsia="ar-SA"/>
        </w:rPr>
        <w:t>Tiekėjas turi užtikrinti naujų licencijų aktyvavimą bei papildomo funkcionalumo įjungimą Perkančios organizacijos veikiančiose ugniasienėse nesutrikdant jų darbo.</w:t>
      </w:r>
    </w:p>
    <w:p w14:paraId="35EBBE56" w14:textId="77777777" w:rsidR="007B72CF" w:rsidRPr="00D22521" w:rsidRDefault="007B72CF"/>
    <w:sectPr w:rsidR="007B72CF" w:rsidRPr="00D22521" w:rsidSect="006E06CE">
      <w:pgSz w:w="11907" w:h="16840" w:code="9"/>
      <w:pgMar w:top="1701"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6C53" w14:textId="77777777" w:rsidR="00802E72" w:rsidRDefault="00802E72">
      <w:r>
        <w:separator/>
      </w:r>
    </w:p>
  </w:endnote>
  <w:endnote w:type="continuationSeparator" w:id="0">
    <w:p w14:paraId="6DCEDAE3" w14:textId="77777777" w:rsidR="00802E72" w:rsidRDefault="00802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432F6" w14:textId="77777777" w:rsidR="00802E72" w:rsidRDefault="00802E72">
      <w:r>
        <w:separator/>
      </w:r>
    </w:p>
  </w:footnote>
  <w:footnote w:type="continuationSeparator" w:id="0">
    <w:p w14:paraId="0B430FDA" w14:textId="77777777" w:rsidR="00802E72" w:rsidRDefault="00802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585F"/>
    <w:multiLevelType w:val="multilevel"/>
    <w:tmpl w:val="8B80226A"/>
    <w:lvl w:ilvl="0">
      <w:start w:val="1"/>
      <w:numFmt w:val="decimal"/>
      <w:suff w:val="space"/>
      <w:lvlText w:val="%1."/>
      <w:lvlJc w:val="left"/>
      <w:pPr>
        <w:ind w:left="3402"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2BE82054"/>
    <w:multiLevelType w:val="multilevel"/>
    <w:tmpl w:val="B9FC69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D84E03"/>
    <w:multiLevelType w:val="multilevel"/>
    <w:tmpl w:val="2410D1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722411">
    <w:abstractNumId w:val="0"/>
  </w:num>
  <w:num w:numId="2" w16cid:durableId="1074739103">
    <w:abstractNumId w:val="2"/>
  </w:num>
  <w:num w:numId="3" w16cid:durableId="363676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8B"/>
    <w:rsid w:val="004856C6"/>
    <w:rsid w:val="0057558B"/>
    <w:rsid w:val="00653A83"/>
    <w:rsid w:val="006E06CE"/>
    <w:rsid w:val="007B72CF"/>
    <w:rsid w:val="00802E72"/>
    <w:rsid w:val="00AE3DF5"/>
    <w:rsid w:val="00B76003"/>
    <w:rsid w:val="00C45573"/>
    <w:rsid w:val="00D22521"/>
    <w:rsid w:val="00E7644A"/>
    <w:rsid w:val="00EA3CD7"/>
    <w:rsid w:val="00F10F1E"/>
    <w:rsid w:val="00F85D1A"/>
    <w:rsid w:val="00F91C28"/>
    <w:rsid w:val="00FD3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D15D5"/>
  <w15:chartTrackingRefBased/>
  <w15:docId w15:val="{FDDF8E3F-9D9E-4B3D-861E-4A5A23E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558B"/>
    <w:pPr>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uiPriority w:val="9"/>
    <w:qFormat/>
    <w:rsid w:val="00575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75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755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755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755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7558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558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558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558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55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755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755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755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755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755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55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55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55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558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55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55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55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55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558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57558B"/>
    <w:pPr>
      <w:ind w:left="720"/>
      <w:contextualSpacing/>
    </w:pPr>
  </w:style>
  <w:style w:type="character" w:styleId="Rykuspabraukimas">
    <w:name w:val="Intense Emphasis"/>
    <w:basedOn w:val="Numatytasispastraiposriftas"/>
    <w:uiPriority w:val="21"/>
    <w:qFormat/>
    <w:rsid w:val="0057558B"/>
    <w:rPr>
      <w:i/>
      <w:iCs/>
      <w:color w:val="0F4761" w:themeColor="accent1" w:themeShade="BF"/>
    </w:rPr>
  </w:style>
  <w:style w:type="paragraph" w:styleId="Iskirtacitata">
    <w:name w:val="Intense Quote"/>
    <w:basedOn w:val="prastasis"/>
    <w:next w:val="prastasis"/>
    <w:link w:val="IskirtacitataDiagrama"/>
    <w:uiPriority w:val="30"/>
    <w:qFormat/>
    <w:rsid w:val="00575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7558B"/>
    <w:rPr>
      <w:i/>
      <w:iCs/>
      <w:color w:val="0F4761" w:themeColor="accent1" w:themeShade="BF"/>
    </w:rPr>
  </w:style>
  <w:style w:type="character" w:styleId="Rykinuoroda">
    <w:name w:val="Intense Reference"/>
    <w:basedOn w:val="Numatytasispastraiposriftas"/>
    <w:uiPriority w:val="32"/>
    <w:qFormat/>
    <w:rsid w:val="0057558B"/>
    <w:rPr>
      <w:b/>
      <w:bCs/>
      <w:smallCaps/>
      <w:color w:val="0F4761" w:themeColor="accent1" w:themeShade="BF"/>
      <w:spacing w:val="5"/>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Ch"/>
    <w:basedOn w:val="prastasis"/>
    <w:link w:val="AntratsDiagrama"/>
    <w:uiPriority w:val="99"/>
    <w:rsid w:val="0057558B"/>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57558B"/>
    <w:rPr>
      <w:rFonts w:ascii="Times New Roman" w:eastAsia="Times New Roman" w:hAnsi="Times New Roman" w:cs="Times New Roman"/>
      <w:kern w:val="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7558B"/>
  </w:style>
  <w:style w:type="table" w:styleId="Lentelstinklelis">
    <w:name w:val="Table Grid"/>
    <w:basedOn w:val="prastojilentel"/>
    <w:uiPriority w:val="39"/>
    <w:rsid w:val="0057558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D22521"/>
    <w:pPr>
      <w:tabs>
        <w:tab w:val="center" w:pos="4819"/>
        <w:tab w:val="right" w:pos="9638"/>
      </w:tabs>
    </w:pPr>
  </w:style>
  <w:style w:type="character" w:customStyle="1" w:styleId="PoratDiagrama">
    <w:name w:val="Poraštė Diagrama"/>
    <w:basedOn w:val="Numatytasispastraiposriftas"/>
    <w:link w:val="Porat"/>
    <w:uiPriority w:val="99"/>
    <w:rsid w:val="00D22521"/>
    <w:rPr>
      <w:rFonts w:ascii="Times New Roman" w:eastAsia="Times New Roman" w:hAnsi="Times New Roman" w:cs="Times New Roman"/>
      <w:kern w:val="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2885</Words>
  <Characters>1645</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5</cp:revision>
  <dcterms:created xsi:type="dcterms:W3CDTF">2026-06-04T07:55:00Z</dcterms:created>
  <dcterms:modified xsi:type="dcterms:W3CDTF">2026-06-09T07:33:00Z</dcterms:modified>
</cp:coreProperties>
</file>