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750"/>
        <w:gridCol w:w="3377"/>
        <w:gridCol w:w="962"/>
        <w:gridCol w:w="4545"/>
      </w:tblGrid>
      <w:tr w:rsidR="007F0F26" w:rsidRPr="00580946" w14:paraId="52FA63E0" w14:textId="77777777" w:rsidTr="00F17342">
        <w:trPr>
          <w:trHeight w:val="300"/>
        </w:trPr>
        <w:tc>
          <w:tcPr>
            <w:tcW w:w="9634" w:type="dxa"/>
            <w:gridSpan w:val="4"/>
          </w:tcPr>
          <w:p w14:paraId="71F2E261" w14:textId="46FDC896" w:rsidR="000F66EE" w:rsidRPr="00580946" w:rsidRDefault="009F32B8" w:rsidP="00580946">
            <w:pPr>
              <w:jc w:val="center"/>
              <w:rPr>
                <w:rFonts w:cs="Tahoma"/>
                <w:b/>
                <w:bCs/>
              </w:rPr>
            </w:pPr>
            <w:r w:rsidRPr="00580946">
              <w:rPr>
                <w:rFonts w:cs="Tahoma"/>
                <w:b/>
                <w:bCs/>
              </w:rPr>
              <w:t>TEISINĖS INFORMACIJOS PASLAUGŲ</w:t>
            </w:r>
            <w:r w:rsidR="00D90BC6">
              <w:rPr>
                <w:rFonts w:cs="Tahoma"/>
                <w:b/>
                <w:bCs/>
              </w:rPr>
              <w:t xml:space="preserve"> PIRKIMO</w:t>
            </w:r>
          </w:p>
          <w:p w14:paraId="70B10ADB" w14:textId="2A36D57D" w:rsidR="007F0F26" w:rsidRPr="00580946" w:rsidRDefault="00AD7FB7" w:rsidP="00580946">
            <w:pPr>
              <w:jc w:val="center"/>
              <w:rPr>
                <w:rFonts w:cs="Tahoma"/>
                <w:b/>
              </w:rPr>
            </w:pPr>
            <w:r w:rsidRPr="00580946">
              <w:rPr>
                <w:rFonts w:cs="Tahoma"/>
                <w:b/>
              </w:rPr>
              <w:t>TECHNINĖ SPECIFIKACIJA</w:t>
            </w:r>
          </w:p>
        </w:tc>
      </w:tr>
      <w:tr w:rsidR="00641CD5" w:rsidRPr="00580946" w14:paraId="379FE03D" w14:textId="77777777" w:rsidTr="00F17342">
        <w:trPr>
          <w:trHeight w:val="300"/>
        </w:trPr>
        <w:tc>
          <w:tcPr>
            <w:tcW w:w="750" w:type="dxa"/>
          </w:tcPr>
          <w:p w14:paraId="79B1EAD9" w14:textId="24FC25C6" w:rsidR="00641CD5" w:rsidRPr="00580946" w:rsidRDefault="00641CD5" w:rsidP="00580946">
            <w:pPr>
              <w:jc w:val="both"/>
              <w:rPr>
                <w:rFonts w:cs="Tahoma"/>
                <w:b/>
              </w:rPr>
            </w:pPr>
            <w:r w:rsidRPr="00580946">
              <w:rPr>
                <w:rFonts w:cs="Tahoma"/>
                <w:b/>
              </w:rPr>
              <w:t>1.</w:t>
            </w:r>
          </w:p>
        </w:tc>
        <w:tc>
          <w:tcPr>
            <w:tcW w:w="8884" w:type="dxa"/>
            <w:gridSpan w:val="3"/>
          </w:tcPr>
          <w:p w14:paraId="37722CC6" w14:textId="6A235F4C" w:rsidR="001C2D24" w:rsidRPr="00580946" w:rsidRDefault="001C2D24" w:rsidP="00580946">
            <w:pPr>
              <w:spacing w:line="259" w:lineRule="auto"/>
              <w:jc w:val="both"/>
              <w:rPr>
                <w:rFonts w:cs="Tahoma"/>
                <w:b/>
                <w:bCs/>
              </w:rPr>
            </w:pPr>
            <w:r w:rsidRPr="00580946">
              <w:rPr>
                <w:rFonts w:cs="Tahoma"/>
                <w:b/>
                <w:bCs/>
              </w:rPr>
              <w:t>Techninėje specifikacijoje vartojamos sąvokos ir santrumpos</w:t>
            </w:r>
          </w:p>
          <w:p w14:paraId="61E8B620" w14:textId="01CD01BE" w:rsidR="00641CD5" w:rsidRPr="00580946" w:rsidRDefault="00641CD5" w:rsidP="00580946">
            <w:pPr>
              <w:jc w:val="both"/>
              <w:rPr>
                <w:rFonts w:cs="Tahoma"/>
                <w:b/>
              </w:rPr>
            </w:pPr>
          </w:p>
        </w:tc>
      </w:tr>
      <w:tr w:rsidR="00AD7FB7" w:rsidRPr="00580946" w14:paraId="1A8A9B3A" w14:textId="77777777" w:rsidTr="00F17342">
        <w:trPr>
          <w:trHeight w:val="300"/>
        </w:trPr>
        <w:tc>
          <w:tcPr>
            <w:tcW w:w="9634" w:type="dxa"/>
            <w:gridSpan w:val="4"/>
          </w:tcPr>
          <w:p w14:paraId="5ACC1C89" w14:textId="77777777" w:rsidR="000F66EE" w:rsidRPr="00580946" w:rsidRDefault="000F66EE" w:rsidP="00580946">
            <w:pPr>
              <w:pStyle w:val="ListParagraph"/>
              <w:numPr>
                <w:ilvl w:val="1"/>
                <w:numId w:val="10"/>
              </w:numPr>
              <w:jc w:val="both"/>
              <w:rPr>
                <w:rFonts w:ascii="Tahoma" w:hAnsi="Tahoma" w:cs="Tahoma"/>
                <w:lang w:val="sv-SE"/>
              </w:rPr>
            </w:pPr>
            <w:r w:rsidRPr="00580946">
              <w:rPr>
                <w:rFonts w:ascii="Tahoma" w:hAnsi="Tahoma" w:cs="Tahoma"/>
                <w:b/>
                <w:bCs/>
                <w:lang w:val="sv-SE"/>
              </w:rPr>
              <w:t>Užsakovas</w:t>
            </w:r>
            <w:r w:rsidRPr="00580946">
              <w:rPr>
                <w:rFonts w:ascii="Tahoma" w:hAnsi="Tahoma" w:cs="Tahoma"/>
                <w:lang w:val="sv-SE"/>
              </w:rPr>
              <w:t xml:space="preserve"> – Valstybės įmonė Registrų centras (toliau – Registrų centras; Perkančioji organizacija).</w:t>
            </w:r>
          </w:p>
          <w:p w14:paraId="0C4C7576" w14:textId="77777777" w:rsidR="00AD7FB7" w:rsidRPr="00580946" w:rsidRDefault="000F66EE" w:rsidP="00580946">
            <w:pPr>
              <w:pStyle w:val="ListParagraph"/>
              <w:numPr>
                <w:ilvl w:val="1"/>
                <w:numId w:val="10"/>
              </w:numPr>
              <w:jc w:val="both"/>
              <w:rPr>
                <w:rFonts w:ascii="Tahoma" w:hAnsi="Tahoma" w:cs="Tahoma"/>
                <w:lang w:val="sv-SE"/>
              </w:rPr>
            </w:pPr>
            <w:r w:rsidRPr="00580946">
              <w:rPr>
                <w:rFonts w:ascii="Tahoma" w:hAnsi="Tahoma" w:cs="Tahoma"/>
                <w:b/>
                <w:bCs/>
                <w:lang w:val="sv-SE"/>
              </w:rPr>
              <w:t>Tiekėjas</w:t>
            </w:r>
            <w:r w:rsidRPr="00580946">
              <w:rPr>
                <w:rFonts w:ascii="Tahoma" w:hAnsi="Tahoma" w:cs="Tahoma"/>
                <w:lang w:val="sv-SE"/>
              </w:rPr>
              <w:t xml:space="preserve"> – ūkio subjektas – fizinis asmuo, privatusis juridinis asmuo, viešasis juridinis asmuo, kitos organizacijos ir jų padaliniai ar tokių asmenų grupė, su kuriuo Perkančioji organizacija sudaro sutartį.</w:t>
            </w:r>
          </w:p>
          <w:p w14:paraId="7BFFAC86" w14:textId="7666BA97" w:rsidR="000F66EE" w:rsidRPr="00580946" w:rsidRDefault="000F66EE" w:rsidP="00580946">
            <w:pPr>
              <w:jc w:val="both"/>
              <w:rPr>
                <w:rFonts w:cs="Tahoma"/>
                <w:lang w:val="sv-SE"/>
              </w:rPr>
            </w:pPr>
          </w:p>
        </w:tc>
      </w:tr>
      <w:tr w:rsidR="00641CD5" w:rsidRPr="00580946" w14:paraId="7BEB0DC5" w14:textId="77777777" w:rsidTr="00F17342">
        <w:trPr>
          <w:trHeight w:val="300"/>
        </w:trPr>
        <w:tc>
          <w:tcPr>
            <w:tcW w:w="750" w:type="dxa"/>
          </w:tcPr>
          <w:p w14:paraId="146ABD60" w14:textId="24445C8D" w:rsidR="00641CD5" w:rsidRPr="00580946" w:rsidRDefault="00641CD5" w:rsidP="00580946">
            <w:pPr>
              <w:jc w:val="both"/>
              <w:rPr>
                <w:rFonts w:cs="Tahoma"/>
                <w:b/>
              </w:rPr>
            </w:pPr>
            <w:r w:rsidRPr="00580946">
              <w:rPr>
                <w:rFonts w:cs="Tahoma"/>
                <w:b/>
              </w:rPr>
              <w:t>2.</w:t>
            </w:r>
          </w:p>
        </w:tc>
        <w:tc>
          <w:tcPr>
            <w:tcW w:w="8884" w:type="dxa"/>
            <w:gridSpan w:val="3"/>
          </w:tcPr>
          <w:p w14:paraId="27EAF5F9" w14:textId="2805CBB7" w:rsidR="00641CD5" w:rsidRPr="00580946" w:rsidRDefault="00641CD5" w:rsidP="00580946">
            <w:pPr>
              <w:jc w:val="both"/>
              <w:rPr>
                <w:rFonts w:cs="Tahoma"/>
                <w:b/>
              </w:rPr>
            </w:pPr>
            <w:r w:rsidRPr="00580946">
              <w:rPr>
                <w:rFonts w:cs="Tahoma"/>
                <w:b/>
              </w:rPr>
              <w:t>Bendrosios nuostatos</w:t>
            </w:r>
          </w:p>
        </w:tc>
      </w:tr>
      <w:tr w:rsidR="00641CD5" w:rsidRPr="00580946" w14:paraId="384E93BA" w14:textId="77777777" w:rsidTr="00F17342">
        <w:trPr>
          <w:trHeight w:val="300"/>
        </w:trPr>
        <w:tc>
          <w:tcPr>
            <w:tcW w:w="9634" w:type="dxa"/>
            <w:gridSpan w:val="4"/>
          </w:tcPr>
          <w:p w14:paraId="298D6474" w14:textId="77777777" w:rsidR="000F66EE" w:rsidRPr="00580946" w:rsidRDefault="000F66EE" w:rsidP="00D90BC6">
            <w:pPr>
              <w:pStyle w:val="ListParagraph"/>
              <w:numPr>
                <w:ilvl w:val="1"/>
                <w:numId w:val="20"/>
              </w:numPr>
              <w:tabs>
                <w:tab w:val="left" w:pos="810"/>
                <w:tab w:val="left" w:pos="990"/>
              </w:tabs>
              <w:ind w:left="26" w:firstLine="542"/>
              <w:jc w:val="both"/>
              <w:rPr>
                <w:rFonts w:ascii="Tahoma" w:eastAsia="Calibri" w:hAnsi="Tahoma" w:cs="Tahoma"/>
                <w:color w:val="808080" w:themeColor="background1" w:themeShade="80"/>
              </w:rPr>
            </w:pPr>
            <w:r w:rsidRPr="00580946">
              <w:rPr>
                <w:rFonts w:ascii="Tahoma" w:hAnsi="Tahoma" w:cs="Tahoma"/>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BA8F36" w14:textId="3E284289" w:rsidR="000F66EE" w:rsidRPr="00580946" w:rsidRDefault="000F66EE" w:rsidP="0072116C">
            <w:pPr>
              <w:pStyle w:val="ListParagraph"/>
              <w:numPr>
                <w:ilvl w:val="1"/>
                <w:numId w:val="20"/>
              </w:numPr>
              <w:tabs>
                <w:tab w:val="left" w:pos="810"/>
                <w:tab w:val="left" w:pos="990"/>
              </w:tabs>
              <w:ind w:left="26" w:firstLine="542"/>
              <w:jc w:val="both"/>
              <w:rPr>
                <w:rFonts w:ascii="Tahoma" w:eastAsia="Calibri" w:hAnsi="Tahoma" w:cs="Tahoma"/>
                <w:color w:val="808080" w:themeColor="background1" w:themeShade="80"/>
              </w:rPr>
            </w:pPr>
            <w:r w:rsidRPr="00580946">
              <w:rPr>
                <w:rFonts w:ascii="Tahoma" w:hAnsi="Tahoma" w:cs="Tahoma"/>
              </w:rPr>
              <w:t xml:space="preserve">Jeigu apibūdinant pirkimo objektą techninėje specifikacijoje nurodytas standartas, </w:t>
            </w:r>
            <w:r w:rsidRPr="00580946">
              <w:rPr>
                <w:rFonts w:ascii="Tahoma" w:hAnsi="Tahoma" w:cs="Tahom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0946">
              <w:rPr>
                <w:rFonts w:ascii="Tahoma" w:hAnsi="Tahoma" w:cs="Tahoma"/>
              </w:rPr>
              <w:t>turi būti laikoma, kad kiekviena tokia nuoroda yra pateikta su žodžiais „arba lygiavertis“.</w:t>
            </w:r>
          </w:p>
          <w:p w14:paraId="6855A2AC" w14:textId="67363EA2" w:rsidR="00641CD5" w:rsidRPr="00580946" w:rsidRDefault="00641CD5" w:rsidP="00580946">
            <w:pPr>
              <w:jc w:val="both"/>
              <w:rPr>
                <w:rFonts w:cs="Tahoma"/>
                <w:b/>
              </w:rPr>
            </w:pPr>
          </w:p>
        </w:tc>
      </w:tr>
      <w:tr w:rsidR="002F119A" w:rsidRPr="00580946" w14:paraId="604ED576" w14:textId="77777777" w:rsidTr="00F17342">
        <w:trPr>
          <w:trHeight w:val="247"/>
        </w:trPr>
        <w:tc>
          <w:tcPr>
            <w:tcW w:w="750" w:type="dxa"/>
          </w:tcPr>
          <w:p w14:paraId="69B18D77" w14:textId="3E52E5E1" w:rsidR="002F119A" w:rsidRPr="00580946" w:rsidRDefault="00641CD5" w:rsidP="00580946">
            <w:pPr>
              <w:jc w:val="both"/>
              <w:rPr>
                <w:rFonts w:cs="Tahoma"/>
                <w:b/>
              </w:rPr>
            </w:pPr>
            <w:r w:rsidRPr="00580946">
              <w:rPr>
                <w:rFonts w:cs="Tahoma"/>
                <w:b/>
              </w:rPr>
              <w:t>3</w:t>
            </w:r>
            <w:r w:rsidR="002F119A" w:rsidRPr="00580946">
              <w:rPr>
                <w:rFonts w:cs="Tahoma"/>
                <w:b/>
              </w:rPr>
              <w:t>.</w:t>
            </w:r>
          </w:p>
        </w:tc>
        <w:tc>
          <w:tcPr>
            <w:tcW w:w="3377" w:type="dxa"/>
          </w:tcPr>
          <w:p w14:paraId="6AD66D00" w14:textId="0A9A4D7D" w:rsidR="002F119A" w:rsidRPr="00580946" w:rsidRDefault="002F119A" w:rsidP="00580946">
            <w:pPr>
              <w:jc w:val="both"/>
              <w:rPr>
                <w:rFonts w:cs="Tahoma"/>
                <w:b/>
              </w:rPr>
            </w:pPr>
            <w:r w:rsidRPr="00580946">
              <w:rPr>
                <w:rFonts w:cs="Tahoma"/>
                <w:b/>
              </w:rPr>
              <w:t>Pirkimo objektas</w:t>
            </w:r>
          </w:p>
        </w:tc>
        <w:tc>
          <w:tcPr>
            <w:tcW w:w="5507" w:type="dxa"/>
            <w:gridSpan w:val="2"/>
          </w:tcPr>
          <w:p w14:paraId="3F209708" w14:textId="3172924F" w:rsidR="002F119A" w:rsidRPr="00580946" w:rsidRDefault="00781A10" w:rsidP="00580946">
            <w:pPr>
              <w:pStyle w:val="Heading1"/>
              <w:jc w:val="both"/>
              <w:rPr>
                <w:rFonts w:ascii="Tahoma" w:hAnsi="Tahoma" w:cs="Tahoma"/>
                <w:color w:val="auto"/>
                <w:sz w:val="22"/>
                <w:szCs w:val="22"/>
              </w:rPr>
            </w:pPr>
            <w:r>
              <w:rPr>
                <w:rFonts w:ascii="Tahoma" w:eastAsia="Calibri" w:hAnsi="Tahoma" w:cs="Tahoma"/>
                <w:color w:val="auto"/>
                <w:sz w:val="22"/>
                <w:szCs w:val="22"/>
              </w:rPr>
              <w:t>Naudojimosi elektroninėmis teisės aktų, teisės aktų projektų ir teismų praktikos duomenų bazėmis (toliau – Duomenų bazės) paslaugos (toliau – Paslaugos)</w:t>
            </w:r>
            <w:r w:rsidR="008063E2">
              <w:rPr>
                <w:rFonts w:ascii="Tahoma" w:eastAsia="Calibri" w:hAnsi="Tahoma" w:cs="Tahoma"/>
                <w:color w:val="auto"/>
                <w:sz w:val="22"/>
                <w:szCs w:val="22"/>
              </w:rPr>
              <w:t>.</w:t>
            </w:r>
          </w:p>
        </w:tc>
      </w:tr>
      <w:tr w:rsidR="000F66EE" w:rsidRPr="00580946" w14:paraId="7886A900" w14:textId="77777777" w:rsidTr="00F17342">
        <w:trPr>
          <w:trHeight w:val="300"/>
        </w:trPr>
        <w:tc>
          <w:tcPr>
            <w:tcW w:w="750" w:type="dxa"/>
          </w:tcPr>
          <w:p w14:paraId="65F8727F" w14:textId="6EB10B82" w:rsidR="000F66EE" w:rsidRPr="00580946" w:rsidRDefault="000F66EE" w:rsidP="00580946">
            <w:pPr>
              <w:jc w:val="both"/>
              <w:rPr>
                <w:rFonts w:cs="Tahoma"/>
                <w:b/>
              </w:rPr>
            </w:pPr>
            <w:r w:rsidRPr="00580946">
              <w:rPr>
                <w:rFonts w:cs="Tahoma"/>
                <w:b/>
              </w:rPr>
              <w:t>4.</w:t>
            </w:r>
          </w:p>
        </w:tc>
        <w:tc>
          <w:tcPr>
            <w:tcW w:w="3377" w:type="dxa"/>
          </w:tcPr>
          <w:p w14:paraId="074D6156" w14:textId="1B695E6B" w:rsidR="000F66EE" w:rsidRPr="00580946" w:rsidRDefault="000F66EE" w:rsidP="00580946">
            <w:pPr>
              <w:jc w:val="both"/>
              <w:rPr>
                <w:rFonts w:cs="Tahoma"/>
                <w:b/>
              </w:rPr>
            </w:pPr>
            <w:r w:rsidRPr="00580946">
              <w:rPr>
                <w:rFonts w:eastAsia="Calibri" w:cs="Tahoma"/>
                <w:b/>
                <w:bCs/>
              </w:rPr>
              <w:t>Pirkimo tikslas</w:t>
            </w:r>
          </w:p>
        </w:tc>
        <w:tc>
          <w:tcPr>
            <w:tcW w:w="5507" w:type="dxa"/>
            <w:gridSpan w:val="2"/>
          </w:tcPr>
          <w:p w14:paraId="3E9BC2A2" w14:textId="7F7693F6" w:rsidR="000F66EE" w:rsidRPr="00580946" w:rsidRDefault="00655D51" w:rsidP="00580946">
            <w:pPr>
              <w:pStyle w:val="Heading1"/>
              <w:jc w:val="both"/>
              <w:rPr>
                <w:rFonts w:ascii="Tahoma" w:eastAsia="Calibri" w:hAnsi="Tahoma" w:cs="Tahoma"/>
                <w:color w:val="auto"/>
                <w:sz w:val="22"/>
                <w:szCs w:val="22"/>
              </w:rPr>
            </w:pPr>
            <w:r w:rsidRPr="00580946">
              <w:rPr>
                <w:rFonts w:ascii="Tahoma" w:eastAsia="Calibri" w:hAnsi="Tahoma" w:cs="Tahoma"/>
                <w:color w:val="auto"/>
                <w:sz w:val="22"/>
                <w:szCs w:val="22"/>
              </w:rPr>
              <w:t>Įsigyti paslaugas, reikalingas su darbu susijusioms funkcijoms vykdyti</w:t>
            </w:r>
            <w:r w:rsidR="008063E2">
              <w:rPr>
                <w:rFonts w:ascii="Tahoma" w:eastAsia="Calibri" w:hAnsi="Tahoma" w:cs="Tahoma"/>
                <w:color w:val="auto"/>
                <w:sz w:val="22"/>
                <w:szCs w:val="22"/>
              </w:rPr>
              <w:t>.</w:t>
            </w:r>
          </w:p>
        </w:tc>
      </w:tr>
      <w:tr w:rsidR="000F66EE" w:rsidRPr="00580946" w14:paraId="2E3BEB22" w14:textId="77777777" w:rsidTr="00F17342">
        <w:trPr>
          <w:trHeight w:val="300"/>
        </w:trPr>
        <w:tc>
          <w:tcPr>
            <w:tcW w:w="750" w:type="dxa"/>
          </w:tcPr>
          <w:p w14:paraId="19E155AB" w14:textId="17D23C97" w:rsidR="000F66EE" w:rsidRPr="00580946" w:rsidRDefault="00B058F4" w:rsidP="00580946">
            <w:pPr>
              <w:jc w:val="both"/>
              <w:rPr>
                <w:rFonts w:cs="Tahoma"/>
                <w:b/>
                <w:lang w:val="en-US"/>
              </w:rPr>
            </w:pPr>
            <w:r w:rsidRPr="00580946">
              <w:rPr>
                <w:rFonts w:cs="Tahoma"/>
                <w:b/>
                <w:lang w:val="en-US"/>
              </w:rPr>
              <w:t>5.</w:t>
            </w:r>
          </w:p>
        </w:tc>
        <w:tc>
          <w:tcPr>
            <w:tcW w:w="3377" w:type="dxa"/>
          </w:tcPr>
          <w:p w14:paraId="74A04035" w14:textId="3E2C3362" w:rsidR="00B058F4" w:rsidRPr="00580946" w:rsidRDefault="000F66EE" w:rsidP="00580946">
            <w:pPr>
              <w:jc w:val="both"/>
              <w:rPr>
                <w:rFonts w:eastAsia="Calibri" w:cs="Tahoma"/>
                <w:b/>
                <w:bCs/>
              </w:rPr>
            </w:pPr>
            <w:r w:rsidRPr="00580946">
              <w:rPr>
                <w:rFonts w:eastAsia="Calibri" w:cs="Tahoma"/>
                <w:b/>
                <w:bCs/>
              </w:rPr>
              <w:t>Esamos padėties aprašymas</w:t>
            </w:r>
          </w:p>
        </w:tc>
        <w:tc>
          <w:tcPr>
            <w:tcW w:w="5507" w:type="dxa"/>
            <w:gridSpan w:val="2"/>
          </w:tcPr>
          <w:p w14:paraId="42CC2F35" w14:textId="71D8CA3F" w:rsidR="000F66EE" w:rsidRPr="00580946" w:rsidRDefault="00655D51" w:rsidP="00580946">
            <w:pPr>
              <w:pStyle w:val="Heading1"/>
              <w:jc w:val="both"/>
              <w:rPr>
                <w:rFonts w:ascii="Tahoma" w:eastAsia="Calibri" w:hAnsi="Tahoma" w:cs="Tahoma"/>
                <w:color w:val="auto"/>
                <w:sz w:val="22"/>
                <w:szCs w:val="22"/>
              </w:rPr>
            </w:pPr>
            <w:r w:rsidRPr="00580946">
              <w:rPr>
                <w:rFonts w:ascii="Tahoma" w:eastAsia="Calibri" w:hAnsi="Tahoma" w:cs="Tahoma"/>
                <w:color w:val="auto"/>
                <w:sz w:val="22"/>
                <w:szCs w:val="22"/>
              </w:rPr>
              <w:t xml:space="preserve">Valstybės įmonė Registrų centras neturi centralizuotos, nuolat atnaujinamos teisinės informacijos sistemos, užtikrinančios patikimą prieigą prie galiojančių teisės aktų, jų pakeitimų bei aktualios teismų praktikos. Teisinė informacija gali būti gaunama iš skirtingų šaltinių, o tai didina laiko sąnaudas, informacijos fragmentiškumą ir netikslios informacijos panaudojimo riziką. Dėl šios priežasties kyla poreikis įsigyti </w:t>
            </w:r>
            <w:r w:rsidR="00B77C55" w:rsidRPr="00580946">
              <w:rPr>
                <w:rFonts w:ascii="Tahoma" w:eastAsia="Calibri" w:hAnsi="Tahoma" w:cs="Tahoma"/>
                <w:color w:val="auto"/>
                <w:sz w:val="22"/>
                <w:szCs w:val="22"/>
              </w:rPr>
              <w:t xml:space="preserve">naudojimosi </w:t>
            </w:r>
            <w:r w:rsidR="00781A10">
              <w:rPr>
                <w:rFonts w:ascii="Tahoma" w:eastAsia="Calibri" w:hAnsi="Tahoma" w:cs="Tahoma"/>
                <w:color w:val="auto"/>
                <w:sz w:val="22"/>
                <w:szCs w:val="22"/>
              </w:rPr>
              <w:t>D</w:t>
            </w:r>
            <w:r w:rsidR="00B77C55" w:rsidRPr="00580946">
              <w:rPr>
                <w:rFonts w:ascii="Tahoma" w:eastAsia="Calibri" w:hAnsi="Tahoma" w:cs="Tahoma"/>
                <w:color w:val="auto"/>
                <w:sz w:val="22"/>
                <w:szCs w:val="22"/>
              </w:rPr>
              <w:t xml:space="preserve">uomenų bazėmis paslaugas. </w:t>
            </w:r>
          </w:p>
        </w:tc>
      </w:tr>
      <w:tr w:rsidR="002F119A" w:rsidRPr="00580946" w14:paraId="2E7588DB" w14:textId="77777777" w:rsidTr="00F17342">
        <w:trPr>
          <w:trHeight w:val="533"/>
        </w:trPr>
        <w:tc>
          <w:tcPr>
            <w:tcW w:w="750" w:type="dxa"/>
            <w:vMerge w:val="restart"/>
          </w:tcPr>
          <w:p w14:paraId="3BA6317F" w14:textId="28B0A711" w:rsidR="002F119A" w:rsidRPr="00580946" w:rsidRDefault="00B058F4" w:rsidP="00580946">
            <w:pPr>
              <w:jc w:val="both"/>
              <w:rPr>
                <w:rFonts w:cs="Tahoma"/>
                <w:b/>
              </w:rPr>
            </w:pPr>
            <w:r w:rsidRPr="00580946">
              <w:rPr>
                <w:rFonts w:cs="Tahoma"/>
                <w:b/>
              </w:rPr>
              <w:t>6.</w:t>
            </w:r>
          </w:p>
        </w:tc>
        <w:tc>
          <w:tcPr>
            <w:tcW w:w="3377" w:type="dxa"/>
            <w:vMerge w:val="restart"/>
          </w:tcPr>
          <w:p w14:paraId="4B5FFB9D" w14:textId="68C420E8" w:rsidR="002F119A" w:rsidRPr="00580946" w:rsidRDefault="002F119A" w:rsidP="00580946">
            <w:pPr>
              <w:jc w:val="both"/>
              <w:rPr>
                <w:rFonts w:cs="Tahoma"/>
                <w:b/>
              </w:rPr>
            </w:pPr>
            <w:r w:rsidRPr="00580946">
              <w:rPr>
                <w:rFonts w:cs="Tahoma"/>
                <w:b/>
                <w:color w:val="000000"/>
              </w:rPr>
              <w:t>Pirkimo objekto apimtys (kiekiai)</w:t>
            </w:r>
          </w:p>
        </w:tc>
        <w:tc>
          <w:tcPr>
            <w:tcW w:w="962" w:type="dxa"/>
          </w:tcPr>
          <w:p w14:paraId="3A7F5FBA" w14:textId="0BD28091" w:rsidR="002F119A" w:rsidRPr="00580946" w:rsidRDefault="009F32B8" w:rsidP="00580946">
            <w:pPr>
              <w:widowControl w:val="0"/>
              <w:tabs>
                <w:tab w:val="left" w:pos="1019"/>
              </w:tabs>
              <w:spacing w:before="40" w:after="40"/>
              <w:jc w:val="both"/>
              <w:rPr>
                <w:rFonts w:cs="Tahoma"/>
                <w:lang w:val="en-US"/>
              </w:rPr>
            </w:pPr>
            <w:r w:rsidRPr="00580946">
              <w:rPr>
                <w:rFonts w:cs="Tahoma"/>
                <w:lang w:val="en-US"/>
              </w:rPr>
              <w:t>24</w:t>
            </w:r>
          </w:p>
        </w:tc>
        <w:tc>
          <w:tcPr>
            <w:tcW w:w="4545" w:type="dxa"/>
          </w:tcPr>
          <w:p w14:paraId="7F77005A" w14:textId="44C3136D" w:rsidR="002F119A" w:rsidRPr="00580946" w:rsidRDefault="00000000" w:rsidP="00580946">
            <w:pPr>
              <w:widowControl w:val="0"/>
              <w:tabs>
                <w:tab w:val="left" w:pos="1019"/>
              </w:tabs>
              <w:spacing w:before="40" w:after="40"/>
              <w:jc w:val="both"/>
              <w:rPr>
                <w:rFonts w:cs="Tahoma"/>
              </w:rPr>
            </w:pP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Content>
                <w:r w:rsidR="009F32B8" w:rsidRPr="00580946">
                  <w:rPr>
                    <w:rFonts w:cs="Tahoma"/>
                  </w:rPr>
                  <w:t>vnt.</w:t>
                </w:r>
              </w:sdtContent>
            </w:sdt>
          </w:p>
          <w:p w14:paraId="77056DD3" w14:textId="77777777" w:rsidR="002F119A" w:rsidRPr="00580946" w:rsidRDefault="002F119A" w:rsidP="00580946">
            <w:pPr>
              <w:jc w:val="both"/>
              <w:rPr>
                <w:rFonts w:cs="Tahoma"/>
                <w:lang w:val="en-US"/>
              </w:rPr>
            </w:pPr>
          </w:p>
          <w:p w14:paraId="19B07D03" w14:textId="2DFACAFD" w:rsidR="00F17A29" w:rsidRPr="00580946" w:rsidRDefault="00F17A29" w:rsidP="00580946">
            <w:pPr>
              <w:jc w:val="both"/>
              <w:rPr>
                <w:rFonts w:cs="Tahoma"/>
                <w:lang w:val="en-US"/>
              </w:rPr>
            </w:pPr>
            <w:proofErr w:type="spellStart"/>
            <w:r w:rsidRPr="00580946">
              <w:rPr>
                <w:rFonts w:cs="Tahoma"/>
                <w:lang w:val="en-US"/>
              </w:rPr>
              <w:t>Reikaling</w:t>
            </w:r>
            <w:proofErr w:type="spellEnd"/>
            <w:r w:rsidRPr="00580946">
              <w:rPr>
                <w:rFonts w:cs="Tahoma"/>
              </w:rPr>
              <w:t>ų prieigų</w:t>
            </w:r>
            <w:r w:rsidR="00D90BC6">
              <w:rPr>
                <w:rFonts w:cs="Tahoma"/>
              </w:rPr>
              <w:t xml:space="preserve"> / prisijungimų</w:t>
            </w:r>
            <w:r w:rsidRPr="00580946">
              <w:rPr>
                <w:rFonts w:cs="Tahoma"/>
              </w:rPr>
              <w:t xml:space="preserve"> detalizacija</w:t>
            </w:r>
            <w:r w:rsidRPr="00580946">
              <w:rPr>
                <w:rFonts w:cs="Tahoma"/>
                <w:lang w:val="en-US"/>
              </w:rPr>
              <w:t>:</w:t>
            </w:r>
          </w:p>
          <w:p w14:paraId="608A2A34" w14:textId="704C1FBE" w:rsidR="009F32B8" w:rsidRPr="00580946" w:rsidRDefault="003F6530" w:rsidP="00580946">
            <w:pPr>
              <w:jc w:val="both"/>
              <w:rPr>
                <w:rFonts w:cs="Tahoma"/>
                <w:lang w:val="en-US"/>
              </w:rPr>
            </w:pPr>
            <w:r w:rsidRPr="00580946">
              <w:rPr>
                <w:rFonts w:cs="Tahoma"/>
                <w:lang w:val="en-US"/>
              </w:rPr>
              <w:t xml:space="preserve">3 </w:t>
            </w:r>
            <w:proofErr w:type="spellStart"/>
            <w:r w:rsidRPr="00580946">
              <w:rPr>
                <w:rFonts w:cs="Tahoma"/>
                <w:lang w:val="en-US"/>
              </w:rPr>
              <w:t>vnt</w:t>
            </w:r>
            <w:proofErr w:type="spellEnd"/>
            <w:r w:rsidRPr="00580946">
              <w:rPr>
                <w:rFonts w:cs="Tahoma"/>
                <w:lang w:val="en-US"/>
              </w:rPr>
              <w:t>.</w:t>
            </w:r>
            <w:r w:rsidR="0065287E">
              <w:rPr>
                <w:rFonts w:cs="Tahoma"/>
                <w:lang w:val="en-US"/>
              </w:rPr>
              <w:t xml:space="preserve"> </w:t>
            </w:r>
            <w:proofErr w:type="spellStart"/>
            <w:proofErr w:type="gramStart"/>
            <w:r w:rsidR="00D90BC6">
              <w:rPr>
                <w:rFonts w:cs="Tahoma"/>
                <w:lang w:val="en-US"/>
              </w:rPr>
              <w:t>prieigų</w:t>
            </w:r>
            <w:proofErr w:type="spellEnd"/>
            <w:proofErr w:type="gramEnd"/>
            <w:r w:rsidR="00D90BC6">
              <w:rPr>
                <w:rFonts w:cs="Tahoma"/>
                <w:lang w:val="en-US"/>
              </w:rPr>
              <w:t xml:space="preserve"> / </w:t>
            </w:r>
            <w:proofErr w:type="spellStart"/>
            <w:r w:rsidR="0035350E" w:rsidRPr="00580946">
              <w:rPr>
                <w:rFonts w:cs="Tahoma"/>
                <w:lang w:val="en-US"/>
              </w:rPr>
              <w:t>prisijungimų</w:t>
            </w:r>
            <w:proofErr w:type="spellEnd"/>
            <w:r w:rsidR="0035350E" w:rsidRPr="00580946">
              <w:rPr>
                <w:rFonts w:cs="Tahoma"/>
                <w:lang w:val="en-US"/>
              </w:rPr>
              <w:t xml:space="preserve"> </w:t>
            </w:r>
            <w:proofErr w:type="spellStart"/>
            <w:r w:rsidR="0035350E" w:rsidRPr="00580946">
              <w:rPr>
                <w:rFonts w:cs="Tahoma"/>
                <w:lang w:val="en-US"/>
              </w:rPr>
              <w:t>prie</w:t>
            </w:r>
            <w:proofErr w:type="spellEnd"/>
            <w:r w:rsidR="0035350E" w:rsidRPr="00580946">
              <w:rPr>
                <w:rFonts w:cs="Tahoma"/>
                <w:lang w:val="en-US"/>
              </w:rPr>
              <w:t xml:space="preserve"> </w:t>
            </w:r>
            <w:proofErr w:type="spellStart"/>
            <w:r w:rsidR="0035350E" w:rsidRPr="00580946">
              <w:rPr>
                <w:rFonts w:cs="Tahoma"/>
                <w:lang w:val="en-US"/>
              </w:rPr>
              <w:t>maksimalios</w:t>
            </w:r>
            <w:proofErr w:type="spellEnd"/>
            <w:r w:rsidR="009171F4" w:rsidRPr="00580946">
              <w:rPr>
                <w:rFonts w:cs="Tahoma"/>
                <w:lang w:val="en-US"/>
              </w:rPr>
              <w:t xml:space="preserve"> </w:t>
            </w:r>
            <w:proofErr w:type="spellStart"/>
            <w:r w:rsidR="009171F4" w:rsidRPr="00580946">
              <w:rPr>
                <w:rFonts w:cs="Tahoma"/>
                <w:lang w:val="en-US"/>
              </w:rPr>
              <w:t>apimties</w:t>
            </w:r>
            <w:proofErr w:type="spellEnd"/>
            <w:r w:rsidR="00781A10">
              <w:rPr>
                <w:rFonts w:cs="Tahoma"/>
                <w:lang w:val="en-US"/>
              </w:rPr>
              <w:t xml:space="preserve"> </w:t>
            </w:r>
            <w:proofErr w:type="spellStart"/>
            <w:r w:rsidR="00781A10">
              <w:rPr>
                <w:rFonts w:cs="Tahoma"/>
                <w:lang w:val="en-US"/>
              </w:rPr>
              <w:t>D</w:t>
            </w:r>
            <w:r w:rsidR="0035350E" w:rsidRPr="00580946">
              <w:rPr>
                <w:rFonts w:cs="Tahoma"/>
                <w:lang w:val="en-US"/>
              </w:rPr>
              <w:t>uomenų</w:t>
            </w:r>
            <w:proofErr w:type="spellEnd"/>
            <w:r w:rsidR="0035350E" w:rsidRPr="00580946">
              <w:rPr>
                <w:rFonts w:cs="Tahoma"/>
                <w:lang w:val="en-US"/>
              </w:rPr>
              <w:t xml:space="preserve"> </w:t>
            </w:r>
            <w:proofErr w:type="spellStart"/>
            <w:r w:rsidR="0035350E" w:rsidRPr="00580946">
              <w:rPr>
                <w:rFonts w:cs="Tahoma"/>
                <w:lang w:val="en-US"/>
              </w:rPr>
              <w:t>bazės</w:t>
            </w:r>
            <w:proofErr w:type="spellEnd"/>
            <w:r w:rsidR="0035350E" w:rsidRPr="00580946">
              <w:rPr>
                <w:rFonts w:cs="Tahoma"/>
                <w:lang w:val="en-US"/>
              </w:rPr>
              <w:t xml:space="preserve"> </w:t>
            </w:r>
            <w:proofErr w:type="spellStart"/>
            <w:r w:rsidR="0035350E" w:rsidRPr="00580946">
              <w:rPr>
                <w:rFonts w:cs="Tahoma"/>
                <w:lang w:val="en-US"/>
              </w:rPr>
              <w:t>paieškos</w:t>
            </w:r>
            <w:proofErr w:type="spellEnd"/>
            <w:r w:rsidR="0035350E" w:rsidRPr="00580946">
              <w:rPr>
                <w:rFonts w:cs="Tahoma"/>
                <w:lang w:val="en-US"/>
              </w:rPr>
              <w:t xml:space="preserve"> (</w:t>
            </w:r>
            <w:r w:rsidR="00387094" w:rsidRPr="00580946">
              <w:rPr>
                <w:rFonts w:cs="Tahoma"/>
                <w:lang w:val="en-US"/>
              </w:rPr>
              <w:t xml:space="preserve">Lietuvos </w:t>
            </w:r>
            <w:proofErr w:type="spellStart"/>
            <w:r w:rsidR="00387094" w:rsidRPr="00580946">
              <w:rPr>
                <w:rFonts w:cs="Tahoma"/>
                <w:lang w:val="en-US"/>
              </w:rPr>
              <w:t>Respublikos</w:t>
            </w:r>
            <w:proofErr w:type="spellEnd"/>
            <w:r w:rsidR="00387094" w:rsidRPr="00580946">
              <w:rPr>
                <w:rFonts w:cs="Tahoma"/>
                <w:lang w:val="en-US"/>
              </w:rPr>
              <w:t xml:space="preserve"> (</w:t>
            </w:r>
            <w:proofErr w:type="spellStart"/>
            <w:r w:rsidR="00387094" w:rsidRPr="00580946">
              <w:rPr>
                <w:rFonts w:cs="Tahoma"/>
                <w:lang w:val="en-US"/>
              </w:rPr>
              <w:t>toliau</w:t>
            </w:r>
            <w:proofErr w:type="spellEnd"/>
            <w:r w:rsidR="00387094" w:rsidRPr="00580946">
              <w:rPr>
                <w:rFonts w:cs="Tahoma"/>
                <w:lang w:val="en-US"/>
              </w:rPr>
              <w:t xml:space="preserve"> – LR)</w:t>
            </w:r>
            <w:r w:rsidR="0035350E" w:rsidRPr="00580946">
              <w:rPr>
                <w:rFonts w:cs="Tahoma"/>
                <w:lang w:val="en-US"/>
              </w:rPr>
              <w:t xml:space="preserve"> </w:t>
            </w:r>
            <w:proofErr w:type="spellStart"/>
            <w:r w:rsidR="0035350E" w:rsidRPr="00580946">
              <w:rPr>
                <w:rFonts w:cs="Tahoma"/>
                <w:lang w:val="en-US"/>
              </w:rPr>
              <w:t>ir</w:t>
            </w:r>
            <w:proofErr w:type="spellEnd"/>
            <w:r w:rsidR="0035350E" w:rsidRPr="00580946">
              <w:rPr>
                <w:rFonts w:cs="Tahoma"/>
                <w:lang w:val="en-US"/>
              </w:rPr>
              <w:t xml:space="preserve"> Europos </w:t>
            </w:r>
            <w:proofErr w:type="spellStart"/>
            <w:r w:rsidR="00387094" w:rsidRPr="00580946">
              <w:rPr>
                <w:rFonts w:cs="Tahoma"/>
                <w:lang w:val="en-US"/>
              </w:rPr>
              <w:t>S</w:t>
            </w:r>
            <w:r w:rsidR="0035350E" w:rsidRPr="00580946">
              <w:rPr>
                <w:rFonts w:cs="Tahoma"/>
                <w:lang w:val="en-US"/>
              </w:rPr>
              <w:t>ąjungos</w:t>
            </w:r>
            <w:proofErr w:type="spellEnd"/>
            <w:r w:rsidR="0035350E" w:rsidRPr="00580946">
              <w:rPr>
                <w:rFonts w:cs="Tahoma"/>
                <w:lang w:val="en-US"/>
              </w:rPr>
              <w:t xml:space="preserve"> </w:t>
            </w:r>
            <w:r w:rsidR="00387094" w:rsidRPr="00580946">
              <w:rPr>
                <w:rFonts w:cs="Tahoma"/>
                <w:lang w:val="en-US"/>
              </w:rPr>
              <w:t>(</w:t>
            </w:r>
            <w:proofErr w:type="spellStart"/>
            <w:r w:rsidR="00387094" w:rsidRPr="00580946">
              <w:rPr>
                <w:rFonts w:cs="Tahoma"/>
                <w:lang w:val="en-US"/>
              </w:rPr>
              <w:t>toliau</w:t>
            </w:r>
            <w:proofErr w:type="spellEnd"/>
            <w:r w:rsidR="00387094" w:rsidRPr="00580946">
              <w:rPr>
                <w:rFonts w:cs="Tahoma"/>
                <w:lang w:val="en-US"/>
              </w:rPr>
              <w:t xml:space="preserve"> – ES) </w:t>
            </w:r>
            <w:proofErr w:type="spellStart"/>
            <w:r w:rsidR="00387094" w:rsidRPr="00580946">
              <w:rPr>
                <w:rFonts w:cs="Tahoma"/>
                <w:lang w:val="en-US"/>
              </w:rPr>
              <w:t>teisės</w:t>
            </w:r>
            <w:proofErr w:type="spellEnd"/>
            <w:r w:rsidR="00387094" w:rsidRPr="00580946">
              <w:rPr>
                <w:rFonts w:cs="Tahoma"/>
                <w:lang w:val="en-US"/>
              </w:rPr>
              <w:t xml:space="preserve"> </w:t>
            </w:r>
            <w:proofErr w:type="spellStart"/>
            <w:r w:rsidR="00387094" w:rsidRPr="00580946">
              <w:rPr>
                <w:rFonts w:cs="Tahoma"/>
                <w:lang w:val="en-US"/>
              </w:rPr>
              <w:t>akt</w:t>
            </w:r>
            <w:r w:rsidR="00AF1B75" w:rsidRPr="00580946">
              <w:rPr>
                <w:rFonts w:cs="Tahoma"/>
                <w:lang w:val="en-US"/>
              </w:rPr>
              <w:t>ų</w:t>
            </w:r>
            <w:proofErr w:type="spellEnd"/>
            <w:r w:rsidR="00387094" w:rsidRPr="00580946">
              <w:rPr>
                <w:rFonts w:cs="Tahoma"/>
                <w:lang w:val="en-US"/>
              </w:rPr>
              <w:t xml:space="preserve"> </w:t>
            </w:r>
            <w:proofErr w:type="spellStart"/>
            <w:r w:rsidR="00387094" w:rsidRPr="00580946">
              <w:rPr>
                <w:rFonts w:cs="Tahoma"/>
                <w:lang w:val="en-US"/>
              </w:rPr>
              <w:t>bei</w:t>
            </w:r>
            <w:proofErr w:type="spellEnd"/>
            <w:r w:rsidR="009F19B8">
              <w:rPr>
                <w:rFonts w:cs="Tahoma"/>
                <w:lang w:val="en-US"/>
              </w:rPr>
              <w:t xml:space="preserve"> LR </w:t>
            </w:r>
            <w:proofErr w:type="spellStart"/>
            <w:r w:rsidR="009F19B8">
              <w:rPr>
                <w:rFonts w:cs="Tahoma"/>
                <w:lang w:val="en-US"/>
              </w:rPr>
              <w:t>ir</w:t>
            </w:r>
            <w:proofErr w:type="spellEnd"/>
            <w:r w:rsidR="009F19B8">
              <w:rPr>
                <w:rFonts w:cs="Tahoma"/>
                <w:lang w:val="en-US"/>
              </w:rPr>
              <w:t xml:space="preserve"> ES</w:t>
            </w:r>
            <w:r w:rsidR="00387094" w:rsidRPr="00580946">
              <w:rPr>
                <w:rFonts w:cs="Tahoma"/>
                <w:lang w:val="en-US"/>
              </w:rPr>
              <w:t xml:space="preserve"> </w:t>
            </w:r>
            <w:proofErr w:type="spellStart"/>
            <w:r w:rsidR="00387094" w:rsidRPr="00580946">
              <w:rPr>
                <w:rFonts w:cs="Tahoma"/>
                <w:lang w:val="en-US"/>
              </w:rPr>
              <w:t>teismų</w:t>
            </w:r>
            <w:proofErr w:type="spellEnd"/>
            <w:r w:rsidR="00387094" w:rsidRPr="00580946">
              <w:rPr>
                <w:rFonts w:cs="Tahoma"/>
                <w:lang w:val="en-US"/>
              </w:rPr>
              <w:t xml:space="preserve"> </w:t>
            </w:r>
            <w:proofErr w:type="spellStart"/>
            <w:r w:rsidR="00387094" w:rsidRPr="00580946">
              <w:rPr>
                <w:rFonts w:cs="Tahoma"/>
                <w:lang w:val="en-US"/>
              </w:rPr>
              <w:t>praktik</w:t>
            </w:r>
            <w:r w:rsidR="00AF1B75" w:rsidRPr="00580946">
              <w:rPr>
                <w:rFonts w:cs="Tahoma"/>
                <w:lang w:val="en-US"/>
              </w:rPr>
              <w:t>os</w:t>
            </w:r>
            <w:proofErr w:type="spellEnd"/>
            <w:r w:rsidR="00387094" w:rsidRPr="00580946">
              <w:rPr>
                <w:rFonts w:cs="Tahoma"/>
                <w:lang w:val="en-US"/>
              </w:rPr>
              <w:t xml:space="preserve"> </w:t>
            </w:r>
            <w:proofErr w:type="spellStart"/>
            <w:r w:rsidR="00387094" w:rsidRPr="00580946">
              <w:rPr>
                <w:rFonts w:cs="Tahoma"/>
                <w:lang w:val="en-US"/>
              </w:rPr>
              <w:t>bei</w:t>
            </w:r>
            <w:proofErr w:type="spellEnd"/>
            <w:r w:rsidR="00387094" w:rsidRPr="00580946">
              <w:rPr>
                <w:rFonts w:cs="Tahoma"/>
                <w:lang w:val="en-US"/>
              </w:rPr>
              <w:t xml:space="preserve"> L</w:t>
            </w:r>
            <w:r w:rsidR="009F19B8">
              <w:rPr>
                <w:rFonts w:cs="Tahoma"/>
                <w:lang w:val="en-US"/>
              </w:rPr>
              <w:t>R</w:t>
            </w:r>
            <w:r w:rsidR="00387094" w:rsidRPr="00580946">
              <w:rPr>
                <w:rFonts w:cs="Tahoma"/>
                <w:lang w:val="en-US"/>
              </w:rPr>
              <w:t xml:space="preserve"> </w:t>
            </w:r>
            <w:proofErr w:type="spellStart"/>
            <w:r w:rsidR="00387094" w:rsidRPr="00580946">
              <w:rPr>
                <w:rFonts w:cs="Tahoma"/>
                <w:lang w:val="en-US"/>
              </w:rPr>
              <w:t>teisės</w:t>
            </w:r>
            <w:proofErr w:type="spellEnd"/>
            <w:r w:rsidR="00387094" w:rsidRPr="00580946">
              <w:rPr>
                <w:rFonts w:cs="Tahoma"/>
                <w:lang w:val="en-US"/>
              </w:rPr>
              <w:t xml:space="preserve"> </w:t>
            </w:r>
            <w:proofErr w:type="spellStart"/>
            <w:r w:rsidR="00387094" w:rsidRPr="00580946">
              <w:rPr>
                <w:rFonts w:cs="Tahoma"/>
                <w:lang w:val="en-US"/>
              </w:rPr>
              <w:t>aktų</w:t>
            </w:r>
            <w:proofErr w:type="spellEnd"/>
            <w:r w:rsidR="00387094" w:rsidRPr="00580946">
              <w:rPr>
                <w:rFonts w:cs="Tahoma"/>
                <w:lang w:val="en-US"/>
              </w:rPr>
              <w:t xml:space="preserve"> </w:t>
            </w:r>
            <w:proofErr w:type="spellStart"/>
            <w:r w:rsidR="00387094" w:rsidRPr="00580946">
              <w:rPr>
                <w:rFonts w:cs="Tahoma"/>
                <w:lang w:val="en-US"/>
              </w:rPr>
              <w:t>projekt</w:t>
            </w:r>
            <w:r w:rsidR="0096431B" w:rsidRPr="00580946">
              <w:rPr>
                <w:rFonts w:cs="Tahoma"/>
                <w:lang w:val="en-US"/>
              </w:rPr>
              <w:t>ų</w:t>
            </w:r>
            <w:proofErr w:type="spellEnd"/>
            <w:r w:rsidR="00387094" w:rsidRPr="00580946">
              <w:rPr>
                <w:rFonts w:cs="Tahoma"/>
                <w:lang w:val="en-US"/>
              </w:rPr>
              <w:t>)</w:t>
            </w:r>
            <w:r w:rsidRPr="00580946">
              <w:rPr>
                <w:rFonts w:cs="Tahoma"/>
                <w:lang w:val="en-US"/>
              </w:rPr>
              <w:t>;</w:t>
            </w:r>
          </w:p>
          <w:p w14:paraId="36AB8CB7" w14:textId="588BDD6C" w:rsidR="003F6530" w:rsidRPr="00580946" w:rsidRDefault="003F6530" w:rsidP="00580946">
            <w:pPr>
              <w:jc w:val="both"/>
              <w:rPr>
                <w:rFonts w:cs="Tahoma"/>
              </w:rPr>
            </w:pPr>
            <w:r w:rsidRPr="00580946">
              <w:rPr>
                <w:rFonts w:cs="Tahoma"/>
                <w:lang w:val="sv-SE"/>
              </w:rPr>
              <w:t xml:space="preserve">14 vnt. </w:t>
            </w:r>
            <w:r w:rsidR="00D90BC6">
              <w:rPr>
                <w:rFonts w:cs="Tahoma"/>
                <w:lang w:val="sv-SE"/>
              </w:rPr>
              <w:t xml:space="preserve">prieigų / </w:t>
            </w:r>
            <w:r w:rsidR="00387094" w:rsidRPr="00580946">
              <w:rPr>
                <w:rFonts w:cs="Tahoma"/>
                <w:lang w:val="sv-SE"/>
              </w:rPr>
              <w:t>prisijungimų prie LR ir ES t</w:t>
            </w:r>
            <w:r w:rsidRPr="00580946">
              <w:rPr>
                <w:rFonts w:cs="Tahoma"/>
                <w:lang w:val="sv-SE"/>
              </w:rPr>
              <w:t>eis</w:t>
            </w:r>
            <w:r w:rsidRPr="00580946">
              <w:rPr>
                <w:rFonts w:cs="Tahoma"/>
              </w:rPr>
              <w:t>ės akt</w:t>
            </w:r>
            <w:r w:rsidR="00387094" w:rsidRPr="00580946">
              <w:rPr>
                <w:rFonts w:cs="Tahoma"/>
              </w:rPr>
              <w:t>ų</w:t>
            </w:r>
            <w:r w:rsidR="00282599">
              <w:rPr>
                <w:rFonts w:cs="Tahoma"/>
              </w:rPr>
              <w:t xml:space="preserve"> </w:t>
            </w:r>
            <w:r w:rsidR="0096431B" w:rsidRPr="00580946">
              <w:rPr>
                <w:rFonts w:cs="Tahoma"/>
              </w:rPr>
              <w:t>ir</w:t>
            </w:r>
            <w:r w:rsidR="009F19B8">
              <w:rPr>
                <w:rFonts w:cs="Tahoma"/>
              </w:rPr>
              <w:t xml:space="preserve"> LR ir ES</w:t>
            </w:r>
            <w:r w:rsidR="0096431B" w:rsidRPr="00580946">
              <w:rPr>
                <w:rFonts w:cs="Tahoma"/>
              </w:rPr>
              <w:t xml:space="preserve"> </w:t>
            </w:r>
            <w:r w:rsidR="00387094" w:rsidRPr="00580946">
              <w:rPr>
                <w:rFonts w:cs="Tahoma"/>
              </w:rPr>
              <w:t>t</w:t>
            </w:r>
            <w:r w:rsidRPr="00580946">
              <w:rPr>
                <w:rFonts w:cs="Tahoma"/>
              </w:rPr>
              <w:t>eismų praktik</w:t>
            </w:r>
            <w:r w:rsidR="00387094" w:rsidRPr="00580946">
              <w:rPr>
                <w:rFonts w:cs="Tahoma"/>
              </w:rPr>
              <w:t xml:space="preserve">os  </w:t>
            </w:r>
            <w:r w:rsidR="00781A10">
              <w:rPr>
                <w:rFonts w:cs="Tahoma"/>
              </w:rPr>
              <w:t>D</w:t>
            </w:r>
            <w:r w:rsidR="00387094" w:rsidRPr="00580946">
              <w:rPr>
                <w:rFonts w:cs="Tahoma"/>
              </w:rPr>
              <w:t>uomenų bazės</w:t>
            </w:r>
            <w:r w:rsidRPr="00580946">
              <w:rPr>
                <w:rFonts w:cs="Tahoma"/>
              </w:rPr>
              <w:t>;</w:t>
            </w:r>
          </w:p>
          <w:p w14:paraId="25CB021E" w14:textId="08BA6436" w:rsidR="009F32B8" w:rsidRPr="00580946" w:rsidRDefault="003F6530" w:rsidP="00580946">
            <w:pPr>
              <w:jc w:val="both"/>
              <w:rPr>
                <w:rFonts w:cs="Tahoma"/>
              </w:rPr>
            </w:pPr>
            <w:r w:rsidRPr="00580946">
              <w:rPr>
                <w:rFonts w:cs="Tahoma"/>
              </w:rPr>
              <w:t>7 vnt.</w:t>
            </w:r>
            <w:r w:rsidR="00D90BC6">
              <w:rPr>
                <w:rFonts w:cs="Tahoma"/>
              </w:rPr>
              <w:t xml:space="preserve"> prieigų / </w:t>
            </w:r>
            <w:r w:rsidR="00387094" w:rsidRPr="00580946">
              <w:rPr>
                <w:rFonts w:cs="Tahoma"/>
              </w:rPr>
              <w:t xml:space="preserve"> prisijungimų prie LR ir ES</w:t>
            </w:r>
            <w:r w:rsidRPr="00580946">
              <w:rPr>
                <w:rFonts w:cs="Tahoma"/>
              </w:rPr>
              <w:t xml:space="preserve"> </w:t>
            </w:r>
            <w:r w:rsidR="00387094" w:rsidRPr="00580946">
              <w:rPr>
                <w:rFonts w:cs="Tahoma"/>
              </w:rPr>
              <w:t>t</w:t>
            </w:r>
            <w:r w:rsidRPr="00580946">
              <w:rPr>
                <w:rFonts w:cs="Tahoma"/>
              </w:rPr>
              <w:t>eismų praktik</w:t>
            </w:r>
            <w:r w:rsidR="00387094" w:rsidRPr="00580946">
              <w:rPr>
                <w:rFonts w:cs="Tahoma"/>
              </w:rPr>
              <w:t>os</w:t>
            </w:r>
            <w:r w:rsidR="0096431B" w:rsidRPr="00580946">
              <w:rPr>
                <w:rFonts w:cs="Tahoma"/>
              </w:rPr>
              <w:t xml:space="preserve"> </w:t>
            </w:r>
            <w:r w:rsidR="00781A10">
              <w:rPr>
                <w:rFonts w:cs="Tahoma"/>
              </w:rPr>
              <w:t>D</w:t>
            </w:r>
            <w:r w:rsidR="0096431B" w:rsidRPr="00580946">
              <w:rPr>
                <w:rFonts w:cs="Tahoma"/>
              </w:rPr>
              <w:t>uomenų bazės</w:t>
            </w:r>
            <w:r w:rsidRPr="00580946">
              <w:rPr>
                <w:rFonts w:cs="Tahoma"/>
              </w:rPr>
              <w:t>.</w:t>
            </w:r>
          </w:p>
          <w:p w14:paraId="3C449784" w14:textId="5475B5B4" w:rsidR="009F32B8" w:rsidRPr="00580946" w:rsidRDefault="009F32B8" w:rsidP="00580946">
            <w:pPr>
              <w:jc w:val="both"/>
              <w:rPr>
                <w:rFonts w:cs="Tahoma"/>
                <w:lang w:val="sv-SE"/>
              </w:rPr>
            </w:pPr>
          </w:p>
        </w:tc>
      </w:tr>
      <w:tr w:rsidR="0075727D" w:rsidRPr="00580946" w14:paraId="7D0648A3" w14:textId="77777777" w:rsidTr="00F17342">
        <w:trPr>
          <w:trHeight w:val="300"/>
        </w:trPr>
        <w:tc>
          <w:tcPr>
            <w:tcW w:w="750" w:type="dxa"/>
            <w:vMerge/>
          </w:tcPr>
          <w:p w14:paraId="0A9BBA52" w14:textId="77777777" w:rsidR="0075727D" w:rsidRPr="00580946" w:rsidRDefault="0075727D" w:rsidP="00580946">
            <w:pPr>
              <w:jc w:val="both"/>
              <w:rPr>
                <w:rFonts w:cs="Tahoma"/>
                <w:color w:val="000000"/>
              </w:rPr>
            </w:pPr>
          </w:p>
        </w:tc>
        <w:tc>
          <w:tcPr>
            <w:tcW w:w="3377" w:type="dxa"/>
            <w:vMerge/>
          </w:tcPr>
          <w:p w14:paraId="2F58E950" w14:textId="0C85F885" w:rsidR="0075727D" w:rsidRPr="00580946" w:rsidRDefault="0075727D" w:rsidP="00580946">
            <w:pPr>
              <w:jc w:val="both"/>
              <w:rPr>
                <w:rFonts w:cs="Tahoma"/>
                <w:color w:val="000000"/>
              </w:rPr>
            </w:pPr>
          </w:p>
        </w:tc>
        <w:tc>
          <w:tcPr>
            <w:tcW w:w="5507" w:type="dxa"/>
            <w:gridSpan w:val="2"/>
          </w:tcPr>
          <w:p w14:paraId="498B3893" w14:textId="71A31546" w:rsidR="0075727D" w:rsidRPr="00580946" w:rsidRDefault="00000000" w:rsidP="00580946">
            <w:pPr>
              <w:pStyle w:val="ListParagraph"/>
              <w:tabs>
                <w:tab w:val="left" w:pos="426"/>
              </w:tabs>
              <w:ind w:left="0" w:firstLine="0"/>
              <w:jc w:val="both"/>
              <w:rPr>
                <w:rFonts w:ascii="Tahoma" w:hAnsi="Tahoma" w:cs="Tahoma"/>
              </w:rPr>
            </w:pPr>
            <w:sdt>
              <w:sdtPr>
                <w:rPr>
                  <w:rFonts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Content>
                <w:r w:rsidR="00D90BC6">
                  <w:rPr>
                    <w:rFonts w:ascii="Tahoma" w:hAnsi="Tahoma" w:cs="Tahoma"/>
                  </w:rPr>
                  <w:t>-</w:t>
                </w:r>
              </w:sdtContent>
            </w:sdt>
            <w:r w:rsidR="00D90BC6" w:rsidRPr="00580946">
              <w:rPr>
                <w:rFonts w:ascii="Tahoma" w:hAnsi="Tahoma" w:cs="Tahoma"/>
              </w:rPr>
              <w:t xml:space="preserve">Užsakovas įsipareigoja nupirkti visą nurodytą </w:t>
            </w:r>
            <w:r w:rsidR="00D90BC6">
              <w:rPr>
                <w:rFonts w:ascii="Tahoma" w:hAnsi="Tahoma" w:cs="Tahoma"/>
              </w:rPr>
              <w:t>Paslaugų</w:t>
            </w:r>
            <w:r w:rsidR="00D90BC6" w:rsidRPr="00580946">
              <w:rPr>
                <w:rFonts w:ascii="Tahoma" w:hAnsi="Tahoma" w:cs="Tahoma"/>
              </w:rPr>
              <w:t xml:space="preserve"> kiekį sutarties vykdymo metu</w:t>
            </w:r>
            <w:r w:rsidR="008063E2">
              <w:rPr>
                <w:rFonts w:ascii="Tahoma" w:hAnsi="Tahoma" w:cs="Tahoma"/>
              </w:rPr>
              <w:t>.</w:t>
            </w:r>
          </w:p>
        </w:tc>
      </w:tr>
      <w:tr w:rsidR="00641CD5" w:rsidRPr="00580946" w14:paraId="24AA902A" w14:textId="77777777" w:rsidTr="00F17342">
        <w:trPr>
          <w:trHeight w:val="300"/>
        </w:trPr>
        <w:tc>
          <w:tcPr>
            <w:tcW w:w="750" w:type="dxa"/>
          </w:tcPr>
          <w:p w14:paraId="7F0A77F6" w14:textId="4F4A1046" w:rsidR="00641CD5" w:rsidRPr="00580946" w:rsidRDefault="00B058F4" w:rsidP="00580946">
            <w:pPr>
              <w:jc w:val="both"/>
              <w:rPr>
                <w:rFonts w:cs="Tahoma"/>
                <w:b/>
                <w:color w:val="000000"/>
              </w:rPr>
            </w:pPr>
            <w:r w:rsidRPr="00580946">
              <w:rPr>
                <w:rFonts w:cs="Tahoma"/>
                <w:b/>
                <w:color w:val="000000"/>
              </w:rPr>
              <w:t>7.</w:t>
            </w:r>
          </w:p>
        </w:tc>
        <w:tc>
          <w:tcPr>
            <w:tcW w:w="3377" w:type="dxa"/>
          </w:tcPr>
          <w:p w14:paraId="353D00B1" w14:textId="13DFFE2E" w:rsidR="00641CD5" w:rsidRPr="00580946" w:rsidRDefault="00641CD5" w:rsidP="00580946">
            <w:pPr>
              <w:pStyle w:val="ListParagraph"/>
              <w:tabs>
                <w:tab w:val="left" w:pos="426"/>
              </w:tabs>
              <w:ind w:left="0" w:firstLine="0"/>
              <w:jc w:val="both"/>
              <w:rPr>
                <w:rFonts w:ascii="Tahoma" w:hAnsi="Tahoma" w:cs="Tahoma"/>
                <w:b/>
              </w:rPr>
            </w:pPr>
            <w:r w:rsidRPr="00580946">
              <w:rPr>
                <w:rFonts w:ascii="Tahoma" w:hAnsi="Tahoma" w:cs="Tahoma"/>
                <w:b/>
              </w:rPr>
              <w:t>Pirkimo objekto skaidymas į dalis</w:t>
            </w:r>
          </w:p>
        </w:tc>
        <w:tc>
          <w:tcPr>
            <w:tcW w:w="5507" w:type="dxa"/>
            <w:gridSpan w:val="2"/>
          </w:tcPr>
          <w:p w14:paraId="4FA9157F" w14:textId="0AB248DD" w:rsidR="00641CD5" w:rsidRPr="00580946" w:rsidRDefault="00000000" w:rsidP="00580946">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9F32B8" w:rsidRPr="00580946">
                  <w:rPr>
                    <w:rFonts w:ascii="Tahoma" w:hAnsi="Tahoma" w:cs="Tahoma"/>
                  </w:rPr>
                  <w:t xml:space="preserve">neskaidomas </w:t>
                </w:r>
              </w:sdtContent>
            </w:sdt>
            <w:r w:rsidR="00641CD5" w:rsidRPr="00580946">
              <w:rPr>
                <w:rFonts w:ascii="Tahoma" w:hAnsi="Tahoma" w:cs="Tahoma"/>
              </w:rPr>
              <w:t xml:space="preserve">  </w:t>
            </w:r>
          </w:p>
        </w:tc>
      </w:tr>
      <w:tr w:rsidR="00641CD5" w:rsidRPr="00580946" w14:paraId="4A43CA18" w14:textId="77777777" w:rsidTr="00F17342">
        <w:trPr>
          <w:trHeight w:val="300"/>
        </w:trPr>
        <w:tc>
          <w:tcPr>
            <w:tcW w:w="750" w:type="dxa"/>
          </w:tcPr>
          <w:p w14:paraId="04B329F8" w14:textId="47641FE5" w:rsidR="00641CD5" w:rsidRPr="00580946" w:rsidRDefault="00B058F4" w:rsidP="00580946">
            <w:pPr>
              <w:jc w:val="both"/>
              <w:rPr>
                <w:rFonts w:cs="Tahoma"/>
                <w:b/>
                <w:color w:val="000000"/>
              </w:rPr>
            </w:pPr>
            <w:r w:rsidRPr="00580946">
              <w:rPr>
                <w:rFonts w:cs="Tahoma"/>
                <w:b/>
                <w:color w:val="000000"/>
              </w:rPr>
              <w:t>8</w:t>
            </w:r>
            <w:r w:rsidR="00641CD5" w:rsidRPr="00580946">
              <w:rPr>
                <w:rFonts w:cs="Tahoma"/>
                <w:b/>
                <w:color w:val="000000"/>
              </w:rPr>
              <w:t>.</w:t>
            </w:r>
          </w:p>
        </w:tc>
        <w:tc>
          <w:tcPr>
            <w:tcW w:w="8884" w:type="dxa"/>
            <w:gridSpan w:val="3"/>
          </w:tcPr>
          <w:p w14:paraId="5C2ECBE4" w14:textId="4AB55CA9" w:rsidR="0020634A" w:rsidRPr="00580946" w:rsidRDefault="000F66EE" w:rsidP="00580946">
            <w:pPr>
              <w:tabs>
                <w:tab w:val="left" w:pos="810"/>
                <w:tab w:val="left" w:pos="990"/>
              </w:tabs>
              <w:jc w:val="both"/>
              <w:rPr>
                <w:rFonts w:cs="Tahoma"/>
                <w:b/>
                <w:bCs/>
              </w:rPr>
            </w:pPr>
            <w:r w:rsidRPr="00580946">
              <w:rPr>
                <w:rFonts w:eastAsia="Calibri" w:cs="Tahoma"/>
                <w:b/>
                <w:bCs/>
              </w:rPr>
              <w:t>Pirkimo objekto aprašymas ir keliami reikalavimai:</w:t>
            </w:r>
          </w:p>
          <w:p w14:paraId="3CAAD1C2" w14:textId="7E19B8DA" w:rsidR="003F6530" w:rsidRPr="00580946" w:rsidRDefault="009171F4" w:rsidP="00580946">
            <w:pPr>
              <w:pStyle w:val="ListParagraph"/>
              <w:tabs>
                <w:tab w:val="left" w:pos="426"/>
              </w:tabs>
              <w:ind w:left="0" w:firstLine="0"/>
              <w:jc w:val="both"/>
              <w:rPr>
                <w:rFonts w:ascii="Tahoma" w:hAnsi="Tahoma" w:cs="Tahoma"/>
                <w:bCs/>
              </w:rPr>
            </w:pPr>
            <w:r w:rsidRPr="00580946">
              <w:rPr>
                <w:rFonts w:ascii="Tahoma" w:hAnsi="Tahoma" w:cs="Tahoma"/>
                <w:bCs/>
              </w:rPr>
              <w:t xml:space="preserve">8.1. Duomenų bazėje </w:t>
            </w:r>
            <w:r w:rsidR="00AA1C96" w:rsidRPr="00580946">
              <w:rPr>
                <w:rFonts w:ascii="Tahoma" w:hAnsi="Tahoma" w:cs="Tahoma"/>
                <w:bCs/>
              </w:rPr>
              <w:t>turi būti</w:t>
            </w:r>
            <w:r w:rsidR="0096431B" w:rsidRPr="00580946">
              <w:rPr>
                <w:rFonts w:ascii="Tahoma" w:hAnsi="Tahoma" w:cs="Tahoma"/>
                <w:bCs/>
              </w:rPr>
              <w:t xml:space="preserve"> aktualizuoti </w:t>
            </w:r>
            <w:r w:rsidR="00AA1C96" w:rsidRPr="00580946">
              <w:rPr>
                <w:rFonts w:ascii="Tahoma" w:hAnsi="Tahoma" w:cs="Tahoma"/>
                <w:bCs/>
              </w:rPr>
              <w:t>LR Seimo, LR Vyriausybės, LR Prezidento, LR Ministerijų bei kitų valstybinių institucijų priimti teisės aktai ir jais įgyvendinami Europos Sąjungos teisės aktai.</w:t>
            </w:r>
          </w:p>
          <w:p w14:paraId="034BAC33" w14:textId="347D0E45" w:rsidR="00AA1C96" w:rsidRPr="00580946" w:rsidRDefault="00AA1C96" w:rsidP="00580946">
            <w:pPr>
              <w:pStyle w:val="ListParagraph"/>
              <w:tabs>
                <w:tab w:val="left" w:pos="426"/>
              </w:tabs>
              <w:ind w:left="0" w:firstLine="0"/>
              <w:jc w:val="both"/>
              <w:rPr>
                <w:rFonts w:ascii="Tahoma" w:hAnsi="Tahoma" w:cs="Tahoma"/>
                <w:bCs/>
              </w:rPr>
            </w:pPr>
            <w:r w:rsidRPr="00580946">
              <w:rPr>
                <w:rFonts w:ascii="Tahoma" w:hAnsi="Tahoma" w:cs="Tahoma"/>
                <w:bCs/>
              </w:rPr>
              <w:t>8.2. Duomenų bazėje turi būti</w:t>
            </w:r>
            <w:r w:rsidR="00AF1B75" w:rsidRPr="00580946">
              <w:rPr>
                <w:rFonts w:ascii="Tahoma" w:hAnsi="Tahoma" w:cs="Tahoma"/>
                <w:bCs/>
              </w:rPr>
              <w:t xml:space="preserve"> LR teisės aktų projektai ir jų lydimieji dokumentai.</w:t>
            </w:r>
          </w:p>
          <w:p w14:paraId="3CDA18ED" w14:textId="291D4C5F" w:rsidR="00AF1B75" w:rsidRPr="00580946" w:rsidRDefault="00AF1B75" w:rsidP="00580946">
            <w:pPr>
              <w:pStyle w:val="ListParagraph"/>
              <w:tabs>
                <w:tab w:val="left" w:pos="426"/>
              </w:tabs>
              <w:ind w:left="0" w:firstLine="0"/>
              <w:jc w:val="both"/>
              <w:rPr>
                <w:rFonts w:ascii="Tahoma" w:hAnsi="Tahoma" w:cs="Tahoma"/>
                <w:bCs/>
              </w:rPr>
            </w:pPr>
            <w:r w:rsidRPr="00580946">
              <w:rPr>
                <w:rFonts w:ascii="Tahoma" w:hAnsi="Tahoma" w:cs="Tahoma"/>
                <w:bCs/>
              </w:rPr>
              <w:t>8.3.Duomenų bazėje turi būti visų instancijų LR teismų</w:t>
            </w:r>
            <w:r w:rsidR="00040E72" w:rsidRPr="00580946">
              <w:rPr>
                <w:rFonts w:ascii="Tahoma" w:hAnsi="Tahoma" w:cs="Tahoma"/>
                <w:bCs/>
              </w:rPr>
              <w:t xml:space="preserve"> praktika</w:t>
            </w:r>
            <w:r w:rsidR="001F7EAB">
              <w:rPr>
                <w:rFonts w:ascii="Tahoma" w:hAnsi="Tahoma" w:cs="Tahoma"/>
                <w:bCs/>
              </w:rPr>
              <w:t>, rinktinė praktika,</w:t>
            </w:r>
            <w:r w:rsidR="0096431B" w:rsidRPr="00580946">
              <w:rPr>
                <w:rFonts w:ascii="Tahoma" w:hAnsi="Tahoma" w:cs="Tahoma"/>
                <w:bCs/>
              </w:rPr>
              <w:t xml:space="preserve"> ir kitų institucijų (Vyriausiosios administracinių ginčų komisijos, Konkurencijos tarybos</w:t>
            </w:r>
            <w:r w:rsidR="00040E72" w:rsidRPr="00580946">
              <w:rPr>
                <w:rFonts w:ascii="Tahoma" w:hAnsi="Tahoma" w:cs="Tahoma"/>
                <w:bCs/>
              </w:rPr>
              <w:t>, Seimo kontrolierių įstaigos, Vyriausiosios tarnybinės etikos komisijos, mokestinių ginčų ir kt.) dokumentai</w:t>
            </w:r>
            <w:r w:rsidRPr="00580946">
              <w:rPr>
                <w:rFonts w:ascii="Tahoma" w:hAnsi="Tahoma" w:cs="Tahoma"/>
                <w:bCs/>
              </w:rPr>
              <w:t>, Europos Žmogaus teisių teismo bylose prieš LR priimti sprendimai, Europos Teisingumo teismo dokumentai.</w:t>
            </w:r>
          </w:p>
          <w:p w14:paraId="1272B628" w14:textId="77777777" w:rsidR="00D90BC6" w:rsidRDefault="00AF1B75" w:rsidP="00580946">
            <w:pPr>
              <w:pStyle w:val="ListParagraph"/>
              <w:tabs>
                <w:tab w:val="left" w:pos="426"/>
              </w:tabs>
              <w:ind w:left="0" w:firstLine="0"/>
              <w:jc w:val="both"/>
              <w:rPr>
                <w:rFonts w:ascii="Tahoma" w:hAnsi="Tahoma" w:cs="Tahoma"/>
                <w:bCs/>
              </w:rPr>
            </w:pPr>
            <w:r w:rsidRPr="00580946">
              <w:rPr>
                <w:rFonts w:ascii="Tahoma" w:hAnsi="Tahoma" w:cs="Tahoma"/>
                <w:bCs/>
              </w:rPr>
              <w:t>8.4. Duomenų bazėje turi būti pateikiamos suvestinės teisės aktų redakcijos.</w:t>
            </w:r>
          </w:p>
          <w:p w14:paraId="2D937535" w14:textId="18741E56" w:rsidR="00AF1B75" w:rsidRPr="009E6DCF" w:rsidRDefault="009E6DCF" w:rsidP="00580946">
            <w:pPr>
              <w:pStyle w:val="ListParagraph"/>
              <w:tabs>
                <w:tab w:val="left" w:pos="426"/>
              </w:tabs>
              <w:ind w:left="0" w:firstLine="0"/>
              <w:jc w:val="both"/>
              <w:rPr>
                <w:rFonts w:ascii="Tahoma" w:hAnsi="Tahoma" w:cs="Tahoma"/>
                <w:bCs/>
              </w:rPr>
            </w:pPr>
            <w:r>
              <w:rPr>
                <w:rFonts w:ascii="Tahoma" w:hAnsi="Tahoma" w:cs="Tahoma"/>
                <w:bCs/>
                <w:lang w:val="en-US"/>
              </w:rPr>
              <w:t xml:space="preserve">8.5 </w:t>
            </w:r>
            <w:r w:rsidR="00D90BC6" w:rsidRPr="0065287E">
              <w:rPr>
                <w:rFonts w:ascii="Tahoma" w:hAnsi="Tahoma" w:cs="Tahoma"/>
                <w:lang w:eastAsia="ar-SA"/>
              </w:rPr>
              <w:t>Duomenų bazė kiekvieną darbo dieną turi būti atnaujinama naujai priimtais dokumentais</w:t>
            </w:r>
            <w:r w:rsidRPr="0065287E">
              <w:rPr>
                <w:rFonts w:ascii="Tahoma" w:hAnsi="Tahoma" w:cs="Tahoma"/>
                <w:lang w:eastAsia="ar-SA"/>
              </w:rPr>
              <w:t>.</w:t>
            </w:r>
          </w:p>
          <w:p w14:paraId="5424E484" w14:textId="39BC7F1E" w:rsidR="00AF1B75" w:rsidRPr="00580946" w:rsidRDefault="00AF1B75" w:rsidP="00580946">
            <w:pPr>
              <w:pStyle w:val="ListParagraph"/>
              <w:tabs>
                <w:tab w:val="left" w:pos="426"/>
              </w:tabs>
              <w:ind w:left="0" w:firstLine="0"/>
              <w:jc w:val="both"/>
              <w:rPr>
                <w:rFonts w:ascii="Tahoma" w:hAnsi="Tahoma" w:cs="Tahoma"/>
                <w:bCs/>
              </w:rPr>
            </w:pPr>
            <w:r w:rsidRPr="00580946">
              <w:rPr>
                <w:rFonts w:ascii="Tahoma" w:hAnsi="Tahoma" w:cs="Tahoma"/>
                <w:bCs/>
              </w:rPr>
              <w:t>8.</w:t>
            </w:r>
            <w:r w:rsidR="009E6DCF">
              <w:rPr>
                <w:rFonts w:ascii="Tahoma" w:hAnsi="Tahoma" w:cs="Tahoma"/>
                <w:bCs/>
              </w:rPr>
              <w:t>6</w:t>
            </w:r>
            <w:r w:rsidRPr="00580946">
              <w:rPr>
                <w:rFonts w:ascii="Tahoma" w:hAnsi="Tahoma" w:cs="Tahoma"/>
                <w:bCs/>
              </w:rPr>
              <w:t>. Duomenų bazėje teismų dokumentai ryšiais turi būti susieti su cituojamais teisės aktais, kitais teismų dokumentais bei turi būti matoma bylinėjimosi chronologija.</w:t>
            </w:r>
          </w:p>
          <w:p w14:paraId="75260C55" w14:textId="0F656C61" w:rsidR="00AF1B75" w:rsidRPr="00580946" w:rsidRDefault="00AF1B75" w:rsidP="00580946">
            <w:pPr>
              <w:tabs>
                <w:tab w:val="left" w:pos="426"/>
              </w:tabs>
              <w:jc w:val="both"/>
              <w:rPr>
                <w:rFonts w:cs="Tahoma"/>
                <w:bCs/>
              </w:rPr>
            </w:pPr>
            <w:r w:rsidRPr="00580946">
              <w:rPr>
                <w:rFonts w:cs="Tahoma"/>
                <w:bCs/>
              </w:rPr>
              <w:t>8.</w:t>
            </w:r>
            <w:r w:rsidR="009E6DCF">
              <w:rPr>
                <w:rFonts w:cs="Tahoma"/>
                <w:bCs/>
              </w:rPr>
              <w:t>7</w:t>
            </w:r>
            <w:r w:rsidRPr="00580946">
              <w:rPr>
                <w:rFonts w:cs="Tahoma"/>
                <w:bCs/>
              </w:rPr>
              <w:t>. Teisės aktai ir teismų praktikos informacijos paieška vykdoma tik lietuvių kalba ir paieškos rezultatai ir juos sudarantys dokumentai pateikiami tik lietuvių kalba. Turi būti galimybė ieškoti teismų sprendimų pagal proceso dalyvį (juridinį asmenį).</w:t>
            </w:r>
          </w:p>
          <w:p w14:paraId="3123A787" w14:textId="40FB8DD8" w:rsidR="00AF1B75" w:rsidRPr="00580946" w:rsidRDefault="00AF1B75" w:rsidP="00580946">
            <w:pPr>
              <w:tabs>
                <w:tab w:val="left" w:pos="426"/>
              </w:tabs>
              <w:jc w:val="both"/>
              <w:rPr>
                <w:rFonts w:cs="Tahoma"/>
                <w:bCs/>
              </w:rPr>
            </w:pPr>
            <w:r w:rsidRPr="00580946">
              <w:rPr>
                <w:rFonts w:cs="Tahoma"/>
                <w:bCs/>
              </w:rPr>
              <w:t>8.</w:t>
            </w:r>
            <w:r w:rsidR="009E6DCF">
              <w:rPr>
                <w:rFonts w:cs="Tahoma"/>
                <w:bCs/>
              </w:rPr>
              <w:t>8</w:t>
            </w:r>
            <w:r w:rsidRPr="00580946">
              <w:rPr>
                <w:rFonts w:cs="Tahoma"/>
                <w:bCs/>
              </w:rPr>
              <w:t>. Duomenų bazėje esanti informacija turi būti nuolat atnaujinama.</w:t>
            </w:r>
          </w:p>
          <w:p w14:paraId="3FDEA848" w14:textId="0D7D71B0" w:rsidR="00AF1B75" w:rsidRDefault="00AF1B75" w:rsidP="00580946">
            <w:pPr>
              <w:tabs>
                <w:tab w:val="left" w:pos="426"/>
              </w:tabs>
              <w:jc w:val="both"/>
              <w:rPr>
                <w:rFonts w:cs="Tahoma"/>
                <w:bCs/>
              </w:rPr>
            </w:pPr>
            <w:r w:rsidRPr="00580946">
              <w:rPr>
                <w:rFonts w:cs="Tahoma"/>
                <w:bCs/>
              </w:rPr>
              <w:t>8.</w:t>
            </w:r>
            <w:r w:rsidR="009E6DCF">
              <w:rPr>
                <w:rFonts w:cs="Tahoma"/>
                <w:bCs/>
              </w:rPr>
              <w:t>9</w:t>
            </w:r>
            <w:r w:rsidRPr="00580946">
              <w:rPr>
                <w:rFonts w:cs="Tahoma"/>
                <w:bCs/>
              </w:rPr>
              <w:t>. Turi būti galimybė atsisiųsti ir išsisaugoti teisės aktus, atspausdinti tiek visą teisės aktą, tiek atskiras jo dalis bei atsisiųsti, išsaugoti ir atsispausdinti teismų dokumentus.</w:t>
            </w:r>
          </w:p>
          <w:p w14:paraId="2C02CC13" w14:textId="207F14BA" w:rsidR="00D90BC6" w:rsidRPr="009E6DCF" w:rsidRDefault="009E6DCF" w:rsidP="00580946">
            <w:pPr>
              <w:tabs>
                <w:tab w:val="left" w:pos="426"/>
              </w:tabs>
              <w:jc w:val="both"/>
              <w:rPr>
                <w:rFonts w:cs="Tahoma"/>
                <w:bCs/>
              </w:rPr>
            </w:pPr>
            <w:r>
              <w:rPr>
                <w:rFonts w:cs="Tahoma"/>
                <w:lang w:eastAsia="ar-SA"/>
              </w:rPr>
              <w:t xml:space="preserve">8.10. </w:t>
            </w:r>
            <w:r w:rsidR="00D90BC6" w:rsidRPr="0065287E">
              <w:rPr>
                <w:rFonts w:cs="Tahoma"/>
                <w:lang w:eastAsia="ar-SA"/>
              </w:rPr>
              <w:t xml:space="preserve">Kiekvienam </w:t>
            </w:r>
            <w:r w:rsidR="00EF604F">
              <w:rPr>
                <w:rFonts w:cs="Tahoma"/>
                <w:lang w:eastAsia="ar-SA"/>
              </w:rPr>
              <w:t>n</w:t>
            </w:r>
            <w:r w:rsidR="00D90BC6" w:rsidRPr="0065287E">
              <w:rPr>
                <w:rFonts w:cs="Tahoma"/>
                <w:lang w:eastAsia="ar-SA"/>
              </w:rPr>
              <w:t xml:space="preserve">audotojui, prisijungimui prie </w:t>
            </w:r>
            <w:r w:rsidR="00781A10">
              <w:rPr>
                <w:rFonts w:cs="Tahoma"/>
                <w:lang w:eastAsia="ar-SA"/>
              </w:rPr>
              <w:t>D</w:t>
            </w:r>
            <w:r w:rsidR="00D90BC6" w:rsidRPr="0065287E">
              <w:rPr>
                <w:rFonts w:cs="Tahoma"/>
                <w:lang w:eastAsia="ar-SA"/>
              </w:rPr>
              <w:t>uomen</w:t>
            </w:r>
            <w:r w:rsidR="008C1D8C" w:rsidRPr="0065287E">
              <w:rPr>
                <w:rFonts w:cs="Tahoma"/>
                <w:lang w:eastAsia="ar-SA"/>
              </w:rPr>
              <w:t>ų</w:t>
            </w:r>
            <w:r w:rsidR="00D90BC6" w:rsidRPr="0065287E">
              <w:rPr>
                <w:rFonts w:cs="Tahoma"/>
                <w:lang w:eastAsia="ar-SA"/>
              </w:rPr>
              <w:t xml:space="preserve"> bazės, turi būti sukurtas unikalus naudotojo prisijungimo vardas ir slaptažodis.</w:t>
            </w:r>
          </w:p>
          <w:p w14:paraId="62B01D98" w14:textId="464AE85B" w:rsidR="00B55E7B" w:rsidRDefault="00AF1B75" w:rsidP="00580946">
            <w:pPr>
              <w:tabs>
                <w:tab w:val="left" w:pos="426"/>
              </w:tabs>
              <w:jc w:val="both"/>
              <w:rPr>
                <w:rFonts w:cs="Tahoma"/>
                <w:bCs/>
              </w:rPr>
            </w:pPr>
            <w:r w:rsidRPr="00580946">
              <w:rPr>
                <w:rFonts w:cs="Tahoma"/>
                <w:bCs/>
              </w:rPr>
              <w:t>8.</w:t>
            </w:r>
            <w:r w:rsidR="009E6DCF">
              <w:rPr>
                <w:rFonts w:cs="Tahoma"/>
                <w:bCs/>
              </w:rPr>
              <w:t>11</w:t>
            </w:r>
            <w:r w:rsidRPr="00580946">
              <w:rPr>
                <w:rFonts w:cs="Tahoma"/>
                <w:bCs/>
              </w:rPr>
              <w:t>. Naudotojas turi turėti galimybę naudotis asmenine paskyra, kurioje būtų pateikiama naudotojo naršymo istorija, peržiūrėtų dokumentų istorija, naudotojas savo paskyroje turi turėti galimybę klasifikuoti naudotojui reikalingus teisės aktus ir teismų praktiką.</w:t>
            </w:r>
          </w:p>
          <w:p w14:paraId="15FD2213" w14:textId="77777777" w:rsidR="00EF604F" w:rsidRDefault="00EF604F" w:rsidP="00580946">
            <w:pPr>
              <w:tabs>
                <w:tab w:val="left" w:pos="426"/>
              </w:tabs>
              <w:jc w:val="both"/>
              <w:rPr>
                <w:rFonts w:cs="Tahoma"/>
              </w:rPr>
            </w:pPr>
            <w:r>
              <w:rPr>
                <w:rFonts w:cs="Tahoma"/>
              </w:rPr>
              <w:t xml:space="preserve">8.12. Prieiga/prisijungimai prie </w:t>
            </w:r>
            <w:r w:rsidR="00280CA6">
              <w:rPr>
                <w:rFonts w:cs="Tahoma"/>
              </w:rPr>
              <w:t>D</w:t>
            </w:r>
            <w:r>
              <w:rPr>
                <w:rFonts w:cs="Tahoma"/>
              </w:rPr>
              <w:t xml:space="preserve">uomenų bazės naudotojams suteikiami nuo </w:t>
            </w:r>
            <w:r>
              <w:rPr>
                <w:rFonts w:cs="Tahoma"/>
                <w:lang w:val="en-US"/>
              </w:rPr>
              <w:t xml:space="preserve">10 p. </w:t>
            </w:r>
            <w:proofErr w:type="spellStart"/>
            <w:r>
              <w:rPr>
                <w:rFonts w:cs="Tahoma"/>
                <w:lang w:val="en-US"/>
              </w:rPr>
              <w:t>nurodyto</w:t>
            </w:r>
            <w:proofErr w:type="spellEnd"/>
            <w:r>
              <w:rPr>
                <w:rFonts w:cs="Tahoma"/>
                <w:lang w:val="en-US"/>
              </w:rPr>
              <w:t xml:space="preserve"> </w:t>
            </w:r>
            <w:proofErr w:type="spellStart"/>
            <w:r>
              <w:rPr>
                <w:rFonts w:cs="Tahoma"/>
                <w:lang w:val="en-US"/>
              </w:rPr>
              <w:t>paslaug</w:t>
            </w:r>
            <w:proofErr w:type="spellEnd"/>
            <w:r>
              <w:rPr>
                <w:rFonts w:cs="Tahoma"/>
              </w:rPr>
              <w:t>ų teikimo termino pradžios.</w:t>
            </w:r>
          </w:p>
          <w:p w14:paraId="667E0ACB" w14:textId="13BD9F06" w:rsidR="00280CA6" w:rsidRPr="0065287E" w:rsidRDefault="00280CA6" w:rsidP="0065287E">
            <w:pPr>
              <w:tabs>
                <w:tab w:val="left" w:pos="0"/>
                <w:tab w:val="left" w:pos="380"/>
              </w:tabs>
              <w:suppressAutoHyphens/>
              <w:jc w:val="both"/>
              <w:rPr>
                <w:rFonts w:cs="Tahoma"/>
                <w:lang w:eastAsia="ar-SA"/>
              </w:rPr>
            </w:pPr>
            <w:r>
              <w:rPr>
                <w:rFonts w:cs="Tahoma"/>
                <w:lang w:val="en-US" w:eastAsia="ar-SA"/>
              </w:rPr>
              <w:t xml:space="preserve">8.13. </w:t>
            </w:r>
            <w:proofErr w:type="spellStart"/>
            <w:r>
              <w:rPr>
                <w:rFonts w:cs="Tahoma"/>
                <w:lang w:val="en-US" w:eastAsia="ar-SA"/>
              </w:rPr>
              <w:t>Naudotojai</w:t>
            </w:r>
            <w:proofErr w:type="spellEnd"/>
            <w:r w:rsidRPr="0065287E">
              <w:rPr>
                <w:rFonts w:cs="Tahoma"/>
                <w:lang w:eastAsia="ar-SA"/>
              </w:rPr>
              <w:t xml:space="preserve"> darbo dienomis darbo laiku, t. y. nuo aštuntos (8.00 val.) iki septynioliktos valandos (17.00 val.) turi turėti galimybę kreiptis pagalbos ir telefonu ir elektroniniu paštu į</w:t>
            </w:r>
            <w:r>
              <w:rPr>
                <w:rFonts w:cs="Tahoma"/>
                <w:lang w:eastAsia="ar-SA"/>
              </w:rPr>
              <w:t xml:space="preserve"> Tiekėją</w:t>
            </w:r>
            <w:r w:rsidRPr="0065287E">
              <w:rPr>
                <w:rFonts w:cs="Tahoma"/>
                <w:lang w:eastAsia="ar-SA"/>
              </w:rPr>
              <w:t>.</w:t>
            </w:r>
          </w:p>
          <w:p w14:paraId="0C70FFCA" w14:textId="40C08D14" w:rsidR="00280CA6" w:rsidRPr="0065287E" w:rsidRDefault="00280CA6" w:rsidP="0065287E">
            <w:pPr>
              <w:tabs>
                <w:tab w:val="left" w:pos="0"/>
                <w:tab w:val="left" w:pos="380"/>
              </w:tabs>
              <w:suppressAutoHyphens/>
              <w:jc w:val="both"/>
              <w:rPr>
                <w:rFonts w:cs="Tahoma"/>
                <w:lang w:eastAsia="ar-SA"/>
              </w:rPr>
            </w:pPr>
            <w:r>
              <w:rPr>
                <w:rFonts w:cs="Tahoma"/>
                <w:lang w:val="en-US" w:eastAsia="ar-SA"/>
              </w:rPr>
              <w:t xml:space="preserve">8.14. </w:t>
            </w:r>
            <w:r>
              <w:rPr>
                <w:rFonts w:cs="Tahoma"/>
                <w:lang w:eastAsia="ar-SA"/>
              </w:rPr>
              <w:t>Naudotojai</w:t>
            </w:r>
            <w:r w:rsidRPr="0065287E">
              <w:rPr>
                <w:rFonts w:cs="Tahoma"/>
                <w:lang w:eastAsia="ar-SA"/>
              </w:rPr>
              <w:t xml:space="preserve"> turi turėti galimybę pagal individualius poreikius išsaugoti dokumentus sistemos kataloguose.</w:t>
            </w:r>
          </w:p>
          <w:p w14:paraId="6611AD64" w14:textId="787FEF74" w:rsidR="00280CA6" w:rsidRPr="0065287E" w:rsidRDefault="00280CA6" w:rsidP="0065287E">
            <w:pPr>
              <w:tabs>
                <w:tab w:val="left" w:pos="0"/>
                <w:tab w:val="left" w:pos="380"/>
              </w:tabs>
              <w:suppressAutoHyphens/>
              <w:jc w:val="both"/>
              <w:rPr>
                <w:rFonts w:cs="Tahoma"/>
                <w:lang w:eastAsia="ar-SA"/>
              </w:rPr>
            </w:pPr>
            <w:r>
              <w:rPr>
                <w:rFonts w:cs="Tahoma"/>
                <w:lang w:eastAsia="ar-SA"/>
              </w:rPr>
              <w:t xml:space="preserve">8.15. </w:t>
            </w:r>
            <w:r w:rsidRPr="0065287E">
              <w:rPr>
                <w:rFonts w:cs="Tahoma"/>
                <w:lang w:eastAsia="ar-SA"/>
              </w:rPr>
              <w:t>Sistemoje turi būti pateikiama naudojimosi sistema instrukcija.</w:t>
            </w:r>
          </w:p>
          <w:p w14:paraId="6E1582B2" w14:textId="051CE641" w:rsidR="00280CA6" w:rsidRPr="00EF604F" w:rsidRDefault="00280CA6" w:rsidP="00280CA6">
            <w:pPr>
              <w:tabs>
                <w:tab w:val="left" w:pos="426"/>
              </w:tabs>
              <w:jc w:val="both"/>
              <w:rPr>
                <w:rFonts w:cs="Tahoma"/>
              </w:rPr>
            </w:pPr>
            <w:r>
              <w:rPr>
                <w:rFonts w:cs="Tahoma"/>
                <w:lang w:eastAsia="ar-SA"/>
              </w:rPr>
              <w:t>8.16. Naudotojai</w:t>
            </w:r>
            <w:r w:rsidRPr="0065287E">
              <w:rPr>
                <w:rFonts w:cs="Tahoma"/>
                <w:lang w:eastAsia="ar-SA"/>
              </w:rPr>
              <w:t xml:space="preserve"> turi turėti galimybę elektroniniu paštu gauti sistemos informaciją apie</w:t>
            </w:r>
            <w:r>
              <w:rPr>
                <w:rFonts w:cs="Tahoma"/>
                <w:lang w:eastAsia="ar-SA"/>
              </w:rPr>
              <w:t xml:space="preserve"> sukeltus</w:t>
            </w:r>
            <w:r w:rsidRPr="0065287E">
              <w:rPr>
                <w:rFonts w:cs="Tahoma"/>
                <w:lang w:eastAsia="ar-SA"/>
              </w:rPr>
              <w:t xml:space="preserve"> naujausius teisės aktus, prenumeruojamų teisės aktų pasikeitimus.</w:t>
            </w:r>
          </w:p>
        </w:tc>
      </w:tr>
      <w:tr w:rsidR="002F119A" w:rsidRPr="00580946" w14:paraId="699F589A" w14:textId="77777777" w:rsidTr="00F17342">
        <w:trPr>
          <w:trHeight w:val="300"/>
        </w:trPr>
        <w:tc>
          <w:tcPr>
            <w:tcW w:w="750" w:type="dxa"/>
          </w:tcPr>
          <w:p w14:paraId="4AE30742" w14:textId="159074E4" w:rsidR="002F119A" w:rsidRPr="00580946" w:rsidRDefault="00B058F4" w:rsidP="00580946">
            <w:pPr>
              <w:jc w:val="both"/>
              <w:rPr>
                <w:rFonts w:cs="Tahoma"/>
                <w:b/>
                <w:color w:val="000000"/>
              </w:rPr>
            </w:pPr>
            <w:r w:rsidRPr="00580946">
              <w:rPr>
                <w:rFonts w:cs="Tahoma"/>
                <w:b/>
                <w:color w:val="000000"/>
              </w:rPr>
              <w:t>9</w:t>
            </w:r>
            <w:r w:rsidR="002F119A" w:rsidRPr="00580946">
              <w:rPr>
                <w:rFonts w:cs="Tahoma"/>
                <w:b/>
                <w:color w:val="000000"/>
              </w:rPr>
              <w:t>.</w:t>
            </w:r>
          </w:p>
        </w:tc>
        <w:tc>
          <w:tcPr>
            <w:tcW w:w="3377" w:type="dxa"/>
          </w:tcPr>
          <w:p w14:paraId="6E101498" w14:textId="2B77E503" w:rsidR="002F119A" w:rsidRPr="00580946" w:rsidRDefault="001E0F85" w:rsidP="00580946">
            <w:pPr>
              <w:jc w:val="both"/>
              <w:rPr>
                <w:rFonts w:cs="Tahoma"/>
                <w:b/>
                <w:color w:val="000000"/>
              </w:rPr>
            </w:pPr>
            <w:r w:rsidRPr="00580946">
              <w:rPr>
                <w:rFonts w:cs="Tahoma"/>
                <w:b/>
                <w:bCs/>
              </w:rPr>
              <w:t>P</w:t>
            </w:r>
            <w:r w:rsidR="000F66EE" w:rsidRPr="00580946">
              <w:rPr>
                <w:rFonts w:cs="Tahoma"/>
                <w:b/>
                <w:bCs/>
              </w:rPr>
              <w:t>aslaugų teikimo vieta</w:t>
            </w:r>
          </w:p>
        </w:tc>
        <w:tc>
          <w:tcPr>
            <w:tcW w:w="5507" w:type="dxa"/>
            <w:gridSpan w:val="2"/>
          </w:tcPr>
          <w:p w14:paraId="05820FA8" w14:textId="570436F5" w:rsidR="002F119A" w:rsidRPr="00580946" w:rsidRDefault="00655D51" w:rsidP="00580946">
            <w:pPr>
              <w:tabs>
                <w:tab w:val="left" w:pos="810"/>
                <w:tab w:val="left" w:pos="990"/>
              </w:tabs>
              <w:jc w:val="both"/>
              <w:rPr>
                <w:rFonts w:cs="Tahoma"/>
              </w:rPr>
            </w:pPr>
            <w:r w:rsidRPr="00580946">
              <w:rPr>
                <w:rFonts w:cs="Tahoma"/>
              </w:rPr>
              <w:t>Nuotoliniu būdu.</w:t>
            </w:r>
          </w:p>
        </w:tc>
      </w:tr>
      <w:tr w:rsidR="00B64368" w:rsidRPr="00580946" w14:paraId="58149593" w14:textId="77777777" w:rsidTr="00F17342">
        <w:trPr>
          <w:trHeight w:val="300"/>
        </w:trPr>
        <w:tc>
          <w:tcPr>
            <w:tcW w:w="750" w:type="dxa"/>
          </w:tcPr>
          <w:p w14:paraId="34DEF414" w14:textId="45405F77" w:rsidR="00B64368" w:rsidRPr="00580946" w:rsidRDefault="00B058F4" w:rsidP="00580946">
            <w:pPr>
              <w:jc w:val="both"/>
              <w:rPr>
                <w:rFonts w:cs="Tahoma"/>
                <w:b/>
                <w:color w:val="000000"/>
              </w:rPr>
            </w:pPr>
            <w:r w:rsidRPr="00580946">
              <w:rPr>
                <w:rFonts w:cs="Tahoma"/>
                <w:b/>
                <w:color w:val="000000"/>
              </w:rPr>
              <w:t>10</w:t>
            </w:r>
            <w:r w:rsidR="006F1AD3" w:rsidRPr="00580946">
              <w:rPr>
                <w:rFonts w:cs="Tahoma"/>
                <w:b/>
                <w:color w:val="000000"/>
              </w:rPr>
              <w:t>.</w:t>
            </w:r>
          </w:p>
        </w:tc>
        <w:tc>
          <w:tcPr>
            <w:tcW w:w="3377" w:type="dxa"/>
          </w:tcPr>
          <w:p w14:paraId="1C48DA72" w14:textId="7FA88EF2" w:rsidR="00B64368" w:rsidRPr="00580946" w:rsidRDefault="001E0F85" w:rsidP="00580946">
            <w:pPr>
              <w:jc w:val="both"/>
              <w:rPr>
                <w:rFonts w:cs="Tahoma"/>
                <w:b/>
                <w:color w:val="000000"/>
              </w:rPr>
            </w:pPr>
            <w:r w:rsidRPr="00580946">
              <w:rPr>
                <w:rFonts w:cs="Tahoma"/>
                <w:b/>
                <w:bCs/>
              </w:rPr>
              <w:t>P</w:t>
            </w:r>
            <w:r w:rsidR="000F66EE" w:rsidRPr="00580946">
              <w:rPr>
                <w:rFonts w:cs="Tahoma"/>
                <w:b/>
                <w:bCs/>
              </w:rPr>
              <w:t>aslaugų  teikimo terminas</w:t>
            </w:r>
          </w:p>
        </w:tc>
        <w:tc>
          <w:tcPr>
            <w:tcW w:w="5507" w:type="dxa"/>
            <w:gridSpan w:val="2"/>
          </w:tcPr>
          <w:p w14:paraId="0AF79B7C" w14:textId="42C0BB28" w:rsidR="00B64368" w:rsidRPr="00580946" w:rsidRDefault="00655D51" w:rsidP="00580946">
            <w:pPr>
              <w:jc w:val="both"/>
              <w:rPr>
                <w:rFonts w:cs="Tahoma"/>
              </w:rPr>
            </w:pPr>
            <w:r w:rsidRPr="00580946">
              <w:rPr>
                <w:rFonts w:eastAsia="Calibri" w:cs="Tahoma"/>
                <w:bCs/>
              </w:rPr>
              <w:t xml:space="preserve">Paslaugos turi būti teikiamos 36 mėnesius nuo 2026 m. liepos </w:t>
            </w:r>
            <w:r w:rsidR="00580946" w:rsidRPr="00580946">
              <w:rPr>
                <w:rFonts w:eastAsia="Calibri" w:cs="Tahoma"/>
                <w:bCs/>
              </w:rPr>
              <w:t>1</w:t>
            </w:r>
            <w:r w:rsidR="0072116C">
              <w:rPr>
                <w:rFonts w:eastAsia="Calibri" w:cs="Tahoma"/>
                <w:bCs/>
                <w:lang w:val="en-US"/>
              </w:rPr>
              <w:t>8</w:t>
            </w:r>
            <w:r w:rsidR="00580946" w:rsidRPr="00580946">
              <w:rPr>
                <w:rFonts w:eastAsia="Calibri" w:cs="Tahoma"/>
                <w:bCs/>
              </w:rPr>
              <w:t xml:space="preserve"> </w:t>
            </w:r>
            <w:r w:rsidRPr="00580946">
              <w:rPr>
                <w:rFonts w:eastAsia="Calibri" w:cs="Tahoma"/>
                <w:bCs/>
              </w:rPr>
              <w:t>d.</w:t>
            </w:r>
          </w:p>
        </w:tc>
      </w:tr>
      <w:tr w:rsidR="00B64368" w:rsidRPr="00580946" w14:paraId="01781031" w14:textId="77777777" w:rsidTr="00F17342">
        <w:trPr>
          <w:trHeight w:val="300"/>
        </w:trPr>
        <w:tc>
          <w:tcPr>
            <w:tcW w:w="750" w:type="dxa"/>
          </w:tcPr>
          <w:p w14:paraId="71BAF14E" w14:textId="7CE764AD" w:rsidR="00B64368" w:rsidRPr="00580946" w:rsidRDefault="00B058F4" w:rsidP="00580946">
            <w:pPr>
              <w:jc w:val="both"/>
              <w:rPr>
                <w:rFonts w:cs="Tahoma"/>
                <w:b/>
              </w:rPr>
            </w:pPr>
            <w:r w:rsidRPr="00580946">
              <w:rPr>
                <w:rFonts w:cs="Tahoma"/>
                <w:b/>
              </w:rPr>
              <w:t>11</w:t>
            </w:r>
            <w:r w:rsidR="00CB53F8" w:rsidRPr="00580946">
              <w:rPr>
                <w:rFonts w:cs="Tahoma"/>
                <w:b/>
              </w:rPr>
              <w:t>.</w:t>
            </w:r>
          </w:p>
        </w:tc>
        <w:tc>
          <w:tcPr>
            <w:tcW w:w="3377" w:type="dxa"/>
          </w:tcPr>
          <w:p w14:paraId="69850D80" w14:textId="4354CF86" w:rsidR="00B64368" w:rsidRPr="00580946" w:rsidRDefault="00CB53F8" w:rsidP="00580946">
            <w:pPr>
              <w:jc w:val="both"/>
              <w:rPr>
                <w:rFonts w:cs="Tahoma"/>
                <w:b/>
                <w:bCs/>
              </w:rPr>
            </w:pPr>
            <w:r w:rsidRPr="00580946">
              <w:rPr>
                <w:rFonts w:cs="Tahoma"/>
                <w:b/>
                <w:bCs/>
              </w:rPr>
              <w:t>Atsiskaitymo tvarka</w:t>
            </w:r>
          </w:p>
        </w:tc>
        <w:tc>
          <w:tcPr>
            <w:tcW w:w="5507" w:type="dxa"/>
            <w:gridSpan w:val="2"/>
          </w:tcPr>
          <w:p w14:paraId="06F09C35" w14:textId="229609CF" w:rsidR="00C73F5C" w:rsidRPr="00580946" w:rsidRDefault="00C73F5C" w:rsidP="00580946">
            <w:pPr>
              <w:jc w:val="both"/>
              <w:rPr>
                <w:rFonts w:cs="Tahoma"/>
                <w:color w:val="000000"/>
              </w:rPr>
            </w:pPr>
            <w:r w:rsidRPr="00580946">
              <w:rPr>
                <w:rFonts w:cs="Tahoma"/>
                <w:color w:val="000000"/>
              </w:rPr>
              <w:t>11.1. Abiem šalims pasirašius perdavimo–priėmimo aktą, Užsakovas sumoka Tiekėjui už</w:t>
            </w:r>
            <w:r w:rsidR="0072116C">
              <w:rPr>
                <w:rFonts w:cs="Tahoma"/>
                <w:color w:val="000000"/>
              </w:rPr>
              <w:t xml:space="preserve"> suteiktas prieigas prie </w:t>
            </w:r>
            <w:r w:rsidR="00280CA6">
              <w:rPr>
                <w:rFonts w:cs="Tahoma"/>
                <w:color w:val="000000"/>
              </w:rPr>
              <w:t>Duomenų bazės</w:t>
            </w:r>
            <w:r w:rsidR="0072116C">
              <w:rPr>
                <w:rFonts w:cs="Tahoma"/>
                <w:color w:val="000000"/>
              </w:rPr>
              <w:t xml:space="preserve">. Apmokama už </w:t>
            </w:r>
            <w:r w:rsidR="00280CA6">
              <w:rPr>
                <w:rFonts w:cs="Tahoma"/>
                <w:color w:val="000000"/>
              </w:rPr>
              <w:t>P</w:t>
            </w:r>
            <w:r w:rsidR="0072116C">
              <w:rPr>
                <w:rFonts w:cs="Tahoma"/>
                <w:color w:val="000000"/>
              </w:rPr>
              <w:t>aslaugas, kurios bus teikiamos visą sutarties galiojimo laikotarpį</w:t>
            </w:r>
            <w:r w:rsidRPr="00580946">
              <w:rPr>
                <w:rFonts w:cs="Tahoma"/>
                <w:color w:val="000000"/>
              </w:rPr>
              <w:t xml:space="preserve"> mokėjimo pavedimu, lėšas pervesdamas į Tiekėjo banko sąskaitą, ne vėliau kaip per </w:t>
            </w:r>
            <w:r w:rsidRPr="00580946">
              <w:rPr>
                <w:rFonts w:cs="Tahoma"/>
                <w:b/>
                <w:color w:val="000000"/>
              </w:rPr>
              <w:t>[</w:t>
            </w:r>
            <w:sdt>
              <w:sdtPr>
                <w:rPr>
                  <w:rFonts w:cs="Tahoma"/>
                  <w:b/>
                  <w:color w:val="000000"/>
                </w:rPr>
                <w:id w:val="999319328"/>
                <w:placeholder>
                  <w:docPart w:val="53A9212229864CC3BF5D34C058A6ED17"/>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Content>
                <w:r w:rsidR="00580946" w:rsidRPr="00580946">
                  <w:rPr>
                    <w:rFonts w:cs="Tahoma"/>
                    <w:b/>
                    <w:color w:val="000000"/>
                  </w:rPr>
                  <w:t>30 (trisdešimt) kalendorinių dienų</w:t>
                </w:r>
              </w:sdtContent>
            </w:sdt>
            <w:r w:rsidRPr="00580946">
              <w:rPr>
                <w:rFonts w:cs="Tahoma"/>
                <w:b/>
                <w:color w:val="000000"/>
              </w:rPr>
              <w:t>]</w:t>
            </w:r>
            <w:r w:rsidRPr="00580946">
              <w:rPr>
                <w:rFonts w:cs="Tahoma"/>
                <w:color w:val="000000"/>
              </w:rPr>
              <w:t xml:space="preserve"> nuo sąskaitos faktūros priėmimo dienos.</w:t>
            </w:r>
          </w:p>
          <w:p w14:paraId="3063D891" w14:textId="070B3A9E" w:rsidR="00C73F5C" w:rsidRPr="00580946" w:rsidRDefault="00C73F5C" w:rsidP="00580946">
            <w:pPr>
              <w:jc w:val="both"/>
              <w:rPr>
                <w:rFonts w:cs="Tahoma"/>
              </w:rPr>
            </w:pPr>
            <w:r w:rsidRPr="00580946">
              <w:rPr>
                <w:rFonts w:cs="Tahoma"/>
                <w:color w:val="000000"/>
              </w:rPr>
              <w:t xml:space="preserve">11.2. </w:t>
            </w:r>
            <w:r w:rsidRPr="00580946">
              <w:rPr>
                <w:rFonts w:cs="Tahoma"/>
              </w:rPr>
              <w:t xml:space="preserve">Avansas Tiekėjui nebus mokamas. </w:t>
            </w:r>
          </w:p>
        </w:tc>
      </w:tr>
      <w:tr w:rsidR="00B64368" w:rsidRPr="00580946" w14:paraId="17868E8E" w14:textId="77777777" w:rsidTr="00F17342">
        <w:trPr>
          <w:trHeight w:val="300"/>
        </w:trPr>
        <w:tc>
          <w:tcPr>
            <w:tcW w:w="750" w:type="dxa"/>
          </w:tcPr>
          <w:p w14:paraId="7B00B4DA" w14:textId="56403042" w:rsidR="00B64368" w:rsidRPr="00580946" w:rsidRDefault="00B058F4" w:rsidP="00580946">
            <w:pPr>
              <w:jc w:val="both"/>
              <w:rPr>
                <w:rFonts w:cs="Tahoma"/>
                <w:b/>
              </w:rPr>
            </w:pPr>
            <w:r w:rsidRPr="00580946">
              <w:rPr>
                <w:rFonts w:cs="Tahoma"/>
                <w:b/>
              </w:rPr>
              <w:lastRenderedPageBreak/>
              <w:t>12</w:t>
            </w:r>
            <w:r w:rsidR="006F3E1B" w:rsidRPr="00580946">
              <w:rPr>
                <w:rFonts w:cs="Tahoma"/>
                <w:b/>
              </w:rPr>
              <w:t>.</w:t>
            </w:r>
          </w:p>
        </w:tc>
        <w:tc>
          <w:tcPr>
            <w:tcW w:w="3377" w:type="dxa"/>
          </w:tcPr>
          <w:p w14:paraId="3558851E" w14:textId="2FEAC6EC" w:rsidR="001C2D24" w:rsidRPr="00580946" w:rsidRDefault="001C2D24" w:rsidP="00580946">
            <w:pPr>
              <w:shd w:val="clear" w:color="auto" w:fill="FFFFFF"/>
              <w:jc w:val="both"/>
              <w:rPr>
                <w:rFonts w:eastAsia="Times New Roman" w:cs="Tahoma"/>
                <w:b/>
                <w:bCs/>
              </w:rPr>
            </w:pPr>
            <w:r w:rsidRPr="00580946">
              <w:rPr>
                <w:rFonts w:eastAsia="Times New Roman" w:cs="Tahoma"/>
                <w:b/>
                <w:bCs/>
              </w:rPr>
              <w:t>Garantija ir trūkumų šalinimas</w:t>
            </w:r>
          </w:p>
          <w:p w14:paraId="5D63C86F" w14:textId="37117F97" w:rsidR="00B64368" w:rsidRPr="00580946" w:rsidRDefault="00B64368" w:rsidP="00580946">
            <w:pPr>
              <w:jc w:val="both"/>
              <w:rPr>
                <w:rFonts w:cs="Tahoma"/>
                <w:b/>
              </w:rPr>
            </w:pPr>
          </w:p>
        </w:tc>
        <w:tc>
          <w:tcPr>
            <w:tcW w:w="5507" w:type="dxa"/>
            <w:gridSpan w:val="2"/>
          </w:tcPr>
          <w:p w14:paraId="46209A34" w14:textId="551CB011" w:rsidR="00B058F4" w:rsidRPr="00580946" w:rsidRDefault="00B058F4" w:rsidP="00580946">
            <w:pPr>
              <w:tabs>
                <w:tab w:val="left" w:pos="540"/>
              </w:tabs>
              <w:spacing w:before="60" w:after="60"/>
              <w:jc w:val="both"/>
              <w:rPr>
                <w:rFonts w:cs="Tahoma"/>
                <w:i/>
                <w:iCs/>
                <w:color w:val="767171" w:themeColor="background2" w:themeShade="80"/>
              </w:rPr>
            </w:pPr>
            <w:r w:rsidRPr="00580946">
              <w:rPr>
                <w:rFonts w:cs="Tahoma"/>
              </w:rPr>
              <w:t>12.1.</w:t>
            </w:r>
            <w:r w:rsidR="001C2D24" w:rsidRPr="00580946">
              <w:rPr>
                <w:rFonts w:cs="Tahoma"/>
              </w:rPr>
              <w:t xml:space="preserve"> Garantinis terminas  - </w:t>
            </w:r>
            <w:r w:rsidR="0020634A" w:rsidRPr="00580946">
              <w:rPr>
                <w:rFonts w:cs="Tahoma"/>
                <w:i/>
                <w:iCs/>
              </w:rPr>
              <w:t>netaikoma</w:t>
            </w:r>
            <w:r w:rsidR="001C2D24" w:rsidRPr="00580946">
              <w:rPr>
                <w:rFonts w:cs="Tahoma"/>
                <w:i/>
                <w:iCs/>
              </w:rPr>
              <w:t>.</w:t>
            </w:r>
          </w:p>
          <w:p w14:paraId="21ECE128" w14:textId="31D597C7" w:rsidR="001C2D24" w:rsidRPr="00580946" w:rsidRDefault="00B058F4" w:rsidP="00580946">
            <w:pPr>
              <w:tabs>
                <w:tab w:val="left" w:pos="540"/>
              </w:tabs>
              <w:spacing w:before="60" w:after="60"/>
              <w:jc w:val="both"/>
              <w:rPr>
                <w:rFonts w:cs="Tahoma"/>
              </w:rPr>
            </w:pPr>
            <w:r w:rsidRPr="00580946">
              <w:rPr>
                <w:rFonts w:cs="Tahoma"/>
              </w:rPr>
              <w:t xml:space="preserve">12.2. </w:t>
            </w:r>
            <w:r w:rsidR="001C2D24" w:rsidRPr="00580946">
              <w:rPr>
                <w:rFonts w:cs="Tahoma"/>
              </w:rPr>
              <w:t>Trūkumų šalinimo terminas – Tiekėjas privalo pašalinti trūkumus per</w:t>
            </w:r>
            <w:r w:rsidR="001C2D24" w:rsidRPr="00580946">
              <w:rPr>
                <w:rFonts w:cs="Tahoma"/>
                <w:i/>
              </w:rPr>
              <w:t xml:space="preserve"> </w:t>
            </w:r>
            <w:r w:rsidR="0020634A" w:rsidRPr="00580946">
              <w:rPr>
                <w:rFonts w:eastAsia="Times New Roman" w:cs="Tahoma"/>
              </w:rPr>
              <w:t>10 darbo dienų nuo informavimo apie pastebėtus trūkumus arba Šalių susitarimu nustatomas kitas trūkumų pašalinimo terminas, atsižvelgiant į trūkumų kritiškumo laipsnį.</w:t>
            </w:r>
          </w:p>
        </w:tc>
      </w:tr>
      <w:tr w:rsidR="0022174E" w:rsidRPr="00580946" w14:paraId="0E0C1AFB" w14:textId="77777777" w:rsidTr="00F17342">
        <w:trPr>
          <w:trHeight w:val="300"/>
        </w:trPr>
        <w:tc>
          <w:tcPr>
            <w:tcW w:w="750" w:type="dxa"/>
          </w:tcPr>
          <w:p w14:paraId="5B84105A" w14:textId="0E6FD303" w:rsidR="0022174E" w:rsidRPr="00580946" w:rsidRDefault="0022174E" w:rsidP="00580946">
            <w:pPr>
              <w:jc w:val="both"/>
              <w:rPr>
                <w:rFonts w:cs="Tahoma"/>
                <w:b/>
              </w:rPr>
            </w:pPr>
            <w:r w:rsidRPr="00580946">
              <w:rPr>
                <w:rFonts w:cs="Tahoma"/>
                <w:b/>
              </w:rPr>
              <w:t>13.</w:t>
            </w:r>
          </w:p>
        </w:tc>
        <w:tc>
          <w:tcPr>
            <w:tcW w:w="3377" w:type="dxa"/>
          </w:tcPr>
          <w:p w14:paraId="74742F13" w14:textId="12828ABC" w:rsidR="0022174E" w:rsidRPr="00580946" w:rsidRDefault="0022174E" w:rsidP="00580946">
            <w:pPr>
              <w:shd w:val="clear" w:color="auto" w:fill="FFFFFF"/>
              <w:jc w:val="both"/>
              <w:rPr>
                <w:rFonts w:eastAsia="Times New Roman" w:cs="Tahoma"/>
                <w:b/>
                <w:bCs/>
              </w:rPr>
            </w:pPr>
            <w:r w:rsidRPr="00580946">
              <w:rPr>
                <w:rFonts w:cs="Tahoma"/>
                <w:b/>
                <w:bCs/>
              </w:rPr>
              <w:t>Taikomi aplinkos apsaugos reikalavimai</w:t>
            </w:r>
          </w:p>
        </w:tc>
        <w:tc>
          <w:tcPr>
            <w:tcW w:w="5507" w:type="dxa"/>
            <w:gridSpan w:val="2"/>
          </w:tcPr>
          <w:p w14:paraId="283ED8B3" w14:textId="6A07D3D4" w:rsidR="0022174E" w:rsidRPr="00580946" w:rsidRDefault="0022174E" w:rsidP="00580946">
            <w:pPr>
              <w:tabs>
                <w:tab w:val="left" w:pos="540"/>
              </w:tabs>
              <w:spacing w:before="60" w:after="60"/>
              <w:jc w:val="both"/>
              <w:rPr>
                <w:rFonts w:cs="Tahoma"/>
              </w:rPr>
            </w:pPr>
            <w:r w:rsidRPr="00580946">
              <w:rPr>
                <w:rFonts w:cs="Tahoma"/>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4.4.3 puntu pirkimas laikomas žaliuoju.</w:t>
            </w:r>
          </w:p>
        </w:tc>
      </w:tr>
      <w:tr w:rsidR="00B64368" w:rsidRPr="00580946" w14:paraId="09952645" w14:textId="77777777" w:rsidTr="00F17342">
        <w:trPr>
          <w:trHeight w:val="300"/>
        </w:trPr>
        <w:tc>
          <w:tcPr>
            <w:tcW w:w="750" w:type="dxa"/>
          </w:tcPr>
          <w:p w14:paraId="0BA91C32" w14:textId="2324F82C" w:rsidR="00B64368" w:rsidRPr="00580946" w:rsidRDefault="00FE3836" w:rsidP="00580946">
            <w:pPr>
              <w:jc w:val="both"/>
              <w:rPr>
                <w:rFonts w:cs="Tahoma"/>
                <w:b/>
              </w:rPr>
            </w:pPr>
            <w:r w:rsidRPr="00580946">
              <w:rPr>
                <w:rFonts w:cs="Tahoma"/>
                <w:b/>
              </w:rPr>
              <w:t>1</w:t>
            </w:r>
            <w:r w:rsidR="0022174E" w:rsidRPr="00580946">
              <w:rPr>
                <w:rFonts w:cs="Tahoma"/>
                <w:b/>
                <w:lang w:val="en-US"/>
              </w:rPr>
              <w:t>4</w:t>
            </w:r>
            <w:r w:rsidRPr="00580946">
              <w:rPr>
                <w:rFonts w:cs="Tahoma"/>
                <w:b/>
              </w:rPr>
              <w:t>.</w:t>
            </w:r>
          </w:p>
        </w:tc>
        <w:tc>
          <w:tcPr>
            <w:tcW w:w="3377" w:type="dxa"/>
          </w:tcPr>
          <w:p w14:paraId="74B6A63C" w14:textId="7AD6BCED" w:rsidR="00B64368" w:rsidRPr="00580946" w:rsidRDefault="00B64368" w:rsidP="00580946">
            <w:pPr>
              <w:jc w:val="both"/>
              <w:rPr>
                <w:rFonts w:cs="Tahoma"/>
                <w:b/>
              </w:rPr>
            </w:pPr>
            <w:r w:rsidRPr="00580946">
              <w:rPr>
                <w:rFonts w:cs="Tahoma"/>
                <w:b/>
              </w:rPr>
              <w:t>Kartu pateikiami dokumentai</w:t>
            </w:r>
          </w:p>
        </w:tc>
        <w:tc>
          <w:tcPr>
            <w:tcW w:w="5507" w:type="dxa"/>
            <w:gridSpan w:val="2"/>
          </w:tcPr>
          <w:p w14:paraId="7F2DBE0C" w14:textId="77777777" w:rsidR="00B64368" w:rsidRPr="00580946" w:rsidRDefault="00117AF6" w:rsidP="00580946">
            <w:pPr>
              <w:tabs>
                <w:tab w:val="left" w:pos="540"/>
              </w:tabs>
              <w:spacing w:before="60" w:after="60"/>
              <w:jc w:val="both"/>
              <w:rPr>
                <w:rStyle w:val="Laukeliai"/>
                <w:rFonts w:ascii="Tahoma" w:hAnsi="Tahoma" w:cs="Tahoma"/>
                <w:iCs/>
                <w:sz w:val="22"/>
              </w:rPr>
            </w:pPr>
            <w:r w:rsidRPr="00580946">
              <w:rPr>
                <w:rStyle w:val="Laukeliai"/>
                <w:rFonts w:ascii="Tahoma" w:hAnsi="Tahoma" w:cs="Tahoma"/>
                <w:iCs/>
                <w:sz w:val="22"/>
              </w:rPr>
              <w:t>priėmimo-perdavimo aktai;</w:t>
            </w:r>
          </w:p>
          <w:p w14:paraId="1E143DD7" w14:textId="29F6D4C6" w:rsidR="001C2D24" w:rsidRPr="00580946" w:rsidRDefault="001C2D24" w:rsidP="00580946">
            <w:pPr>
              <w:tabs>
                <w:tab w:val="left" w:pos="540"/>
              </w:tabs>
              <w:spacing w:before="60" w:after="60"/>
              <w:jc w:val="both"/>
              <w:rPr>
                <w:rFonts w:cs="Tahoma"/>
                <w:iCs/>
              </w:rPr>
            </w:pPr>
            <w:r w:rsidRPr="00580946">
              <w:rPr>
                <w:rStyle w:val="Laukeliai"/>
                <w:rFonts w:ascii="Tahoma" w:hAnsi="Tahoma" w:cs="Tahoma"/>
                <w:iCs/>
                <w:sz w:val="22"/>
              </w:rPr>
              <w:t>sąskaita</w:t>
            </w:r>
            <w:r w:rsidR="00035A57" w:rsidRPr="00580946">
              <w:rPr>
                <w:rStyle w:val="Laukeliai"/>
                <w:rFonts w:ascii="Tahoma" w:hAnsi="Tahoma" w:cs="Tahoma"/>
                <w:iCs/>
                <w:color w:val="767171" w:themeColor="background2" w:themeShade="80"/>
                <w:sz w:val="22"/>
              </w:rPr>
              <w:t>.</w:t>
            </w:r>
          </w:p>
        </w:tc>
      </w:tr>
      <w:tr w:rsidR="00C87BAF" w:rsidRPr="00580946" w14:paraId="76A7C2B4" w14:textId="77777777" w:rsidTr="00F17342">
        <w:trPr>
          <w:trHeight w:val="300"/>
        </w:trPr>
        <w:tc>
          <w:tcPr>
            <w:tcW w:w="750" w:type="dxa"/>
          </w:tcPr>
          <w:p w14:paraId="3CE303DD" w14:textId="377CB161" w:rsidR="00C87BAF" w:rsidRPr="00580946" w:rsidRDefault="00FE3836" w:rsidP="00580946">
            <w:pPr>
              <w:jc w:val="both"/>
              <w:rPr>
                <w:rFonts w:cs="Tahoma"/>
                <w:b/>
              </w:rPr>
            </w:pPr>
            <w:r w:rsidRPr="00580946">
              <w:rPr>
                <w:rFonts w:cs="Tahoma"/>
                <w:b/>
              </w:rPr>
              <w:t>1</w:t>
            </w:r>
            <w:r w:rsidR="0022174E" w:rsidRPr="00580946">
              <w:rPr>
                <w:rFonts w:cs="Tahoma"/>
                <w:b/>
              </w:rPr>
              <w:t>5</w:t>
            </w:r>
            <w:r w:rsidRPr="00580946">
              <w:rPr>
                <w:rFonts w:cs="Tahoma"/>
                <w:b/>
              </w:rPr>
              <w:t>.</w:t>
            </w:r>
          </w:p>
        </w:tc>
        <w:tc>
          <w:tcPr>
            <w:tcW w:w="3377" w:type="dxa"/>
          </w:tcPr>
          <w:p w14:paraId="6C1805D5" w14:textId="70CBD832" w:rsidR="00C87BAF" w:rsidRPr="00580946" w:rsidRDefault="00C87BAF" w:rsidP="00580946">
            <w:pPr>
              <w:jc w:val="both"/>
              <w:rPr>
                <w:rFonts w:cs="Tahoma"/>
                <w:b/>
              </w:rPr>
            </w:pPr>
            <w:r w:rsidRPr="00580946">
              <w:rPr>
                <w:rFonts w:cs="Tahoma"/>
                <w:b/>
              </w:rPr>
              <w:t>Priedai</w:t>
            </w:r>
          </w:p>
        </w:tc>
        <w:tc>
          <w:tcPr>
            <w:tcW w:w="5507" w:type="dxa"/>
            <w:gridSpan w:val="2"/>
          </w:tcPr>
          <w:p w14:paraId="43D38CA2" w14:textId="6E19D967" w:rsidR="00C87BAF" w:rsidRPr="00580946" w:rsidRDefault="005E244B" w:rsidP="00580946">
            <w:pPr>
              <w:tabs>
                <w:tab w:val="left" w:pos="426"/>
              </w:tabs>
              <w:jc w:val="both"/>
              <w:rPr>
                <w:rFonts w:cs="Tahoma"/>
                <w:i/>
                <w:iCs/>
                <w:color w:val="0070C0"/>
              </w:rPr>
            </w:pPr>
            <w:r w:rsidRPr="00580946">
              <w:rPr>
                <w:rFonts w:cs="Tahoma"/>
                <w:color w:val="000000" w:themeColor="text1"/>
              </w:rPr>
              <w:t>-</w:t>
            </w:r>
          </w:p>
          <w:p w14:paraId="70A4A055" w14:textId="77777777" w:rsidR="00C87BAF" w:rsidRPr="00580946" w:rsidRDefault="00C87BAF" w:rsidP="00580946">
            <w:pPr>
              <w:tabs>
                <w:tab w:val="left" w:pos="851"/>
              </w:tabs>
              <w:spacing w:before="60" w:after="60"/>
              <w:jc w:val="both"/>
              <w:rPr>
                <w:rFonts w:cs="Tahoma"/>
              </w:rPr>
            </w:pPr>
          </w:p>
        </w:tc>
      </w:tr>
    </w:tbl>
    <w:p w14:paraId="39E9CB48" w14:textId="77777777" w:rsidR="002A7375" w:rsidRDefault="002A7375" w:rsidP="00580946">
      <w:pPr>
        <w:jc w:val="both"/>
        <w:rPr>
          <w:rFonts w:cs="Tahoma"/>
        </w:rPr>
      </w:pPr>
    </w:p>
    <w:p w14:paraId="3CC388EB" w14:textId="77777777" w:rsidR="008C1D8C" w:rsidRDefault="008C1D8C" w:rsidP="00580946">
      <w:pPr>
        <w:jc w:val="both"/>
        <w:rPr>
          <w:rFonts w:cs="Tahoma"/>
        </w:rPr>
      </w:pPr>
    </w:p>
    <w:p w14:paraId="102FE819" w14:textId="77777777" w:rsidR="008C1D8C" w:rsidRPr="00580946" w:rsidRDefault="008C1D8C" w:rsidP="00580946">
      <w:pPr>
        <w:jc w:val="both"/>
        <w:rPr>
          <w:rFonts w:cs="Tahoma"/>
        </w:rPr>
      </w:pPr>
    </w:p>
    <w:sectPr w:rsidR="008C1D8C" w:rsidRPr="00580946" w:rsidSect="00B72F2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4113" w14:textId="77777777" w:rsidR="00B132E1" w:rsidRDefault="00B132E1" w:rsidP="00DD3A79">
      <w:pPr>
        <w:spacing w:line="240" w:lineRule="auto"/>
      </w:pPr>
      <w:r>
        <w:separator/>
      </w:r>
    </w:p>
  </w:endnote>
  <w:endnote w:type="continuationSeparator" w:id="0">
    <w:p w14:paraId="3CCF6239" w14:textId="77777777" w:rsidR="00B132E1" w:rsidRDefault="00B132E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BD2A" w14:textId="77777777" w:rsidR="00B132E1" w:rsidRDefault="00B132E1" w:rsidP="00DD3A79">
      <w:pPr>
        <w:spacing w:line="240" w:lineRule="auto"/>
      </w:pPr>
      <w:r>
        <w:separator/>
      </w:r>
    </w:p>
  </w:footnote>
  <w:footnote w:type="continuationSeparator" w:id="0">
    <w:p w14:paraId="616A7F87" w14:textId="77777777" w:rsidR="00B132E1" w:rsidRDefault="00B132E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CB2694" w14:textId="38BE43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5241">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5241">
          <w:rPr>
            <w:rFonts w:cs="Tahoma"/>
            <w:bCs/>
            <w:noProof/>
          </w:rPr>
          <w:t>2</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C14E" w14:textId="77777777" w:rsidR="000F66EE" w:rsidRPr="00963D3D" w:rsidRDefault="000F66EE" w:rsidP="000F66EE">
    <w:pPr>
      <w:spacing w:line="240" w:lineRule="auto"/>
      <w:jc w:val="right"/>
      <w:rPr>
        <w:rFonts w:cs="Tahoma"/>
      </w:rPr>
    </w:pPr>
    <w:r w:rsidRPr="00963D3D">
      <w:rPr>
        <w:rFonts w:cs="Tahoma"/>
      </w:rPr>
      <w:t>Pirkimo sąlygų 2 priedas „Techninė specifikacija“</w:t>
    </w:r>
  </w:p>
  <w:p w14:paraId="47BB0B45" w14:textId="77777777" w:rsidR="000F66EE" w:rsidRDefault="000F6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322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ABF8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74A8CD4E"/>
    <w:lvl w:ilvl="0">
      <w:start w:val="1"/>
      <w:numFmt w:val="bullet"/>
      <w:pStyle w:val="Heading9"/>
      <w:lvlText w:val=""/>
      <w:lvlJc w:val="left"/>
      <w:pPr>
        <w:tabs>
          <w:tab w:val="num" w:pos="-720"/>
        </w:tabs>
        <w:ind w:left="-720" w:hanging="360"/>
      </w:pPr>
      <w:rPr>
        <w:rFonts w:ascii="Symbol" w:hAnsi="Symbol" w:hint="default"/>
      </w:rPr>
    </w:lvl>
  </w:abstractNum>
  <w:abstractNum w:abstractNumId="3"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414FB"/>
    <w:multiLevelType w:val="hybridMultilevel"/>
    <w:tmpl w:val="69E619F2"/>
    <w:lvl w:ilvl="0" w:tplc="CB68103E">
      <w:start w:val="9"/>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251772"/>
    <w:multiLevelType w:val="multilevel"/>
    <w:tmpl w:val="70284F08"/>
    <w:lvl w:ilvl="0">
      <w:start w:val="2"/>
      <w:numFmt w:val="decimal"/>
      <w:lvlText w:val="%1."/>
      <w:lvlJc w:val="left"/>
      <w:pPr>
        <w:ind w:left="390" w:hanging="390"/>
      </w:pPr>
      <w:rPr>
        <w:rFonts w:eastAsiaTheme="minorHAnsi" w:hint="default"/>
        <w:color w:val="auto"/>
      </w:rPr>
    </w:lvl>
    <w:lvl w:ilvl="1">
      <w:start w:val="1"/>
      <w:numFmt w:val="decimal"/>
      <w:lvlText w:val="%1.%2."/>
      <w:lvlJc w:val="left"/>
      <w:pPr>
        <w:ind w:left="1288" w:hanging="720"/>
      </w:pPr>
      <w:rPr>
        <w:rFonts w:eastAsiaTheme="minorHAnsi" w:hint="default"/>
        <w:color w:val="auto"/>
      </w:rPr>
    </w:lvl>
    <w:lvl w:ilvl="2">
      <w:start w:val="1"/>
      <w:numFmt w:val="decimal"/>
      <w:lvlText w:val="%1.%2.%3."/>
      <w:lvlJc w:val="left"/>
      <w:pPr>
        <w:ind w:left="1856" w:hanging="720"/>
      </w:pPr>
      <w:rPr>
        <w:rFonts w:eastAsiaTheme="minorHAnsi" w:hint="default"/>
        <w:color w:val="auto"/>
      </w:rPr>
    </w:lvl>
    <w:lvl w:ilvl="3">
      <w:start w:val="1"/>
      <w:numFmt w:val="decimal"/>
      <w:lvlText w:val="%1.%2.%3.%4."/>
      <w:lvlJc w:val="left"/>
      <w:pPr>
        <w:ind w:left="2784" w:hanging="1080"/>
      </w:pPr>
      <w:rPr>
        <w:rFonts w:eastAsiaTheme="minorHAnsi" w:hint="default"/>
        <w:color w:val="auto"/>
      </w:rPr>
    </w:lvl>
    <w:lvl w:ilvl="4">
      <w:start w:val="1"/>
      <w:numFmt w:val="decimal"/>
      <w:lvlText w:val="%1.%2.%3.%4.%5."/>
      <w:lvlJc w:val="left"/>
      <w:pPr>
        <w:ind w:left="3712" w:hanging="1440"/>
      </w:pPr>
      <w:rPr>
        <w:rFonts w:eastAsiaTheme="minorHAnsi" w:hint="default"/>
        <w:color w:val="auto"/>
      </w:rPr>
    </w:lvl>
    <w:lvl w:ilvl="5">
      <w:start w:val="1"/>
      <w:numFmt w:val="decimal"/>
      <w:lvlText w:val="%1.%2.%3.%4.%5.%6."/>
      <w:lvlJc w:val="left"/>
      <w:pPr>
        <w:ind w:left="4280" w:hanging="1440"/>
      </w:pPr>
      <w:rPr>
        <w:rFonts w:eastAsiaTheme="minorHAnsi" w:hint="default"/>
        <w:color w:val="auto"/>
      </w:rPr>
    </w:lvl>
    <w:lvl w:ilvl="6">
      <w:start w:val="1"/>
      <w:numFmt w:val="decimal"/>
      <w:lvlText w:val="%1.%2.%3.%4.%5.%6.%7."/>
      <w:lvlJc w:val="left"/>
      <w:pPr>
        <w:ind w:left="5208" w:hanging="1800"/>
      </w:pPr>
      <w:rPr>
        <w:rFonts w:eastAsiaTheme="minorHAnsi" w:hint="default"/>
        <w:color w:val="auto"/>
      </w:rPr>
    </w:lvl>
    <w:lvl w:ilvl="7">
      <w:start w:val="1"/>
      <w:numFmt w:val="decimal"/>
      <w:lvlText w:val="%1.%2.%3.%4.%5.%6.%7.%8."/>
      <w:lvlJc w:val="left"/>
      <w:pPr>
        <w:ind w:left="6136" w:hanging="2160"/>
      </w:pPr>
      <w:rPr>
        <w:rFonts w:eastAsiaTheme="minorHAnsi" w:hint="default"/>
        <w:color w:val="auto"/>
      </w:rPr>
    </w:lvl>
    <w:lvl w:ilvl="8">
      <w:start w:val="1"/>
      <w:numFmt w:val="decimal"/>
      <w:lvlText w:val="%1.%2.%3.%4.%5.%6.%7.%8.%9."/>
      <w:lvlJc w:val="left"/>
      <w:pPr>
        <w:ind w:left="6704" w:hanging="2160"/>
      </w:pPr>
      <w:rPr>
        <w:rFonts w:eastAsiaTheme="minorHAnsi" w:hint="default"/>
        <w:color w:val="auto"/>
      </w:rPr>
    </w:lvl>
  </w:abstractNum>
  <w:abstractNum w:abstractNumId="7"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C154C3"/>
    <w:multiLevelType w:val="multilevel"/>
    <w:tmpl w:val="0F242B90"/>
    <w:lvl w:ilvl="0">
      <w:start w:val="1"/>
      <w:numFmt w:val="decimal"/>
      <w:lvlText w:val="%1."/>
      <w:lvlJc w:val="left"/>
      <w:pPr>
        <w:ind w:left="1057" w:hanging="360"/>
      </w:pPr>
      <w:rPr>
        <w:rFonts w:hint="default"/>
        <w:i w:val="0"/>
        <w:iCs w:val="0"/>
        <w:color w:val="auto"/>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1417" w:hanging="720"/>
      </w:pPr>
      <w:rPr>
        <w:rFonts w:hint="default"/>
        <w:b/>
      </w:rPr>
    </w:lvl>
    <w:lvl w:ilvl="3">
      <w:start w:val="1"/>
      <w:numFmt w:val="decimal"/>
      <w:isLgl/>
      <w:lvlText w:val="%1.%2.%3.%4."/>
      <w:lvlJc w:val="left"/>
      <w:pPr>
        <w:ind w:left="1417" w:hanging="720"/>
      </w:pPr>
      <w:rPr>
        <w:rFonts w:hint="default"/>
        <w:b/>
      </w:rPr>
    </w:lvl>
    <w:lvl w:ilvl="4">
      <w:start w:val="1"/>
      <w:numFmt w:val="decimal"/>
      <w:isLgl/>
      <w:lvlText w:val="%1.%2.%3.%4.%5."/>
      <w:lvlJc w:val="left"/>
      <w:pPr>
        <w:ind w:left="1777" w:hanging="1080"/>
      </w:pPr>
      <w:rPr>
        <w:rFonts w:hint="default"/>
        <w:b/>
      </w:rPr>
    </w:lvl>
    <w:lvl w:ilvl="5">
      <w:start w:val="1"/>
      <w:numFmt w:val="decimal"/>
      <w:isLgl/>
      <w:lvlText w:val="%1.%2.%3.%4.%5.%6."/>
      <w:lvlJc w:val="left"/>
      <w:pPr>
        <w:ind w:left="1777" w:hanging="1080"/>
      </w:pPr>
      <w:rPr>
        <w:rFonts w:hint="default"/>
        <w:b/>
      </w:rPr>
    </w:lvl>
    <w:lvl w:ilvl="6">
      <w:start w:val="1"/>
      <w:numFmt w:val="decimal"/>
      <w:isLgl/>
      <w:lvlText w:val="%1.%2.%3.%4.%5.%6.%7."/>
      <w:lvlJc w:val="left"/>
      <w:pPr>
        <w:ind w:left="2137" w:hanging="1440"/>
      </w:pPr>
      <w:rPr>
        <w:rFonts w:hint="default"/>
        <w:b/>
      </w:rPr>
    </w:lvl>
    <w:lvl w:ilvl="7">
      <w:start w:val="1"/>
      <w:numFmt w:val="decimal"/>
      <w:isLgl/>
      <w:lvlText w:val="%1.%2.%3.%4.%5.%6.%7.%8."/>
      <w:lvlJc w:val="left"/>
      <w:pPr>
        <w:ind w:left="2137" w:hanging="1440"/>
      </w:pPr>
      <w:rPr>
        <w:rFonts w:hint="default"/>
        <w:b/>
      </w:rPr>
    </w:lvl>
    <w:lvl w:ilvl="8">
      <w:start w:val="1"/>
      <w:numFmt w:val="decimal"/>
      <w:isLgl/>
      <w:lvlText w:val="%1.%2.%3.%4.%5.%6.%7.%8.%9."/>
      <w:lvlJc w:val="left"/>
      <w:pPr>
        <w:ind w:left="2137" w:hanging="1440"/>
      </w:pPr>
      <w:rPr>
        <w:rFonts w:hint="default"/>
        <w:b/>
      </w:rPr>
    </w:lvl>
  </w:abstractNum>
  <w:abstractNum w:abstractNumId="9" w15:restartNumberingAfterBreak="0">
    <w:nsid w:val="2C8B6A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EE4AE5"/>
    <w:multiLevelType w:val="hybridMultilevel"/>
    <w:tmpl w:val="CC080DC6"/>
    <w:lvl w:ilvl="0" w:tplc="0427000F">
      <w:start w:val="1"/>
      <w:numFmt w:val="decimal"/>
      <w:lvlText w:val="%1."/>
      <w:lvlJc w:val="left"/>
      <w:pPr>
        <w:ind w:left="2137"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11"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B1746A"/>
    <w:multiLevelType w:val="multilevel"/>
    <w:tmpl w:val="B3E050CE"/>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431008"/>
    <w:multiLevelType w:val="hybridMultilevel"/>
    <w:tmpl w:val="6C9C2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DC356B"/>
    <w:multiLevelType w:val="hybridMultilevel"/>
    <w:tmpl w:val="ED045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8456F6"/>
    <w:multiLevelType w:val="multilevel"/>
    <w:tmpl w:val="E370FD4E"/>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5863724"/>
    <w:multiLevelType w:val="multilevel"/>
    <w:tmpl w:val="AD1A4ACC"/>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56EB3D75"/>
    <w:multiLevelType w:val="multilevel"/>
    <w:tmpl w:val="F378E06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A192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3A5793B"/>
    <w:multiLevelType w:val="multilevel"/>
    <w:tmpl w:val="6054E38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9937C7F"/>
    <w:multiLevelType w:val="hybridMultilevel"/>
    <w:tmpl w:val="C1E8593C"/>
    <w:lvl w:ilvl="0" w:tplc="0F300512">
      <w:numFmt w:val="bullet"/>
      <w:lvlText w:val="-"/>
      <w:lvlJc w:val="left"/>
      <w:pPr>
        <w:ind w:left="36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5E24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4663268">
    <w:abstractNumId w:val="26"/>
  </w:num>
  <w:num w:numId="2" w16cid:durableId="728112870">
    <w:abstractNumId w:val="28"/>
  </w:num>
  <w:num w:numId="3" w16cid:durableId="966200703">
    <w:abstractNumId w:val="7"/>
  </w:num>
  <w:num w:numId="4" w16cid:durableId="645202885">
    <w:abstractNumId w:val="18"/>
  </w:num>
  <w:num w:numId="5" w16cid:durableId="327445605">
    <w:abstractNumId w:val="4"/>
  </w:num>
  <w:num w:numId="6" w16cid:durableId="1588613169">
    <w:abstractNumId w:val="22"/>
  </w:num>
  <w:num w:numId="7" w16cid:durableId="1572232255">
    <w:abstractNumId w:val="17"/>
  </w:num>
  <w:num w:numId="8" w16cid:durableId="2128812948">
    <w:abstractNumId w:val="15"/>
  </w:num>
  <w:num w:numId="9" w16cid:durableId="887643121">
    <w:abstractNumId w:val="11"/>
  </w:num>
  <w:num w:numId="10" w16cid:durableId="1080756762">
    <w:abstractNumId w:val="14"/>
  </w:num>
  <w:num w:numId="11" w16cid:durableId="199978381">
    <w:abstractNumId w:val="2"/>
  </w:num>
  <w:num w:numId="12" w16cid:durableId="626743648">
    <w:abstractNumId w:val="3"/>
  </w:num>
  <w:num w:numId="13" w16cid:durableId="1324436571">
    <w:abstractNumId w:val="25"/>
  </w:num>
  <w:num w:numId="14" w16cid:durableId="1661932066">
    <w:abstractNumId w:val="16"/>
  </w:num>
  <w:num w:numId="15" w16cid:durableId="824514949">
    <w:abstractNumId w:val="5"/>
  </w:num>
  <w:num w:numId="16" w16cid:durableId="1323775568">
    <w:abstractNumId w:val="13"/>
  </w:num>
  <w:num w:numId="17" w16cid:durableId="855271917">
    <w:abstractNumId w:val="13"/>
  </w:num>
  <w:num w:numId="18" w16cid:durableId="1408073599">
    <w:abstractNumId w:val="16"/>
  </w:num>
  <w:num w:numId="19" w16cid:durableId="405617356">
    <w:abstractNumId w:val="8"/>
  </w:num>
  <w:num w:numId="20" w16cid:durableId="638342422">
    <w:abstractNumId w:val="6"/>
  </w:num>
  <w:num w:numId="21" w16cid:durableId="1191525452">
    <w:abstractNumId w:val="21"/>
  </w:num>
  <w:num w:numId="22" w16cid:durableId="851644681">
    <w:abstractNumId w:val="10"/>
  </w:num>
  <w:num w:numId="23" w16cid:durableId="1044060341">
    <w:abstractNumId w:val="12"/>
  </w:num>
  <w:num w:numId="24" w16cid:durableId="194464695">
    <w:abstractNumId w:val="27"/>
  </w:num>
  <w:num w:numId="25" w16cid:durableId="2025746432">
    <w:abstractNumId w:val="23"/>
  </w:num>
  <w:num w:numId="26" w16cid:durableId="1975330735">
    <w:abstractNumId w:val="9"/>
  </w:num>
  <w:num w:numId="27" w16cid:durableId="233784479">
    <w:abstractNumId w:val="1"/>
  </w:num>
  <w:num w:numId="28" w16cid:durableId="1139877370">
    <w:abstractNumId w:val="0"/>
  </w:num>
  <w:num w:numId="29" w16cid:durableId="78529898">
    <w:abstractNumId w:val="24"/>
  </w:num>
  <w:num w:numId="30" w16cid:durableId="689834998">
    <w:abstractNumId w:val="19"/>
  </w:num>
  <w:num w:numId="31" w16cid:durableId="193550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35A57"/>
    <w:rsid w:val="00040E72"/>
    <w:rsid w:val="00084026"/>
    <w:rsid w:val="00085525"/>
    <w:rsid w:val="000A1481"/>
    <w:rsid w:val="000B355D"/>
    <w:rsid w:val="000F66EE"/>
    <w:rsid w:val="0011404F"/>
    <w:rsid w:val="00117AF6"/>
    <w:rsid w:val="00124C90"/>
    <w:rsid w:val="001331C6"/>
    <w:rsid w:val="00165CCF"/>
    <w:rsid w:val="001665FF"/>
    <w:rsid w:val="00177333"/>
    <w:rsid w:val="001836E8"/>
    <w:rsid w:val="00186ABA"/>
    <w:rsid w:val="00191FF0"/>
    <w:rsid w:val="001C2D24"/>
    <w:rsid w:val="001C4A47"/>
    <w:rsid w:val="001D5638"/>
    <w:rsid w:val="001D613F"/>
    <w:rsid w:val="001E0F85"/>
    <w:rsid w:val="001F233E"/>
    <w:rsid w:val="001F4C11"/>
    <w:rsid w:val="001F7EAB"/>
    <w:rsid w:val="0020634A"/>
    <w:rsid w:val="0022174E"/>
    <w:rsid w:val="00222596"/>
    <w:rsid w:val="00241FC0"/>
    <w:rsid w:val="002446DC"/>
    <w:rsid w:val="0025178C"/>
    <w:rsid w:val="00280CA6"/>
    <w:rsid w:val="00281CE6"/>
    <w:rsid w:val="00282599"/>
    <w:rsid w:val="002A7375"/>
    <w:rsid w:val="002E15E4"/>
    <w:rsid w:val="002F119A"/>
    <w:rsid w:val="00301D2A"/>
    <w:rsid w:val="003308C6"/>
    <w:rsid w:val="00334764"/>
    <w:rsid w:val="0035350E"/>
    <w:rsid w:val="00363086"/>
    <w:rsid w:val="00377A0F"/>
    <w:rsid w:val="00385241"/>
    <w:rsid w:val="00387094"/>
    <w:rsid w:val="003879F1"/>
    <w:rsid w:val="003B54F6"/>
    <w:rsid w:val="003D15C8"/>
    <w:rsid w:val="003D79B7"/>
    <w:rsid w:val="003E3DA3"/>
    <w:rsid w:val="003E48E6"/>
    <w:rsid w:val="003F6530"/>
    <w:rsid w:val="00416E37"/>
    <w:rsid w:val="00430DE5"/>
    <w:rsid w:val="0046784B"/>
    <w:rsid w:val="004C631F"/>
    <w:rsid w:val="00507C85"/>
    <w:rsid w:val="00513A28"/>
    <w:rsid w:val="0052615C"/>
    <w:rsid w:val="00542F4A"/>
    <w:rsid w:val="00553307"/>
    <w:rsid w:val="005763CF"/>
    <w:rsid w:val="00580514"/>
    <w:rsid w:val="00580946"/>
    <w:rsid w:val="005A2071"/>
    <w:rsid w:val="005D2E58"/>
    <w:rsid w:val="005E244B"/>
    <w:rsid w:val="005F1D19"/>
    <w:rsid w:val="006204C6"/>
    <w:rsid w:val="00622532"/>
    <w:rsid w:val="00641CD5"/>
    <w:rsid w:val="0064249F"/>
    <w:rsid w:val="0065287E"/>
    <w:rsid w:val="00655D51"/>
    <w:rsid w:val="00666F21"/>
    <w:rsid w:val="00667200"/>
    <w:rsid w:val="00672D56"/>
    <w:rsid w:val="0068364F"/>
    <w:rsid w:val="00685F44"/>
    <w:rsid w:val="00693D05"/>
    <w:rsid w:val="00694E30"/>
    <w:rsid w:val="006A0610"/>
    <w:rsid w:val="006A108C"/>
    <w:rsid w:val="006C5FC5"/>
    <w:rsid w:val="006F1AD3"/>
    <w:rsid w:val="006F1F47"/>
    <w:rsid w:val="006F3916"/>
    <w:rsid w:val="006F3E1B"/>
    <w:rsid w:val="006F5138"/>
    <w:rsid w:val="00707A89"/>
    <w:rsid w:val="0072116C"/>
    <w:rsid w:val="007557EF"/>
    <w:rsid w:val="0075727D"/>
    <w:rsid w:val="0076599D"/>
    <w:rsid w:val="00781A10"/>
    <w:rsid w:val="00792993"/>
    <w:rsid w:val="007C04C6"/>
    <w:rsid w:val="007C284F"/>
    <w:rsid w:val="007F0F26"/>
    <w:rsid w:val="007F31FD"/>
    <w:rsid w:val="007F3B6A"/>
    <w:rsid w:val="00804E57"/>
    <w:rsid w:val="008063E2"/>
    <w:rsid w:val="008150B9"/>
    <w:rsid w:val="00832A0D"/>
    <w:rsid w:val="0083617F"/>
    <w:rsid w:val="00837E6C"/>
    <w:rsid w:val="008435F7"/>
    <w:rsid w:val="008562B0"/>
    <w:rsid w:val="00871A40"/>
    <w:rsid w:val="0087497A"/>
    <w:rsid w:val="008A2086"/>
    <w:rsid w:val="008A6379"/>
    <w:rsid w:val="008C1D8C"/>
    <w:rsid w:val="008C2143"/>
    <w:rsid w:val="008E20B7"/>
    <w:rsid w:val="00911875"/>
    <w:rsid w:val="009171F4"/>
    <w:rsid w:val="0096431B"/>
    <w:rsid w:val="009B5C9B"/>
    <w:rsid w:val="009D3D32"/>
    <w:rsid w:val="009E2741"/>
    <w:rsid w:val="009E6DCF"/>
    <w:rsid w:val="009F19B8"/>
    <w:rsid w:val="009F32B8"/>
    <w:rsid w:val="00A00459"/>
    <w:rsid w:val="00A00872"/>
    <w:rsid w:val="00A036CE"/>
    <w:rsid w:val="00A17EBE"/>
    <w:rsid w:val="00A21BFA"/>
    <w:rsid w:val="00A4110C"/>
    <w:rsid w:val="00A41DCD"/>
    <w:rsid w:val="00A9113F"/>
    <w:rsid w:val="00AA1C96"/>
    <w:rsid w:val="00AB2186"/>
    <w:rsid w:val="00AB57A3"/>
    <w:rsid w:val="00AD7FB7"/>
    <w:rsid w:val="00AF1B75"/>
    <w:rsid w:val="00B058F4"/>
    <w:rsid w:val="00B060F9"/>
    <w:rsid w:val="00B11792"/>
    <w:rsid w:val="00B132E1"/>
    <w:rsid w:val="00B25F4B"/>
    <w:rsid w:val="00B27BA1"/>
    <w:rsid w:val="00B33789"/>
    <w:rsid w:val="00B51EF2"/>
    <w:rsid w:val="00B537B8"/>
    <w:rsid w:val="00B5497A"/>
    <w:rsid w:val="00B55E7B"/>
    <w:rsid w:val="00B64368"/>
    <w:rsid w:val="00B72F2A"/>
    <w:rsid w:val="00B76466"/>
    <w:rsid w:val="00B77C55"/>
    <w:rsid w:val="00BB12A9"/>
    <w:rsid w:val="00BB2FBF"/>
    <w:rsid w:val="00BC39A7"/>
    <w:rsid w:val="00BD3BA2"/>
    <w:rsid w:val="00C064DF"/>
    <w:rsid w:val="00C2291E"/>
    <w:rsid w:val="00C252CD"/>
    <w:rsid w:val="00C41959"/>
    <w:rsid w:val="00C73F5C"/>
    <w:rsid w:val="00C740D3"/>
    <w:rsid w:val="00C765B9"/>
    <w:rsid w:val="00C81698"/>
    <w:rsid w:val="00C87BAF"/>
    <w:rsid w:val="00C938F1"/>
    <w:rsid w:val="00C97435"/>
    <w:rsid w:val="00CA01E7"/>
    <w:rsid w:val="00CA7D9C"/>
    <w:rsid w:val="00CB0562"/>
    <w:rsid w:val="00CB53F8"/>
    <w:rsid w:val="00CC07BD"/>
    <w:rsid w:val="00CD0702"/>
    <w:rsid w:val="00CD13D2"/>
    <w:rsid w:val="00D64013"/>
    <w:rsid w:val="00D753AB"/>
    <w:rsid w:val="00D90BC6"/>
    <w:rsid w:val="00DA0E0F"/>
    <w:rsid w:val="00DB1685"/>
    <w:rsid w:val="00DD3A79"/>
    <w:rsid w:val="00DD403D"/>
    <w:rsid w:val="00E01F80"/>
    <w:rsid w:val="00E2122E"/>
    <w:rsid w:val="00E36705"/>
    <w:rsid w:val="00E44707"/>
    <w:rsid w:val="00E5747A"/>
    <w:rsid w:val="00E771DD"/>
    <w:rsid w:val="00E77EA6"/>
    <w:rsid w:val="00E86F22"/>
    <w:rsid w:val="00ED0296"/>
    <w:rsid w:val="00EE2AAD"/>
    <w:rsid w:val="00EE64B8"/>
    <w:rsid w:val="00EF1417"/>
    <w:rsid w:val="00EF604F"/>
    <w:rsid w:val="00F110B3"/>
    <w:rsid w:val="00F17342"/>
    <w:rsid w:val="00F17A29"/>
    <w:rsid w:val="00F350AC"/>
    <w:rsid w:val="00F5038F"/>
    <w:rsid w:val="00FD50BE"/>
    <w:rsid w:val="00FD5A9B"/>
    <w:rsid w:val="00FD73F2"/>
    <w:rsid w:val="00FE3836"/>
    <w:rsid w:val="00FE6743"/>
    <w:rsid w:val="00FF09E7"/>
    <w:rsid w:val="04278AA4"/>
    <w:rsid w:val="0439ABA7"/>
    <w:rsid w:val="0730A7D9"/>
    <w:rsid w:val="0DDB3EB8"/>
    <w:rsid w:val="1698686F"/>
    <w:rsid w:val="1A7E8B12"/>
    <w:rsid w:val="3EC68685"/>
    <w:rsid w:val="3F66DC50"/>
    <w:rsid w:val="437584B9"/>
    <w:rsid w:val="4574014B"/>
    <w:rsid w:val="46BAC35C"/>
    <w:rsid w:val="47D990BE"/>
    <w:rsid w:val="4C8697CA"/>
    <w:rsid w:val="535C0E91"/>
    <w:rsid w:val="54302047"/>
    <w:rsid w:val="56DC5F17"/>
    <w:rsid w:val="57F5F5F6"/>
    <w:rsid w:val="5C0E8CCB"/>
    <w:rsid w:val="5F7D8D3B"/>
    <w:rsid w:val="5FD14FD6"/>
    <w:rsid w:val="6C2C46CA"/>
    <w:rsid w:val="7209395F"/>
    <w:rsid w:val="73F51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124C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Bullet"/>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customStyle="1" w:styleId="Heading1Char">
    <w:name w:val="Heading 1 Char"/>
    <w:basedOn w:val="DefaultParagraphFont"/>
    <w:link w:val="Heading1"/>
    <w:uiPriority w:val="9"/>
    <w:rsid w:val="00124C9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F17A2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3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
      <w:docPartPr>
        <w:name w:val="53A9212229864CC3BF5D34C058A6ED17"/>
        <w:category>
          <w:name w:val="General"/>
          <w:gallery w:val="placeholder"/>
        </w:category>
        <w:types>
          <w:type w:val="bbPlcHdr"/>
        </w:types>
        <w:behaviors>
          <w:behavior w:val="content"/>
        </w:behaviors>
        <w:guid w:val="{53C14BEB-299D-4899-A773-41E08B3EFEF2}"/>
      </w:docPartPr>
      <w:docPartBody>
        <w:p w:rsidR="00B173E8" w:rsidRDefault="00E50CA2" w:rsidP="00E50CA2">
          <w:pPr>
            <w:pStyle w:val="53A9212229864CC3BF5D34C058A6ED17"/>
          </w:pPr>
          <w:r w:rsidRPr="0032252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651A6"/>
    <w:rsid w:val="00085E03"/>
    <w:rsid w:val="00095726"/>
    <w:rsid w:val="000D5CD7"/>
    <w:rsid w:val="000D7B92"/>
    <w:rsid w:val="001331C6"/>
    <w:rsid w:val="001665FF"/>
    <w:rsid w:val="0018152D"/>
    <w:rsid w:val="001C4A47"/>
    <w:rsid w:val="001D5638"/>
    <w:rsid w:val="00217C8F"/>
    <w:rsid w:val="002446DC"/>
    <w:rsid w:val="0025178C"/>
    <w:rsid w:val="00282F1C"/>
    <w:rsid w:val="003308C6"/>
    <w:rsid w:val="00334764"/>
    <w:rsid w:val="003E3DA3"/>
    <w:rsid w:val="0048280F"/>
    <w:rsid w:val="004C631F"/>
    <w:rsid w:val="004E7E76"/>
    <w:rsid w:val="004F58AE"/>
    <w:rsid w:val="0052615C"/>
    <w:rsid w:val="00527513"/>
    <w:rsid w:val="00580514"/>
    <w:rsid w:val="0058303B"/>
    <w:rsid w:val="005C7FC2"/>
    <w:rsid w:val="005F1D19"/>
    <w:rsid w:val="006204C6"/>
    <w:rsid w:val="00630B1A"/>
    <w:rsid w:val="00685F44"/>
    <w:rsid w:val="006A108C"/>
    <w:rsid w:val="00712C95"/>
    <w:rsid w:val="00754A2A"/>
    <w:rsid w:val="007557EF"/>
    <w:rsid w:val="00766F13"/>
    <w:rsid w:val="00792993"/>
    <w:rsid w:val="008562B0"/>
    <w:rsid w:val="0087497A"/>
    <w:rsid w:val="008A2086"/>
    <w:rsid w:val="008E4D7F"/>
    <w:rsid w:val="00910868"/>
    <w:rsid w:val="009177C9"/>
    <w:rsid w:val="00986096"/>
    <w:rsid w:val="009C4BBC"/>
    <w:rsid w:val="00A569EF"/>
    <w:rsid w:val="00A9113F"/>
    <w:rsid w:val="00B173E8"/>
    <w:rsid w:val="00B202E5"/>
    <w:rsid w:val="00B537B8"/>
    <w:rsid w:val="00B93F07"/>
    <w:rsid w:val="00C05534"/>
    <w:rsid w:val="00C2201A"/>
    <w:rsid w:val="00C2291E"/>
    <w:rsid w:val="00C765B9"/>
    <w:rsid w:val="00CA7593"/>
    <w:rsid w:val="00D31676"/>
    <w:rsid w:val="00D41AEF"/>
    <w:rsid w:val="00D453FA"/>
    <w:rsid w:val="00DD403D"/>
    <w:rsid w:val="00E07696"/>
    <w:rsid w:val="00E37879"/>
    <w:rsid w:val="00E50CA2"/>
    <w:rsid w:val="00E77EA6"/>
    <w:rsid w:val="00E84C98"/>
    <w:rsid w:val="00EE64B8"/>
    <w:rsid w:val="00F66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0CA2"/>
    <w:rPr>
      <w:rFonts w:cs="Times New Roman"/>
      <w:color w:val="808080"/>
    </w:rPr>
  </w:style>
  <w:style w:type="paragraph" w:customStyle="1" w:styleId="AFFAA7D4DD1E4D749966990BED0F1040">
    <w:name w:val="AFFAA7D4DD1E4D749966990BED0F1040"/>
    <w:rsid w:val="001331C6"/>
  </w:style>
  <w:style w:type="paragraph" w:customStyle="1" w:styleId="53A9212229864CC3BF5D34C058A6ED17">
    <w:name w:val="53A9212229864CC3BF5D34C058A6ED17"/>
    <w:rsid w:val="00E50C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EDAC8-05F6-4EDD-B023-501FA64EDC4B}">
  <ds:schemaRefs>
    <ds:schemaRef ds:uri="http://schemas.microsoft.com/sharepoint/v3/contenttype/forms"/>
  </ds:schemaRefs>
</ds:datastoreItem>
</file>

<file path=customXml/itemProps2.xml><?xml version="1.0" encoding="utf-8"?>
<ds:datastoreItem xmlns:ds="http://schemas.openxmlformats.org/officeDocument/2006/customXml" ds:itemID="{027A6D02-86D2-4A41-A298-8627A28701F3}">
  <ds:schemaRefs>
    <ds:schemaRef ds:uri="http://schemas.openxmlformats.org/officeDocument/2006/bibliography"/>
  </ds:schemaRefs>
</ds:datastoreItem>
</file>

<file path=customXml/itemProps3.xml><?xml version="1.0" encoding="utf-8"?>
<ds:datastoreItem xmlns:ds="http://schemas.openxmlformats.org/officeDocument/2006/customXml" ds:itemID="{42956755-8C71-4CF5-8737-F3B1968C440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F8175738-E39D-403D-B21D-CAA34AEDB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4531</Words>
  <Characters>2584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Agnesa Dementjeva</cp:lastModifiedBy>
  <cp:revision>4</cp:revision>
  <dcterms:created xsi:type="dcterms:W3CDTF">2026-06-02T10:24:00Z</dcterms:created>
  <dcterms:modified xsi:type="dcterms:W3CDTF">2026-06-02T10:37:00Z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2023-10-27T06:27:43Z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90033290-0b2f-4cae-993c-06037862a80e</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