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7826EE">
        <w:trPr>
          <w:jc w:val="center"/>
        </w:trPr>
        <w:tc>
          <w:tcPr>
            <w:tcW w:w="7678" w:type="dxa"/>
          </w:tcPr>
          <w:bookmarkStart w:id="0" w:name="_GoBack" w:displacedByCustomXml="next"/>
          <w:bookmarkEnd w:id="0" w:displacedByCustomXml="next"/>
          <w:sdt>
            <w:sdtPr>
              <w:id w:val="764405704"/>
              <w:docPartObj>
                <w:docPartGallery w:val="Cover Pages"/>
                <w:docPartUnique/>
              </w:docPartObj>
            </w:sdtPr>
            <w:sdtEndPr/>
            <w:sdtContent>
              <w:p w:rsidR="007826EE" w:rsidRDefault="005750A2">
                <w:pPr>
                  <w:pStyle w:val="NoSpacing"/>
                  <w:widowControl w:val="0"/>
                  <w:rPr>
                    <w:color w:val="4472C4" w:themeColor="accent1"/>
                  </w:rPr>
                </w:pPr>
              </w:p>
            </w:sdtContent>
          </w:sdt>
        </w:tc>
      </w:tr>
    </w:tbl>
    <w:p w:rsidR="007826EE" w:rsidRDefault="00D276BF">
      <w:pPr>
        <w:spacing w:after="120" w:line="20" w:lineRule="atLeast"/>
        <w:contextualSpacing/>
        <w:jc w:val="center"/>
        <w:rPr>
          <w:b/>
          <w:bCs/>
          <w:color w:val="00B050"/>
          <w:sz w:val="24"/>
          <w:szCs w:val="24"/>
        </w:rPr>
      </w:pPr>
      <w:r>
        <w:rPr>
          <w:noProof/>
        </w:rPr>
        <w:drawing>
          <wp:inline distT="0" distB="0" distL="0" distR="0">
            <wp:extent cx="2598420" cy="7391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stretch>
                      <a:fillRect/>
                    </a:stretch>
                  </pic:blipFill>
                  <pic:spPr bwMode="auto">
                    <a:xfrm>
                      <a:off x="0" y="0"/>
                      <a:ext cx="2598420" cy="739140"/>
                    </a:xfrm>
                    <a:prstGeom prst="rect">
                      <a:avLst/>
                    </a:prstGeom>
                  </pic:spPr>
                </pic:pic>
              </a:graphicData>
            </a:graphic>
          </wp:inline>
        </w:drawing>
      </w:r>
    </w:p>
    <w:p w:rsidR="007826EE" w:rsidRDefault="007826EE">
      <w:pPr>
        <w:spacing w:after="120" w:line="20" w:lineRule="atLeast"/>
        <w:contextualSpacing/>
        <w:jc w:val="center"/>
        <w:rPr>
          <w:b/>
          <w:bCs/>
          <w:color w:val="00B050"/>
          <w:sz w:val="24"/>
          <w:szCs w:val="24"/>
        </w:rPr>
      </w:pPr>
    </w:p>
    <w:p w:rsidR="007826EE" w:rsidRDefault="007826EE">
      <w:pPr>
        <w:spacing w:after="120" w:line="20" w:lineRule="atLeast"/>
        <w:contextualSpacing/>
        <w:jc w:val="center"/>
        <w:rPr>
          <w:b/>
          <w:bCs/>
          <w:color w:val="00B050"/>
          <w:sz w:val="24"/>
          <w:szCs w:val="24"/>
        </w:rPr>
      </w:pPr>
    </w:p>
    <w:p w:rsidR="007826EE" w:rsidRDefault="00D276BF">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POLICIJOS DEPARTAMENTAS PRIE VIDAUS REIKALŲ MINISTERIJOS</w:t>
      </w:r>
    </w:p>
    <w:p w:rsidR="007826EE" w:rsidRDefault="007826EE">
      <w:pPr>
        <w:spacing w:after="120" w:line="20" w:lineRule="atLeast"/>
        <w:contextualSpacing/>
        <w:jc w:val="center"/>
        <w:rPr>
          <w:rFonts w:ascii="Times New Roman" w:hAnsi="Times New Roman" w:cs="Times New Roman"/>
          <w:b/>
          <w:bCs/>
          <w:color w:val="000000" w:themeColor="text1"/>
          <w:sz w:val="24"/>
          <w:szCs w:val="24"/>
        </w:rPr>
      </w:pPr>
    </w:p>
    <w:p w:rsidR="007826EE" w:rsidRDefault="00D276BF">
      <w:pPr>
        <w:spacing w:after="120" w:line="20" w:lineRule="atLeast"/>
        <w:contextualSpacing/>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Biudžetinė įstaiga, Saltoniškių g. 19, LT-08106 Vilnius, Tel. +370 271 9731, Faks. +370 271 9978, El. p. info@policija.lt</w:t>
      </w:r>
    </w:p>
    <w:p w:rsidR="007826EE" w:rsidRDefault="00D276BF">
      <w:pPr>
        <w:pBdr>
          <w:bottom w:val="single" w:sz="6" w:space="1" w:color="000000"/>
        </w:pBdr>
        <w:spacing w:after="0" w:line="240" w:lineRule="auto"/>
        <w:jc w:val="center"/>
        <w:rPr>
          <w:rFonts w:eastAsia="Times New Roman" w:cstheme="minorHAnsi"/>
          <w:sz w:val="20"/>
          <w:szCs w:val="24"/>
          <w:lang w:eastAsia="zh-CN"/>
        </w:rPr>
      </w:pPr>
      <w:r>
        <w:rPr>
          <w:rFonts w:ascii="Times New Roman" w:hAnsi="Times New Roman" w:cs="Times New Roman"/>
          <w:bCs/>
          <w:color w:val="000000" w:themeColor="text1"/>
          <w:sz w:val="24"/>
          <w:szCs w:val="24"/>
        </w:rPr>
        <w:t>Duomenys apie įmonę saugomi LR Juridinių asmenų registre. Įmonės kodas 188785847</w:t>
      </w:r>
    </w:p>
    <w:p w:rsidR="007826EE" w:rsidRDefault="007826EE">
      <w:pPr>
        <w:tabs>
          <w:tab w:val="left" w:pos="870"/>
        </w:tabs>
        <w:spacing w:after="120" w:line="20" w:lineRule="atLeast"/>
        <w:contextualSpacing/>
        <w:rPr>
          <w:rFonts w:cstheme="minorHAnsi"/>
          <w:color w:val="00B050"/>
          <w:sz w:val="24"/>
          <w:szCs w:val="24"/>
        </w:rPr>
      </w:pPr>
    </w:p>
    <w:p w:rsidR="007826EE" w:rsidRDefault="00D276BF">
      <w:pPr>
        <w:tabs>
          <w:tab w:val="left" w:pos="870"/>
        </w:tabs>
        <w:spacing w:after="0" w:line="240" w:lineRule="auto"/>
        <w:contextualSpacing/>
        <w:jc w:val="center"/>
        <w:rPr>
          <w:rFonts w:ascii="Times New Roman" w:eastAsiaTheme="minorHAnsi" w:hAnsi="Times New Roman" w:cs="Times New Roman"/>
          <w:b/>
          <w:color w:val="000000" w:themeColor="text1"/>
          <w:sz w:val="24"/>
          <w:szCs w:val="24"/>
        </w:rPr>
      </w:pPr>
      <w:r>
        <w:rPr>
          <w:rFonts w:ascii="Times New Roman" w:eastAsiaTheme="minorHAnsi" w:hAnsi="Times New Roman" w:cs="Times New Roman"/>
          <w:b/>
          <w:color w:val="000000" w:themeColor="text1"/>
          <w:sz w:val="24"/>
          <w:szCs w:val="24"/>
        </w:rPr>
        <w:t>VIDAUS SAUGUMO FONDO 2021–2027 M. PROGRAMOS LĖŠOMIS FINANSUOJAMAS PROJEKTAS NR. VSF/2025/232 „POLICIJOS PAJĖGUMŲ STIPRINIMAS UŽTIKRINANT TARPTAUTINĖS NARKOTIKŲ APYVARTOS KONTROLĘ BEI KOVĄ SU ORGANIZUOTU NUSIKALSTAMUMU, II ETAPAS“</w:t>
      </w:r>
    </w:p>
    <w:p w:rsidR="007826EE" w:rsidRDefault="007826EE">
      <w:pPr>
        <w:spacing w:after="120" w:line="20" w:lineRule="atLeast"/>
        <w:contextualSpacing/>
        <w:jc w:val="center"/>
        <w:rPr>
          <w:rFonts w:cstheme="minorHAnsi"/>
          <w:sz w:val="24"/>
          <w:szCs w:val="24"/>
        </w:rPr>
      </w:pPr>
    </w:p>
    <w:p w:rsidR="007826EE" w:rsidRDefault="007826EE">
      <w:pPr>
        <w:spacing w:after="120" w:line="20" w:lineRule="atLeast"/>
        <w:contextualSpacing/>
        <w:jc w:val="center"/>
        <w:rPr>
          <w:rFonts w:cstheme="minorHAnsi"/>
          <w:sz w:val="24"/>
          <w:szCs w:val="24"/>
        </w:rPr>
      </w:pPr>
    </w:p>
    <w:p w:rsidR="007826EE" w:rsidRDefault="007826EE">
      <w:pPr>
        <w:spacing w:after="120" w:line="20" w:lineRule="atLeast"/>
        <w:ind w:left="5245"/>
        <w:contextualSpacing/>
        <w:rPr>
          <w:rFonts w:ascii="Times New Roman" w:hAnsi="Times New Roman" w:cs="Times New Roman"/>
          <w:color w:val="000000" w:themeColor="text1"/>
          <w:sz w:val="24"/>
          <w:szCs w:val="24"/>
        </w:rPr>
      </w:pPr>
    </w:p>
    <w:p w:rsidR="007826EE" w:rsidRDefault="007826EE">
      <w:pPr>
        <w:spacing w:after="120" w:line="20" w:lineRule="atLeast"/>
        <w:ind w:left="5245"/>
        <w:contextualSpacing/>
        <w:rPr>
          <w:rFonts w:ascii="Times New Roman" w:hAnsi="Times New Roman" w:cs="Times New Roman"/>
          <w:color w:val="000000" w:themeColor="text1"/>
          <w:sz w:val="24"/>
          <w:szCs w:val="24"/>
        </w:rPr>
      </w:pPr>
    </w:p>
    <w:p w:rsidR="007826EE" w:rsidRDefault="00D276BF">
      <w:pPr>
        <w:spacing w:after="120" w:line="20" w:lineRule="atLeast"/>
        <w:ind w:left="524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PATVIRTINTA </w:t>
      </w:r>
    </w:p>
    <w:p w:rsidR="007826EE" w:rsidRDefault="00D276BF">
      <w:pPr>
        <w:spacing w:after="120" w:line="20" w:lineRule="atLeast"/>
        <w:ind w:left="5245"/>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Policijos departamento prie VRM</w:t>
      </w:r>
    </w:p>
    <w:p w:rsidR="007826EE" w:rsidRDefault="00D276BF">
      <w:pPr>
        <w:spacing w:after="120" w:line="20" w:lineRule="atLeast"/>
        <w:ind w:left="5245"/>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Vieš</w:t>
      </w:r>
      <w:r w:rsidR="00020248">
        <w:rPr>
          <w:rFonts w:ascii="Times New Roman" w:hAnsi="Times New Roman" w:cs="Times New Roman"/>
          <w:iCs/>
          <w:color w:val="000000" w:themeColor="text1"/>
          <w:sz w:val="24"/>
          <w:szCs w:val="24"/>
        </w:rPr>
        <w:t>ojo pirkimo komisijos 2026-06-10</w:t>
      </w:r>
      <w:r>
        <w:rPr>
          <w:rFonts w:ascii="Times New Roman" w:hAnsi="Times New Roman" w:cs="Times New Roman"/>
          <w:iCs/>
          <w:color w:val="000000" w:themeColor="text1"/>
          <w:sz w:val="24"/>
          <w:szCs w:val="24"/>
        </w:rPr>
        <w:t xml:space="preserve"> </w:t>
      </w:r>
    </w:p>
    <w:p w:rsidR="007826EE" w:rsidRDefault="00020248">
      <w:pPr>
        <w:spacing w:after="120" w:line="20" w:lineRule="atLeast"/>
        <w:ind w:left="5245"/>
        <w:contextualSpacing/>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posėdyje, protokolo Nr. 5-P1-524</w:t>
      </w:r>
    </w:p>
    <w:p w:rsidR="007826EE" w:rsidRDefault="007826EE">
      <w:pPr>
        <w:spacing w:after="120" w:line="20" w:lineRule="atLeast"/>
        <w:ind w:left="5245"/>
        <w:contextualSpacing/>
        <w:rPr>
          <w:rFonts w:ascii="Times New Roman" w:hAnsi="Times New Roman" w:cs="Times New Roman"/>
          <w:color w:val="000000" w:themeColor="text1"/>
          <w:sz w:val="24"/>
          <w:szCs w:val="24"/>
        </w:rPr>
      </w:pPr>
    </w:p>
    <w:p w:rsidR="007826EE" w:rsidRDefault="00D276BF">
      <w:pPr>
        <w:spacing w:after="120" w:line="20" w:lineRule="atLeast"/>
        <w:ind w:left="524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PAKEITIMAI PATVIRTINTI: </w:t>
      </w:r>
    </w:p>
    <w:p w:rsidR="007826EE" w:rsidRDefault="00D276BF">
      <w:pPr>
        <w:spacing w:after="120" w:line="20" w:lineRule="atLeast"/>
        <w:ind w:left="5245"/>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NETAIKOMA</w:t>
      </w:r>
    </w:p>
    <w:p w:rsidR="007826EE" w:rsidRDefault="007826EE">
      <w:pPr>
        <w:spacing w:after="120" w:line="20" w:lineRule="atLeast"/>
        <w:contextualSpacing/>
        <w:jc w:val="center"/>
        <w:rPr>
          <w:rFonts w:cstheme="minorHAnsi"/>
          <w:sz w:val="24"/>
          <w:szCs w:val="24"/>
        </w:rPr>
      </w:pPr>
    </w:p>
    <w:p w:rsidR="007826EE" w:rsidRDefault="007826EE">
      <w:pPr>
        <w:spacing w:after="120" w:line="20" w:lineRule="atLeast"/>
        <w:contextualSpacing/>
        <w:jc w:val="center"/>
        <w:rPr>
          <w:rFonts w:cstheme="minorHAnsi"/>
          <w:sz w:val="24"/>
          <w:szCs w:val="24"/>
        </w:rPr>
      </w:pPr>
    </w:p>
    <w:p w:rsidR="007826EE" w:rsidRDefault="00D276BF">
      <w:pPr>
        <w:spacing w:after="120" w:line="20" w:lineRule="atLeast"/>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TARPTAUTINIO VIEŠOJO PIRKIMO „A TIPO TARNYBINĖ STOTIS“</w:t>
      </w:r>
    </w:p>
    <w:p w:rsidR="007826EE" w:rsidRDefault="00D276BF">
      <w:pPr>
        <w:spacing w:after="120" w:line="20" w:lineRule="atLeast"/>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ATVIRO KONKURSO SPECIALIOSIOS SĄLYGOS </w:t>
      </w:r>
    </w:p>
    <w:p w:rsidR="007826EE" w:rsidRDefault="00D276BF">
      <w:pPr>
        <w:spacing w:after="120" w:line="20" w:lineRule="atLeast"/>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Versija Nr. 1</w:t>
      </w:r>
    </w:p>
    <w:p w:rsidR="007826EE" w:rsidRDefault="007826EE">
      <w:pPr>
        <w:spacing w:after="120" w:line="20" w:lineRule="atLeast"/>
        <w:contextualSpacing/>
        <w:rPr>
          <w:rFonts w:ascii="Times New Roman" w:hAnsi="Times New Roman" w:cs="Times New Roman"/>
          <w:color w:val="000000" w:themeColor="text1"/>
          <w:sz w:val="28"/>
          <w:szCs w:val="28"/>
        </w:rPr>
      </w:pPr>
    </w:p>
    <w:p w:rsidR="007826EE" w:rsidRDefault="007826EE">
      <w:pPr>
        <w:spacing w:after="120" w:line="20" w:lineRule="atLeast"/>
        <w:contextualSpacing/>
        <w:rPr>
          <w:rFonts w:cstheme="minorHAnsi"/>
        </w:rPr>
      </w:pPr>
    </w:p>
    <w:p w:rsidR="007826EE" w:rsidRDefault="007826EE">
      <w:pPr>
        <w:spacing w:after="120" w:line="20" w:lineRule="atLeast"/>
        <w:contextualSpacing/>
        <w:rPr>
          <w:rFonts w:cstheme="minorHAnsi"/>
        </w:rPr>
      </w:pPr>
    </w:p>
    <w:sdt>
      <w:sdtPr>
        <w:rPr>
          <w:rFonts w:asciiTheme="minorHAnsi" w:eastAsiaTheme="minorEastAsia" w:hAnsiTheme="minorHAnsi" w:cstheme="minorBidi"/>
          <w:color w:val="auto"/>
          <w:sz w:val="21"/>
          <w:szCs w:val="21"/>
        </w:rPr>
        <w:id w:val="2053334365"/>
        <w:docPartObj>
          <w:docPartGallery w:val="Table of Contents"/>
          <w:docPartUnique/>
        </w:docPartObj>
      </w:sdtPr>
      <w:sdtEndPr/>
      <w:sdtContent>
        <w:p w:rsidR="007826EE" w:rsidRDefault="00D276BF">
          <w:pPr>
            <w:pStyle w:val="TOCHeading"/>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rsidR="007826EE" w:rsidRDefault="00D276BF">
          <w:pPr>
            <w:pStyle w:val="TOC1"/>
            <w:rPr>
              <w:sz w:val="22"/>
              <w:szCs w:val="22"/>
              <w:lang w:val="en-US" w:eastAsia="en-US"/>
            </w:rPr>
          </w:pPr>
          <w:r>
            <w:fldChar w:fldCharType="begin"/>
          </w:r>
          <w:r>
            <w:rPr>
              <w:rStyle w:val="Rodyklssaitas"/>
              <w:rFonts w:cs="Calibri"/>
              <w:webHidden/>
            </w:rPr>
            <w:instrText>TOC \z \o "1-3" \u \h</w:instrText>
          </w:r>
          <w:r>
            <w:rPr>
              <w:rStyle w:val="Rodyklssaitas"/>
            </w:rPr>
            <w:fldChar w:fldCharType="separate"/>
          </w:r>
          <w:hyperlink w:anchor="_Toc126333928">
            <w:r>
              <w:rPr>
                <w:rStyle w:val="Rodyklssaitas"/>
                <w:rFonts w:cstheme="minorHAnsi"/>
                <w:webHidden/>
              </w:rPr>
              <w:t>1.</w:t>
            </w:r>
            <w:r>
              <w:rPr>
                <w:rStyle w:val="Rodyklssaitas"/>
                <w:sz w:val="22"/>
                <w:szCs w:val="22"/>
                <w:lang w:val="en-US" w:eastAsia="en-US"/>
              </w:rPr>
              <w:tab/>
            </w:r>
            <w:r>
              <w:rPr>
                <w:rStyle w:val="Rodyklssaitas"/>
                <w:rFonts w:cstheme="minorHAnsi"/>
              </w:rPr>
              <w:t>Bendra informacija</w:t>
            </w:r>
            <w:r>
              <w:rPr>
                <w:webHidden/>
              </w:rPr>
              <w:fldChar w:fldCharType="begin"/>
            </w:r>
            <w:r>
              <w:rPr>
                <w:webHidden/>
              </w:rPr>
              <w:instrText>PAGEREF _Toc126333928 \h</w:instrText>
            </w:r>
            <w:r>
              <w:rPr>
                <w:webHidden/>
              </w:rPr>
            </w:r>
            <w:r>
              <w:rPr>
                <w:webHidden/>
              </w:rPr>
              <w:fldChar w:fldCharType="separate"/>
            </w:r>
            <w:r>
              <w:rPr>
                <w:rStyle w:val="Rodyklssaitas"/>
              </w:rPr>
              <w:tab/>
              <w:t>2</w:t>
            </w:r>
            <w:r>
              <w:rPr>
                <w:webHidden/>
              </w:rPr>
              <w:fldChar w:fldCharType="end"/>
            </w:r>
          </w:hyperlink>
        </w:p>
        <w:p w:rsidR="007826EE" w:rsidRDefault="005750A2">
          <w:pPr>
            <w:pStyle w:val="TOC1"/>
            <w:rPr>
              <w:sz w:val="22"/>
              <w:szCs w:val="22"/>
              <w:lang w:val="en-US" w:eastAsia="en-US"/>
            </w:rPr>
          </w:pPr>
          <w:hyperlink w:anchor="_Toc126333929">
            <w:r w:rsidR="00D276BF">
              <w:rPr>
                <w:rStyle w:val="Rodyklssaitas"/>
                <w:rFonts w:cs="Calibri"/>
                <w:webHidden/>
              </w:rPr>
              <w:t>2</w:t>
            </w:r>
            <w:r w:rsidR="00D276BF">
              <w:rPr>
                <w:rStyle w:val="Rodyklssaitas"/>
              </w:rPr>
              <w:t xml:space="preserve">.  </w:t>
            </w:r>
            <w:r w:rsidR="00D276BF">
              <w:rPr>
                <w:rStyle w:val="Rodyklssaitas"/>
                <w:rFonts w:cstheme="minorHAnsi"/>
              </w:rPr>
              <w:t>Pirkimo objektas</w:t>
            </w:r>
            <w:r w:rsidR="00D276BF">
              <w:rPr>
                <w:webHidden/>
              </w:rPr>
              <w:fldChar w:fldCharType="begin"/>
            </w:r>
            <w:r w:rsidR="00D276BF">
              <w:rPr>
                <w:webHidden/>
              </w:rPr>
              <w:instrText>PAGEREF _Toc126333929 \h</w:instrText>
            </w:r>
            <w:r w:rsidR="00D276BF">
              <w:rPr>
                <w:webHidden/>
              </w:rPr>
            </w:r>
            <w:r w:rsidR="00D276BF">
              <w:rPr>
                <w:webHidden/>
              </w:rPr>
              <w:fldChar w:fldCharType="separate"/>
            </w:r>
            <w:r w:rsidR="00D276BF">
              <w:rPr>
                <w:rStyle w:val="Rodyklssaitas"/>
              </w:rPr>
              <w:tab/>
              <w:t>2</w:t>
            </w:r>
            <w:r w:rsidR="00D276BF">
              <w:rPr>
                <w:webHidden/>
              </w:rPr>
              <w:fldChar w:fldCharType="end"/>
            </w:r>
          </w:hyperlink>
        </w:p>
        <w:p w:rsidR="007826EE" w:rsidRDefault="005750A2">
          <w:pPr>
            <w:pStyle w:val="TOC1"/>
            <w:rPr>
              <w:sz w:val="22"/>
              <w:szCs w:val="22"/>
              <w:lang w:val="en-US" w:eastAsia="en-US"/>
            </w:rPr>
          </w:pPr>
          <w:hyperlink w:anchor="_Toc126333930">
            <w:r w:rsidR="00D276BF">
              <w:rPr>
                <w:rStyle w:val="Rodyklssaitas"/>
                <w:rFonts w:cstheme="minorHAnsi"/>
                <w:webHidden/>
              </w:rPr>
              <w:t>3.  Susitikimai su tiekėjais ir objekto apžiūra</w:t>
            </w:r>
            <w:r w:rsidR="00D276BF">
              <w:rPr>
                <w:webHidden/>
              </w:rPr>
              <w:fldChar w:fldCharType="begin"/>
            </w:r>
            <w:r w:rsidR="00D276BF">
              <w:rPr>
                <w:webHidden/>
              </w:rPr>
              <w:instrText>PAGEREF _Toc126333930 \h</w:instrText>
            </w:r>
            <w:r w:rsidR="00D276BF">
              <w:rPr>
                <w:webHidden/>
              </w:rPr>
            </w:r>
            <w:r w:rsidR="00D276BF">
              <w:rPr>
                <w:webHidden/>
              </w:rPr>
              <w:fldChar w:fldCharType="separate"/>
            </w:r>
            <w:r w:rsidR="00D276BF">
              <w:rPr>
                <w:rStyle w:val="Rodyklssaitas"/>
              </w:rPr>
              <w:tab/>
              <w:t>3</w:t>
            </w:r>
            <w:r w:rsidR="00D276BF">
              <w:rPr>
                <w:webHidden/>
              </w:rPr>
              <w:fldChar w:fldCharType="end"/>
            </w:r>
          </w:hyperlink>
        </w:p>
        <w:p w:rsidR="007826EE" w:rsidRDefault="005750A2">
          <w:pPr>
            <w:pStyle w:val="TOC1"/>
            <w:rPr>
              <w:sz w:val="22"/>
              <w:szCs w:val="22"/>
              <w:lang w:val="en-US" w:eastAsia="en-US"/>
            </w:rPr>
          </w:pPr>
          <w:hyperlink w:anchor="_Toc126333931">
            <w:r w:rsidR="00D276BF">
              <w:rPr>
                <w:rStyle w:val="Rodyklssaitas"/>
                <w:rFonts w:cstheme="majorHAnsi"/>
                <w:webHidden/>
              </w:rPr>
              <w:t xml:space="preserve">4.  </w:t>
            </w:r>
            <w:r w:rsidR="00D276BF">
              <w:rPr>
                <w:rStyle w:val="Rodyklssaitas"/>
                <w:rFonts w:cstheme="minorHAnsi"/>
              </w:rPr>
              <w:t>Tiekėjų pašalinimo pagrindai ir kvalifikacijos reikalavimai</w:t>
            </w:r>
            <w:r w:rsidR="00D276BF">
              <w:rPr>
                <w:webHidden/>
              </w:rPr>
              <w:fldChar w:fldCharType="begin"/>
            </w:r>
            <w:r w:rsidR="00D276BF">
              <w:rPr>
                <w:webHidden/>
              </w:rPr>
              <w:instrText>PAGEREF _Toc126333931 \h</w:instrText>
            </w:r>
            <w:r w:rsidR="00D276BF">
              <w:rPr>
                <w:webHidden/>
              </w:rPr>
            </w:r>
            <w:r w:rsidR="00D276BF">
              <w:rPr>
                <w:webHidden/>
              </w:rPr>
              <w:fldChar w:fldCharType="separate"/>
            </w:r>
            <w:r w:rsidR="00D276BF">
              <w:rPr>
                <w:rStyle w:val="Rodyklssaitas"/>
              </w:rPr>
              <w:tab/>
              <w:t>3</w:t>
            </w:r>
            <w:r w:rsidR="00D276BF">
              <w:rPr>
                <w:webHidden/>
              </w:rPr>
              <w:fldChar w:fldCharType="end"/>
            </w:r>
          </w:hyperlink>
        </w:p>
        <w:p w:rsidR="007826EE" w:rsidRDefault="005750A2">
          <w:pPr>
            <w:pStyle w:val="TOC1"/>
            <w:rPr>
              <w:sz w:val="22"/>
              <w:szCs w:val="22"/>
              <w:lang w:val="en-US" w:eastAsia="en-US"/>
            </w:rPr>
          </w:pPr>
          <w:hyperlink w:anchor="_Toc126333932">
            <w:r w:rsidR="00D276BF">
              <w:rPr>
                <w:rStyle w:val="Rodyklssaitas"/>
                <w:rFonts w:cstheme="minorHAnsi"/>
                <w:webHidden/>
              </w:rPr>
              <w:t xml:space="preserve">5.  </w:t>
            </w:r>
            <w:r w:rsidR="00D276BF">
              <w:rPr>
                <w:rStyle w:val="Rodyklssaitas"/>
                <w:rFonts w:cs="Calibri"/>
              </w:rPr>
              <w:t>Reikalavimai, susiję su nacionaliniu saugumu</w:t>
            </w:r>
            <w:r w:rsidR="00D276BF">
              <w:rPr>
                <w:webHidden/>
              </w:rPr>
              <w:fldChar w:fldCharType="begin"/>
            </w:r>
            <w:r w:rsidR="00D276BF">
              <w:rPr>
                <w:webHidden/>
              </w:rPr>
              <w:instrText>PAGEREF _Toc126333932 \h</w:instrText>
            </w:r>
            <w:r w:rsidR="00D276BF">
              <w:rPr>
                <w:webHidden/>
              </w:rPr>
            </w:r>
            <w:r w:rsidR="00D276BF">
              <w:rPr>
                <w:webHidden/>
              </w:rPr>
              <w:fldChar w:fldCharType="separate"/>
            </w:r>
            <w:r w:rsidR="00D276BF">
              <w:rPr>
                <w:rStyle w:val="Rodyklssaitas"/>
              </w:rPr>
              <w:tab/>
              <w:t>3</w:t>
            </w:r>
            <w:r w:rsidR="00D276BF">
              <w:rPr>
                <w:webHidden/>
              </w:rPr>
              <w:fldChar w:fldCharType="end"/>
            </w:r>
          </w:hyperlink>
        </w:p>
        <w:p w:rsidR="007826EE" w:rsidRDefault="005750A2">
          <w:pPr>
            <w:pStyle w:val="TOC1"/>
            <w:rPr>
              <w:sz w:val="22"/>
              <w:szCs w:val="22"/>
              <w:lang w:val="en-US" w:eastAsia="en-US"/>
            </w:rPr>
          </w:pPr>
          <w:hyperlink w:anchor="_Toc126333933">
            <w:r w:rsidR="00D276BF">
              <w:rPr>
                <w:rStyle w:val="Rodyklssaitas"/>
                <w:webHidden/>
              </w:rPr>
              <w:t>6.  Specialieji reikalavimai pasiūlymų rengimui ir pateikimui</w:t>
            </w:r>
            <w:r w:rsidR="00D276BF">
              <w:rPr>
                <w:webHidden/>
              </w:rPr>
              <w:fldChar w:fldCharType="begin"/>
            </w:r>
            <w:r w:rsidR="00D276BF">
              <w:rPr>
                <w:webHidden/>
              </w:rPr>
              <w:instrText>PAGEREF _Toc126333933 \h</w:instrText>
            </w:r>
            <w:r w:rsidR="00D276BF">
              <w:rPr>
                <w:webHidden/>
              </w:rPr>
            </w:r>
            <w:r w:rsidR="00D276BF">
              <w:rPr>
                <w:webHidden/>
              </w:rPr>
              <w:fldChar w:fldCharType="separate"/>
            </w:r>
            <w:r w:rsidR="00D276BF">
              <w:rPr>
                <w:rStyle w:val="Rodyklssaitas"/>
              </w:rPr>
              <w:tab/>
              <w:t>5</w:t>
            </w:r>
            <w:r w:rsidR="00D276BF">
              <w:rPr>
                <w:webHidden/>
              </w:rPr>
              <w:fldChar w:fldCharType="end"/>
            </w:r>
          </w:hyperlink>
        </w:p>
        <w:p w:rsidR="007826EE" w:rsidRDefault="005750A2">
          <w:pPr>
            <w:pStyle w:val="TOC1"/>
            <w:rPr>
              <w:sz w:val="22"/>
              <w:szCs w:val="22"/>
              <w:lang w:val="en-US" w:eastAsia="en-US"/>
            </w:rPr>
          </w:pPr>
          <w:hyperlink w:anchor="_Toc126333934">
            <w:r w:rsidR="00D276BF">
              <w:rPr>
                <w:rStyle w:val="Rodyklssaitas"/>
                <w:rFonts w:eastAsia="Calibri" w:cstheme="minorHAnsi"/>
                <w:webHidden/>
              </w:rPr>
              <w:t>7.</w:t>
            </w:r>
            <w:r w:rsidR="00D276BF">
              <w:rPr>
                <w:rStyle w:val="Rodyklssaitas"/>
                <w:sz w:val="22"/>
                <w:szCs w:val="22"/>
                <w:lang w:val="en-US" w:eastAsia="en-US"/>
              </w:rPr>
              <w:tab/>
            </w:r>
            <w:r w:rsidR="00D276BF">
              <w:rPr>
                <w:rStyle w:val="Rodyklssaitas"/>
                <w:rFonts w:cstheme="minorHAnsi"/>
              </w:rPr>
              <w:t>Pasiūlymo galiojimo užtikrinimas</w:t>
            </w:r>
            <w:r w:rsidR="00D276BF">
              <w:rPr>
                <w:webHidden/>
              </w:rPr>
              <w:fldChar w:fldCharType="begin"/>
            </w:r>
            <w:r w:rsidR="00D276BF">
              <w:rPr>
                <w:webHidden/>
              </w:rPr>
              <w:instrText>PAGEREF _Toc126333934 \h</w:instrText>
            </w:r>
            <w:r w:rsidR="00D276BF">
              <w:rPr>
                <w:webHidden/>
              </w:rPr>
            </w:r>
            <w:r w:rsidR="00D276BF">
              <w:rPr>
                <w:webHidden/>
              </w:rPr>
              <w:fldChar w:fldCharType="separate"/>
            </w:r>
            <w:r w:rsidR="00D276BF">
              <w:rPr>
                <w:rStyle w:val="Rodyklssaitas"/>
              </w:rPr>
              <w:tab/>
              <w:t>6</w:t>
            </w:r>
            <w:r w:rsidR="00D276BF">
              <w:rPr>
                <w:webHidden/>
              </w:rPr>
              <w:fldChar w:fldCharType="end"/>
            </w:r>
          </w:hyperlink>
        </w:p>
        <w:p w:rsidR="007826EE" w:rsidRDefault="005750A2">
          <w:pPr>
            <w:pStyle w:val="TOC1"/>
            <w:rPr>
              <w:sz w:val="22"/>
              <w:szCs w:val="22"/>
              <w:lang w:val="en-US" w:eastAsia="en-US"/>
            </w:rPr>
          </w:pPr>
          <w:hyperlink w:anchor="_Toc126333935">
            <w:r w:rsidR="00D276BF">
              <w:rPr>
                <w:rStyle w:val="Rodyklssaitas"/>
                <w:rFonts w:eastAsia="Calibri" w:cstheme="minorHAnsi"/>
                <w:webHidden/>
              </w:rPr>
              <w:t>8.</w:t>
            </w:r>
            <w:r w:rsidR="00D276BF">
              <w:rPr>
                <w:rStyle w:val="Rodyklssaitas"/>
                <w:sz w:val="22"/>
                <w:szCs w:val="22"/>
                <w:lang w:val="en-US" w:eastAsia="en-US"/>
              </w:rPr>
              <w:tab/>
            </w:r>
            <w:r w:rsidR="00D276BF">
              <w:rPr>
                <w:rStyle w:val="Rodyklssaitas"/>
                <w:rFonts w:cstheme="minorHAnsi"/>
              </w:rPr>
              <w:t>Elektroninis aukcionas</w:t>
            </w:r>
            <w:r w:rsidR="00D276BF">
              <w:rPr>
                <w:webHidden/>
              </w:rPr>
              <w:fldChar w:fldCharType="begin"/>
            </w:r>
            <w:r w:rsidR="00D276BF">
              <w:rPr>
                <w:webHidden/>
              </w:rPr>
              <w:instrText>PAGEREF _Toc126333935 \h</w:instrText>
            </w:r>
            <w:r w:rsidR="00D276BF">
              <w:rPr>
                <w:webHidden/>
              </w:rPr>
            </w:r>
            <w:r w:rsidR="00D276BF">
              <w:rPr>
                <w:webHidden/>
              </w:rPr>
              <w:fldChar w:fldCharType="separate"/>
            </w:r>
            <w:r w:rsidR="00D276BF">
              <w:rPr>
                <w:rStyle w:val="Rodyklssaitas"/>
              </w:rPr>
              <w:tab/>
              <w:t>6</w:t>
            </w:r>
            <w:r w:rsidR="00D276BF">
              <w:rPr>
                <w:webHidden/>
              </w:rPr>
              <w:fldChar w:fldCharType="end"/>
            </w:r>
          </w:hyperlink>
        </w:p>
        <w:p w:rsidR="007826EE" w:rsidRDefault="005750A2">
          <w:pPr>
            <w:pStyle w:val="TOC1"/>
            <w:rPr>
              <w:sz w:val="22"/>
              <w:szCs w:val="22"/>
              <w:lang w:val="en-US" w:eastAsia="en-US"/>
            </w:rPr>
          </w:pPr>
          <w:hyperlink w:anchor="_Toc126333936">
            <w:r w:rsidR="00D276BF">
              <w:rPr>
                <w:rStyle w:val="Rodyklssaitas"/>
                <w:rFonts w:eastAsia="Calibri" w:cstheme="minorHAnsi"/>
                <w:webHidden/>
              </w:rPr>
              <w:t>9.</w:t>
            </w:r>
            <w:r w:rsidR="00D276BF">
              <w:rPr>
                <w:rStyle w:val="Rodyklssaitas"/>
                <w:sz w:val="22"/>
                <w:szCs w:val="22"/>
                <w:lang w:val="en-US" w:eastAsia="en-US"/>
              </w:rPr>
              <w:tab/>
            </w:r>
            <w:r w:rsidR="00D276BF">
              <w:rPr>
                <w:rStyle w:val="Rodyklssaitas"/>
                <w:rFonts w:cstheme="minorHAnsi"/>
              </w:rPr>
              <w:t>Pasiūlymų vertinimas</w:t>
            </w:r>
            <w:r w:rsidR="00D276BF">
              <w:rPr>
                <w:webHidden/>
              </w:rPr>
              <w:fldChar w:fldCharType="begin"/>
            </w:r>
            <w:r w:rsidR="00D276BF">
              <w:rPr>
                <w:webHidden/>
              </w:rPr>
              <w:instrText>PAGEREF _Toc126333936 \h</w:instrText>
            </w:r>
            <w:r w:rsidR="00D276BF">
              <w:rPr>
                <w:webHidden/>
              </w:rPr>
            </w:r>
            <w:r w:rsidR="00D276BF">
              <w:rPr>
                <w:webHidden/>
              </w:rPr>
              <w:fldChar w:fldCharType="separate"/>
            </w:r>
            <w:r w:rsidR="00D276BF">
              <w:rPr>
                <w:rStyle w:val="Rodyklssaitas"/>
              </w:rPr>
              <w:tab/>
              <w:t>6</w:t>
            </w:r>
            <w:r w:rsidR="00D276BF">
              <w:rPr>
                <w:webHidden/>
              </w:rPr>
              <w:fldChar w:fldCharType="end"/>
            </w:r>
          </w:hyperlink>
        </w:p>
        <w:p w:rsidR="007826EE" w:rsidRDefault="005750A2">
          <w:pPr>
            <w:pStyle w:val="TOC1"/>
            <w:rPr>
              <w:sz w:val="22"/>
              <w:szCs w:val="22"/>
              <w:lang w:val="en-US" w:eastAsia="en-US"/>
            </w:rPr>
          </w:pPr>
          <w:hyperlink w:anchor="_Toc126333937">
            <w:r w:rsidR="00D276BF">
              <w:rPr>
                <w:rStyle w:val="Rodyklssaitas"/>
                <w:rFonts w:eastAsia="Calibri" w:cstheme="minorHAnsi"/>
                <w:webHidden/>
              </w:rPr>
              <w:t>10.</w:t>
            </w:r>
            <w:r w:rsidR="00D276BF">
              <w:rPr>
                <w:rStyle w:val="Rodyklssaitas"/>
                <w:sz w:val="22"/>
                <w:szCs w:val="22"/>
                <w:lang w:val="en-US" w:eastAsia="en-US"/>
              </w:rPr>
              <w:tab/>
            </w:r>
            <w:r w:rsidR="00D276BF">
              <w:rPr>
                <w:rStyle w:val="Rodyklssaitas"/>
                <w:rFonts w:cstheme="minorHAnsi"/>
              </w:rPr>
              <w:t>Sutarties sudarymas</w:t>
            </w:r>
            <w:r w:rsidR="00D276BF">
              <w:rPr>
                <w:webHidden/>
              </w:rPr>
              <w:fldChar w:fldCharType="begin"/>
            </w:r>
            <w:r w:rsidR="00D276BF">
              <w:rPr>
                <w:webHidden/>
              </w:rPr>
              <w:instrText>PAGEREF _Toc126333937 \h</w:instrText>
            </w:r>
            <w:r w:rsidR="00D276BF">
              <w:rPr>
                <w:webHidden/>
              </w:rPr>
            </w:r>
            <w:r w:rsidR="00D276BF">
              <w:rPr>
                <w:webHidden/>
              </w:rPr>
              <w:fldChar w:fldCharType="separate"/>
            </w:r>
            <w:r w:rsidR="00D276BF">
              <w:rPr>
                <w:rStyle w:val="Rodyklssaitas"/>
              </w:rPr>
              <w:tab/>
              <w:t>7</w:t>
            </w:r>
            <w:r w:rsidR="00D276BF">
              <w:rPr>
                <w:webHidden/>
              </w:rPr>
              <w:fldChar w:fldCharType="end"/>
            </w:r>
          </w:hyperlink>
        </w:p>
        <w:p w:rsidR="007826EE" w:rsidRDefault="00D276BF">
          <w:pPr>
            <w:pStyle w:val="TOC1"/>
            <w:rPr>
              <w:sz w:val="22"/>
              <w:szCs w:val="22"/>
              <w:lang w:val="en-US" w:eastAsia="en-US"/>
            </w:rPr>
          </w:pPr>
          <w:r>
            <w:t xml:space="preserve">  </w:t>
          </w:r>
          <w:hyperlink w:anchor="_Toc126333939">
            <w:r>
              <w:rPr>
                <w:rStyle w:val="Rodyklssaitas"/>
                <w:rFonts w:cstheme="minorHAnsi"/>
                <w:webHidden/>
              </w:rPr>
              <w:t xml:space="preserve">Pirkimo sąlygų 1 </w:t>
            </w:r>
            <w:r>
              <w:rPr>
                <w:rStyle w:val="Rodyklssaitas"/>
                <w:rFonts w:cstheme="minorHAnsi"/>
              </w:rPr>
              <w:t>priedas „Terminai“</w:t>
            </w:r>
            <w:r>
              <w:rPr>
                <w:webHidden/>
              </w:rPr>
              <w:fldChar w:fldCharType="begin"/>
            </w:r>
            <w:r>
              <w:rPr>
                <w:webHidden/>
              </w:rPr>
              <w:instrText>PAGEREF _Toc126333939 \h</w:instrText>
            </w:r>
            <w:r>
              <w:rPr>
                <w:webHidden/>
              </w:rPr>
            </w:r>
            <w:r>
              <w:rPr>
                <w:webHidden/>
              </w:rPr>
              <w:fldChar w:fldCharType="separate"/>
            </w:r>
            <w:r>
              <w:rPr>
                <w:rStyle w:val="Rodyklssaitas"/>
              </w:rPr>
              <w:tab/>
              <w:t>8</w:t>
            </w:r>
            <w:r>
              <w:rPr>
                <w:webHidden/>
              </w:rPr>
              <w:fldChar w:fldCharType="end"/>
            </w:r>
          </w:hyperlink>
        </w:p>
        <w:p w:rsidR="007826EE" w:rsidRDefault="005750A2">
          <w:pPr>
            <w:pStyle w:val="TOC2"/>
            <w:rPr>
              <w:sz w:val="22"/>
              <w:szCs w:val="22"/>
              <w:lang w:val="en-US" w:eastAsia="en-US"/>
            </w:rPr>
          </w:pPr>
          <w:hyperlink w:anchor="_Toc126333940">
            <w:r w:rsidR="00D276BF">
              <w:rPr>
                <w:rStyle w:val="Rodyklssaitas"/>
                <w:rFonts w:eastAsia="Calibri" w:cstheme="minorHAnsi"/>
                <w:webHidden/>
              </w:rPr>
              <w:t>Pirkimo sąlygų 2 priedas „Techninė specifikacija“</w:t>
            </w:r>
            <w:r w:rsidR="00D276BF">
              <w:rPr>
                <w:webHidden/>
              </w:rPr>
              <w:fldChar w:fldCharType="begin"/>
            </w:r>
            <w:r w:rsidR="00D276BF">
              <w:rPr>
                <w:webHidden/>
              </w:rPr>
              <w:instrText>PAGEREF _Toc126333940 \h</w:instrText>
            </w:r>
            <w:r w:rsidR="00D276BF">
              <w:rPr>
                <w:webHidden/>
              </w:rPr>
            </w:r>
            <w:r w:rsidR="00D276BF">
              <w:rPr>
                <w:webHidden/>
              </w:rPr>
              <w:fldChar w:fldCharType="separate"/>
            </w:r>
            <w:r w:rsidR="00D276BF">
              <w:rPr>
                <w:rStyle w:val="Rodyklssaitas"/>
              </w:rPr>
              <w:tab/>
              <w:t>12</w:t>
            </w:r>
            <w:r w:rsidR="00D276BF">
              <w:rPr>
                <w:webHidden/>
              </w:rPr>
              <w:fldChar w:fldCharType="end"/>
            </w:r>
          </w:hyperlink>
        </w:p>
        <w:p w:rsidR="007826EE" w:rsidRDefault="005750A2">
          <w:pPr>
            <w:pStyle w:val="TOC2"/>
            <w:rPr>
              <w:sz w:val="22"/>
              <w:szCs w:val="22"/>
              <w:lang w:val="en-US" w:eastAsia="en-US"/>
            </w:rPr>
          </w:pPr>
          <w:hyperlink w:anchor="_Toc126333941">
            <w:r w:rsidR="00D276BF">
              <w:rPr>
                <w:rStyle w:val="Rodyklssaitas"/>
                <w:rFonts w:eastAsia="Calibri" w:cstheme="minorHAnsi"/>
                <w:webHidden/>
              </w:rPr>
              <w:t>Pirkimo sąlygų 3 priedas „Tiekėjų pašalinimo pagrindai“</w:t>
            </w:r>
            <w:r w:rsidR="00D276BF">
              <w:rPr>
                <w:webHidden/>
              </w:rPr>
              <w:fldChar w:fldCharType="begin"/>
            </w:r>
            <w:r w:rsidR="00D276BF">
              <w:rPr>
                <w:webHidden/>
              </w:rPr>
              <w:instrText>PAGEREF _Toc126333941 \h</w:instrText>
            </w:r>
            <w:r w:rsidR="00D276BF">
              <w:rPr>
                <w:webHidden/>
              </w:rPr>
            </w:r>
            <w:r w:rsidR="00D276BF">
              <w:rPr>
                <w:webHidden/>
              </w:rPr>
              <w:fldChar w:fldCharType="separate"/>
            </w:r>
            <w:r w:rsidR="00D276BF">
              <w:rPr>
                <w:rStyle w:val="Rodyklssaitas"/>
              </w:rPr>
              <w:tab/>
              <w:t>19</w:t>
            </w:r>
            <w:r w:rsidR="00D276BF">
              <w:rPr>
                <w:webHidden/>
              </w:rPr>
              <w:fldChar w:fldCharType="end"/>
            </w:r>
          </w:hyperlink>
        </w:p>
        <w:p w:rsidR="007826EE" w:rsidRDefault="005750A2">
          <w:pPr>
            <w:pStyle w:val="TOC2"/>
            <w:rPr>
              <w:sz w:val="22"/>
              <w:szCs w:val="22"/>
              <w:lang w:val="en-US" w:eastAsia="en-US"/>
            </w:rPr>
          </w:pPr>
          <w:hyperlink w:anchor="_Toc126333942">
            <w:r w:rsidR="00D276BF">
              <w:rPr>
                <w:rStyle w:val="Rodyklssaitas"/>
                <w:rFonts w:eastAsia="Calibri" w:cstheme="minorHAnsi"/>
                <w:webHidden/>
              </w:rPr>
              <w:t>Pirkimo sąlygų 4 priedas „Tiekėjų kvalifikacijos reikalavimai ir reikalaujami kokybės bei aplinkos apsaugos vadybos sistemų standartai“</w:t>
            </w:r>
            <w:r w:rsidR="00D276BF">
              <w:rPr>
                <w:webHidden/>
              </w:rPr>
              <w:fldChar w:fldCharType="begin"/>
            </w:r>
            <w:r w:rsidR="00D276BF">
              <w:rPr>
                <w:webHidden/>
              </w:rPr>
              <w:instrText>PAGEREF _Toc126333942 \h</w:instrText>
            </w:r>
            <w:r w:rsidR="00D276BF">
              <w:rPr>
                <w:webHidden/>
              </w:rPr>
            </w:r>
            <w:r w:rsidR="00D276BF">
              <w:rPr>
                <w:webHidden/>
              </w:rPr>
              <w:fldChar w:fldCharType="separate"/>
            </w:r>
            <w:r w:rsidR="00D276BF">
              <w:rPr>
                <w:rStyle w:val="Rodyklssaitas"/>
              </w:rPr>
              <w:tab/>
              <w:t>28</w:t>
            </w:r>
            <w:r w:rsidR="00D276BF">
              <w:rPr>
                <w:webHidden/>
              </w:rPr>
              <w:fldChar w:fldCharType="end"/>
            </w:r>
          </w:hyperlink>
        </w:p>
        <w:p w:rsidR="007826EE" w:rsidRDefault="005750A2">
          <w:pPr>
            <w:pStyle w:val="TOC2"/>
            <w:rPr>
              <w:sz w:val="22"/>
              <w:szCs w:val="22"/>
              <w:lang w:val="en-US" w:eastAsia="en-US"/>
            </w:rPr>
          </w:pPr>
          <w:hyperlink w:anchor="_Toc126333943">
            <w:r w:rsidR="00D276BF">
              <w:rPr>
                <w:rStyle w:val="Rodyklssaitas"/>
                <w:rFonts w:eastAsia="Calibri" w:cstheme="minorHAnsi"/>
                <w:webHidden/>
              </w:rPr>
              <w:t xml:space="preserve">Pirkimo sąlygų 5 priedas „EBVPD“ </w:t>
            </w:r>
            <w:r w:rsidR="00D276BF">
              <w:rPr>
                <w:rStyle w:val="Rodyklssaitas"/>
                <w:rFonts w:cstheme="minorHAnsi"/>
              </w:rPr>
              <w:t>(XML formatu)</w:t>
            </w:r>
            <w:r w:rsidR="00D276BF">
              <w:rPr>
                <w:webHidden/>
              </w:rPr>
              <w:fldChar w:fldCharType="begin"/>
            </w:r>
            <w:r w:rsidR="00D276BF">
              <w:rPr>
                <w:webHidden/>
              </w:rPr>
              <w:instrText>PAGEREF _Toc126333943 \h</w:instrText>
            </w:r>
            <w:r w:rsidR="00D276BF">
              <w:rPr>
                <w:webHidden/>
              </w:rPr>
            </w:r>
            <w:r w:rsidR="00D276BF">
              <w:rPr>
                <w:webHidden/>
              </w:rPr>
              <w:fldChar w:fldCharType="separate"/>
            </w:r>
            <w:r w:rsidR="00D276BF">
              <w:rPr>
                <w:rStyle w:val="Rodyklssaitas"/>
              </w:rPr>
              <w:tab/>
              <w:t>29</w:t>
            </w:r>
            <w:r w:rsidR="00D276BF">
              <w:rPr>
                <w:webHidden/>
              </w:rPr>
              <w:fldChar w:fldCharType="end"/>
            </w:r>
          </w:hyperlink>
        </w:p>
        <w:p w:rsidR="007826EE" w:rsidRDefault="005750A2">
          <w:pPr>
            <w:pStyle w:val="TOC2"/>
            <w:rPr>
              <w:sz w:val="22"/>
              <w:szCs w:val="22"/>
              <w:lang w:val="en-US" w:eastAsia="en-US"/>
            </w:rPr>
          </w:pPr>
          <w:hyperlink w:anchor="_Toc126333944">
            <w:r w:rsidR="00D276BF">
              <w:rPr>
                <w:rStyle w:val="Rodyklssaitas"/>
                <w:rFonts w:eastAsia="Calibri" w:cstheme="minorHAnsi"/>
                <w:webHidden/>
              </w:rPr>
              <w:t>Pirkimo sąlygų 6 priedas „Pasiūlymo forma“</w:t>
            </w:r>
            <w:r w:rsidR="00D276BF">
              <w:rPr>
                <w:webHidden/>
              </w:rPr>
              <w:fldChar w:fldCharType="begin"/>
            </w:r>
            <w:r w:rsidR="00D276BF">
              <w:rPr>
                <w:webHidden/>
              </w:rPr>
              <w:instrText>PAGEREF _Toc126333944 \h</w:instrText>
            </w:r>
            <w:r w:rsidR="00D276BF">
              <w:rPr>
                <w:webHidden/>
              </w:rPr>
            </w:r>
            <w:r w:rsidR="00D276BF">
              <w:rPr>
                <w:webHidden/>
              </w:rPr>
              <w:fldChar w:fldCharType="separate"/>
            </w:r>
            <w:r w:rsidR="00D276BF">
              <w:rPr>
                <w:rStyle w:val="Rodyklssaitas"/>
              </w:rPr>
              <w:tab/>
              <w:t>30</w:t>
            </w:r>
            <w:r w:rsidR="00D276BF">
              <w:rPr>
                <w:webHidden/>
              </w:rPr>
              <w:fldChar w:fldCharType="end"/>
            </w:r>
          </w:hyperlink>
        </w:p>
        <w:p w:rsidR="007826EE" w:rsidRDefault="005750A2">
          <w:pPr>
            <w:pStyle w:val="TOC2"/>
            <w:rPr>
              <w:sz w:val="22"/>
              <w:szCs w:val="22"/>
              <w:lang w:val="en-US" w:eastAsia="en-US"/>
            </w:rPr>
          </w:pPr>
          <w:hyperlink w:anchor="_Toc126333945">
            <w:r w:rsidR="00D276BF">
              <w:rPr>
                <w:rStyle w:val="Rodyklssaitas"/>
                <w:rFonts w:eastAsia="Calibri" w:cstheme="minorHAnsi"/>
                <w:webHidden/>
              </w:rPr>
              <w:t>Pirkimo sąlygų 7 priedas „Pasiūlymų vertinimo kriterijai ir sąlygos“</w:t>
            </w:r>
            <w:r w:rsidR="00D276BF">
              <w:rPr>
                <w:webHidden/>
              </w:rPr>
              <w:fldChar w:fldCharType="begin"/>
            </w:r>
            <w:r w:rsidR="00D276BF">
              <w:rPr>
                <w:webHidden/>
              </w:rPr>
              <w:instrText>PAGEREF _Toc126333945 \h</w:instrText>
            </w:r>
            <w:r w:rsidR="00D276BF">
              <w:rPr>
                <w:webHidden/>
              </w:rPr>
            </w:r>
            <w:r w:rsidR="00D276BF">
              <w:rPr>
                <w:webHidden/>
              </w:rPr>
              <w:fldChar w:fldCharType="separate"/>
            </w:r>
            <w:r w:rsidR="00D276BF">
              <w:rPr>
                <w:rStyle w:val="Rodyklssaitas"/>
              </w:rPr>
              <w:tab/>
              <w:t>31</w:t>
            </w:r>
            <w:r w:rsidR="00D276BF">
              <w:rPr>
                <w:webHidden/>
              </w:rPr>
              <w:fldChar w:fldCharType="end"/>
            </w:r>
          </w:hyperlink>
        </w:p>
        <w:p w:rsidR="007826EE" w:rsidRDefault="005750A2">
          <w:pPr>
            <w:pStyle w:val="TOC2"/>
            <w:rPr>
              <w:sz w:val="22"/>
              <w:szCs w:val="22"/>
              <w:lang w:val="en-US" w:eastAsia="en-US"/>
            </w:rPr>
          </w:pPr>
          <w:hyperlink w:anchor="_Toc126333948">
            <w:r w:rsidR="00D276BF">
              <w:rPr>
                <w:rStyle w:val="Rodyklssaitas"/>
                <w:webHidden/>
              </w:rPr>
              <w:t>Pirkimo sąlygų 8 priedas „Sutarties projektas“</w:t>
            </w:r>
            <w:r w:rsidR="00D276BF">
              <w:rPr>
                <w:webHidden/>
              </w:rPr>
              <w:fldChar w:fldCharType="begin"/>
            </w:r>
            <w:r w:rsidR="00D276BF">
              <w:rPr>
                <w:webHidden/>
              </w:rPr>
              <w:instrText>PAGEREF _Toc126333948 \h</w:instrText>
            </w:r>
            <w:r w:rsidR="00D276BF">
              <w:rPr>
                <w:webHidden/>
              </w:rPr>
            </w:r>
            <w:r w:rsidR="00D276BF">
              <w:rPr>
                <w:webHidden/>
              </w:rPr>
              <w:fldChar w:fldCharType="separate"/>
            </w:r>
            <w:r w:rsidR="00D276BF">
              <w:rPr>
                <w:rStyle w:val="Rodyklssaitas"/>
              </w:rPr>
              <w:tab/>
              <w:t>32</w:t>
            </w:r>
            <w:r w:rsidR="00D276BF">
              <w:rPr>
                <w:webHidden/>
              </w:rPr>
              <w:fldChar w:fldCharType="end"/>
            </w:r>
          </w:hyperlink>
        </w:p>
        <w:p w:rsidR="007826EE" w:rsidRDefault="00D276BF">
          <w:pPr>
            <w:spacing w:after="120" w:line="20" w:lineRule="atLeast"/>
            <w:contextualSpacing/>
            <w:rPr>
              <w:rFonts w:cstheme="minorHAnsi"/>
            </w:rPr>
          </w:pPr>
          <w:r>
            <w:rPr>
              <w:rFonts w:cs="Calibri"/>
            </w:rPr>
            <w:fldChar w:fldCharType="end"/>
          </w:r>
        </w:p>
      </w:sdtContent>
    </w:sdt>
    <w:p w:rsidR="007826EE" w:rsidRDefault="00D276BF">
      <w:pPr>
        <w:spacing w:after="120" w:line="20" w:lineRule="atLeast"/>
        <w:contextualSpacing/>
        <w:rPr>
          <w:rFonts w:cstheme="minorHAnsi"/>
        </w:rPr>
      </w:pPr>
      <w:r>
        <w:br w:type="page"/>
      </w:r>
    </w:p>
    <w:p w:rsidR="007826EE" w:rsidRDefault="00D276BF">
      <w:pPr>
        <w:pStyle w:val="Heading1"/>
        <w:numPr>
          <w:ilvl w:val="0"/>
          <w:numId w:val="1"/>
        </w:numPr>
        <w:spacing w:line="20" w:lineRule="atLeast"/>
        <w:ind w:left="567" w:hanging="567"/>
        <w:contextualSpacing/>
        <w:rPr>
          <w:rFonts w:ascii="Times New Roman" w:hAnsi="Times New Roman" w:cs="Times New Roman"/>
        </w:rPr>
      </w:pPr>
      <w:bookmarkStart w:id="1" w:name="_Toc126333928"/>
      <w:r>
        <w:rPr>
          <w:rFonts w:ascii="Times New Roman" w:hAnsi="Times New Roman" w:cs="Times New Roman"/>
        </w:rPr>
        <w:lastRenderedPageBreak/>
        <w:t>Bendra informacija</w:t>
      </w:r>
      <w:bookmarkEnd w:id="1"/>
    </w:p>
    <w:p w:rsidR="007826EE" w:rsidRDefault="00D276BF">
      <w:pPr>
        <w:pStyle w:val="ListParagraph"/>
        <w:numPr>
          <w:ilvl w:val="1"/>
          <w:numId w:val="1"/>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 Policijos sistemos centrinė perkančioji organizacija – Policijos departamentas prie Lietuvos Respublikos vidaus reikalų ministerijos (toliau – Policijos departamentas), juridinio asmens kodas 188785847, adresas Saltoniškių g. 19, 08106 Vilnius. Perkančioji organizacija yra PVM mokėtoja. Sutartį pasirašys perkančioji organizacija.</w:t>
      </w:r>
    </w:p>
    <w:p w:rsidR="007826EE" w:rsidRDefault="00D276BF">
      <w:pPr>
        <w:pStyle w:val="ListParagraph"/>
        <w:numPr>
          <w:ilvl w:val="1"/>
          <w:numId w:val="1"/>
        </w:numPr>
        <w:spacing w:after="0" w:line="20" w:lineRule="atLeast"/>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Pirkimas neatliekamas naudojantis centralizuotų pirkimų katalogu, nes centralizuotame pirkimų kataloge nėra A tarnybinių stočių, atitinkančių perkančiosios organizacijos nustatytus pirkimo objekto parametrus.</w:t>
      </w:r>
    </w:p>
    <w:p w:rsidR="007826EE" w:rsidRDefault="00D276BF">
      <w:pPr>
        <w:pStyle w:val="ListParagraph"/>
        <w:numPr>
          <w:ilvl w:val="1"/>
          <w:numId w:val="1"/>
        </w:numPr>
        <w:spacing w:after="0" w:line="20" w:lineRule="atLeast"/>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rsidR="007826EE" w:rsidRDefault="00D276BF">
      <w:pPr>
        <w:pStyle w:val="ListParagraph"/>
        <w:numPr>
          <w:ilvl w:val="1"/>
          <w:numId w:val="1"/>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Stebėtojai dalyvauti Komisijos posėdžiuose nėra kviečiami.</w:t>
      </w:r>
    </w:p>
    <w:p w:rsidR="007826EE" w:rsidRDefault="00D276BF">
      <w:pPr>
        <w:pStyle w:val="ListParagraph"/>
        <w:numPr>
          <w:ilvl w:val="1"/>
          <w:numId w:val="1"/>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4.4.4.3 p., aplinkos apaugos kriterijus nustatyti specialiųjų pirkimo sąlygų 2 priede „Techninė specifikacija“ ir  8 priede „Sutarties projektas“. </w:t>
      </w:r>
      <w:r>
        <w:rPr>
          <w:rFonts w:ascii="Times New Roman" w:hAnsi="Times New Roman" w:cs="Times New Roman"/>
          <w:i/>
          <w:iCs/>
          <w:sz w:val="24"/>
          <w:szCs w:val="24"/>
        </w:rPr>
        <w:t xml:space="preserve"> t.y. prekei pagaminti, paslaugai teikti ar darbams atlikti naudojama mažiau ar nenaudojama pavojingųjų cheminių medžiagų, neteršiama aplinka ir nekeliamas pavojus sveikatai.  </w:t>
      </w:r>
    </w:p>
    <w:p w:rsidR="007826EE" w:rsidRDefault="00D276BF">
      <w:pPr>
        <w:pStyle w:val="ListParagraph"/>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Išankstinis skelbimas apie pirkimą nebuvo paskelbtas.</w:t>
      </w:r>
    </w:p>
    <w:p w:rsidR="007826EE" w:rsidRDefault="00D276BF">
      <w:pPr>
        <w:pStyle w:val="ListParagraph"/>
        <w:numPr>
          <w:ilvl w:val="1"/>
          <w:numId w:val="5"/>
        </w:numPr>
        <w:tabs>
          <w:tab w:val="left" w:pos="851"/>
          <w:tab w:val="left" w:pos="993"/>
        </w:tabs>
        <w:spacing w:after="0" w:line="240" w:lineRule="auto"/>
        <w:ind w:left="720" w:firstLine="207"/>
        <w:jc w:val="both"/>
        <w:rPr>
          <w:rFonts w:ascii="Times New Roman" w:hAnsi="Times New Roman" w:cs="Times New Roman"/>
          <w:sz w:val="24"/>
          <w:szCs w:val="24"/>
        </w:rPr>
      </w:pP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rsidR="007826EE" w:rsidRDefault="00D276BF">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rsidR="007826EE" w:rsidRDefault="00D276BF">
      <w:pPr>
        <w:pStyle w:val="ListParagraph"/>
        <w:numPr>
          <w:ilvl w:val="1"/>
          <w:numId w:val="5"/>
        </w:numPr>
        <w:tabs>
          <w:tab w:val="left" w:pos="993"/>
        </w:tabs>
        <w:spacing w:after="0" w:line="240" w:lineRule="auto"/>
        <w:ind w:left="720" w:firstLine="20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rsidR="007826EE" w:rsidRDefault="00D276BF">
      <w:pPr>
        <w:pStyle w:val="ListParagraph"/>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Pirkimas finansuojamas Vidaus saugumo fondo 2021–2027 m. programos lėšomis. Projektas Nr. VSF/2025/232 „Policijos pajėgumų stiprinimas užtikrinant tarptautinės narkotikų apyvartos kontrolę bei kovą su organizuotu nusikalstamumu, II etapas“</w:t>
      </w:r>
    </w:p>
    <w:p w:rsidR="007826EE" w:rsidRDefault="00D276BF">
      <w:pPr>
        <w:pStyle w:val="Heading1"/>
        <w:spacing w:line="20" w:lineRule="atLeast"/>
        <w:contextualSpacing/>
        <w:rPr>
          <w:rFonts w:ascii="Times New Roman" w:hAnsi="Times New Roman" w:cs="Times New Roman"/>
        </w:rPr>
      </w:pPr>
      <w:bookmarkStart w:id="2" w:name="_Toc335201954"/>
      <w:bookmarkStart w:id="3" w:name="_Toc126333929"/>
      <w:bookmarkStart w:id="4" w:name="_Ref39426338"/>
      <w:bookmarkStart w:id="5" w:name="_Ref39426332"/>
      <w:bookmarkEnd w:id="2"/>
      <w:r>
        <w:rPr>
          <w:rFonts w:ascii="Times New Roman" w:hAnsi="Times New Roman" w:cs="Times New Roman"/>
        </w:rPr>
        <w:t>2. Pirkimo objektas</w:t>
      </w:r>
      <w:bookmarkEnd w:id="3"/>
      <w:bookmarkEnd w:id="4"/>
      <w:bookmarkEnd w:id="5"/>
    </w:p>
    <w:p w:rsidR="007826EE" w:rsidRDefault="00D276BF">
      <w:pPr>
        <w:pStyle w:val="ListParagraph"/>
        <w:numPr>
          <w:ilvl w:val="1"/>
          <w:numId w:val="3"/>
        </w:numPr>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Perkančioji organizacija numato įsigyti A tipo tarnybinę stotį, įskaitant jos pristatymą, 2 vnt. Reikalavimai pirkimo objektui nustatyti specialiųjų pirkimo sąlygų 2 priede.</w:t>
      </w:r>
      <w:r>
        <w:rPr>
          <w:rFonts w:ascii="Times New Roman" w:hAnsi="Times New Roman" w:cs="Times New Roman"/>
          <w:sz w:val="24"/>
          <w:szCs w:val="24"/>
        </w:rPr>
        <w:t xml:space="preserve"> </w:t>
      </w:r>
    </w:p>
    <w:p w:rsidR="007826EE" w:rsidRDefault="00D276BF">
      <w:pPr>
        <w:pStyle w:val="ListParagraph"/>
        <w:numPr>
          <w:ilvl w:val="1"/>
          <w:numId w:val="3"/>
        </w:numPr>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Prekių kodas pagal Bendrąjį viešųjų pirkimų žodyną (BVPŽ 48822000-6 Kompiuterių serveriai (Prekės).</w:t>
      </w:r>
    </w:p>
    <w:p w:rsidR="007826EE" w:rsidRDefault="00D276BF">
      <w:pPr>
        <w:pStyle w:val="ListParagraph"/>
        <w:numPr>
          <w:ilvl w:val="1"/>
          <w:numId w:val="3"/>
        </w:numPr>
        <w:ind w:left="142" w:firstLine="425"/>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Pirkimo objektas į dalis neskaidomas. Skaidyti sudėtinga techniniu požiūriu: Serveriai turi sąveikauti tarpusavyje ir vienas kitą keisti gedimo atveju. Pirkimo apimtys, reikalavimai ir techninė specifikacija apibrėžti specialiųjų pirkimo sąlygų 2 priede.</w:t>
      </w:r>
    </w:p>
    <w:p w:rsidR="007826EE" w:rsidRDefault="00D276BF">
      <w:pPr>
        <w:pStyle w:val="ListParagraph"/>
        <w:numPr>
          <w:ilvl w:val="1"/>
          <w:numId w:val="3"/>
        </w:numPr>
        <w:ind w:left="142" w:firstLine="425"/>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7826EE" w:rsidRDefault="00D276BF">
      <w:pPr>
        <w:pStyle w:val="ListParagraph"/>
        <w:numPr>
          <w:ilvl w:val="1"/>
          <w:numId w:val="3"/>
        </w:numPr>
        <w:ind w:left="142" w:firstLine="425"/>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turi būti laikoma, kad kiekviena tokia nuoroda yra pateikta su žodžiais „arba lygiavertis“.</w:t>
      </w:r>
    </w:p>
    <w:p w:rsidR="007826EE" w:rsidRDefault="00D276BF">
      <w:pPr>
        <w:pStyle w:val="ListParagraph"/>
        <w:numPr>
          <w:ilvl w:val="1"/>
          <w:numId w:val="3"/>
        </w:numPr>
        <w:ind w:left="142" w:firstLine="425"/>
        <w:rPr>
          <w:rFonts w:ascii="Times New Roman" w:eastAsia="Calibri" w:hAnsi="Times New Roman" w:cs="Times New Roman"/>
          <w:color w:val="000000" w:themeColor="text1"/>
          <w:sz w:val="24"/>
          <w:szCs w:val="24"/>
        </w:rPr>
      </w:pPr>
      <w:r>
        <w:rPr>
          <w:rFonts w:ascii="Times New Roman" w:hAnsi="Times New Roman" w:cs="Times New Roman"/>
          <w:sz w:val="24"/>
          <w:szCs w:val="24"/>
        </w:rPr>
        <w:t>Pirkimo objekto ir teikiamų dokumentų lygiavertiškumą turi įrodyti tiekėjas.</w:t>
      </w:r>
    </w:p>
    <w:p w:rsidR="007826EE" w:rsidRDefault="007826EE">
      <w:pPr>
        <w:pStyle w:val="ListParagraph"/>
        <w:spacing w:after="0" w:line="240" w:lineRule="auto"/>
        <w:ind w:left="0" w:firstLine="567"/>
        <w:jc w:val="both"/>
        <w:rPr>
          <w:rFonts w:ascii="Times New Roman" w:hAnsi="Times New Roman" w:cs="Times New Roman"/>
        </w:rPr>
      </w:pPr>
    </w:p>
    <w:p w:rsidR="007826EE" w:rsidRDefault="007826EE">
      <w:pPr>
        <w:pStyle w:val="ListParagraph"/>
        <w:spacing w:after="0" w:line="240" w:lineRule="auto"/>
        <w:ind w:left="0" w:firstLine="567"/>
        <w:jc w:val="both"/>
        <w:rPr>
          <w:rFonts w:cstheme="minorHAnsi"/>
        </w:rPr>
      </w:pPr>
    </w:p>
    <w:p w:rsidR="007826EE" w:rsidRDefault="00D276BF">
      <w:pPr>
        <w:pStyle w:val="Heading1"/>
        <w:spacing w:line="20" w:lineRule="atLeast"/>
        <w:contextualSpacing/>
        <w:rPr>
          <w:rFonts w:ascii="Times New Roman" w:hAnsi="Times New Roman" w:cs="Times New Roman"/>
        </w:rPr>
      </w:pPr>
      <w:bookmarkStart w:id="6" w:name="_Toc126333930"/>
      <w:r>
        <w:rPr>
          <w:rFonts w:ascii="Times New Roman" w:hAnsi="Times New Roman" w:cs="Times New Roman"/>
        </w:rPr>
        <w:t xml:space="preserve">3. </w:t>
      </w:r>
      <w:bookmarkStart w:id="7" w:name="_Ref39427927"/>
      <w:bookmarkStart w:id="8" w:name="_Ref39427921"/>
      <w:bookmarkStart w:id="9" w:name="_Ref39740354"/>
      <w:r>
        <w:rPr>
          <w:rFonts w:ascii="Times New Roman" w:hAnsi="Times New Roman" w:cs="Times New Roman"/>
        </w:rPr>
        <w:t>Susitikimai su tiekėjais</w:t>
      </w:r>
      <w:bookmarkEnd w:id="7"/>
      <w:bookmarkEnd w:id="8"/>
      <w:r>
        <w:rPr>
          <w:rFonts w:ascii="Times New Roman" w:hAnsi="Times New Roman" w:cs="Times New Roman"/>
        </w:rPr>
        <w:t xml:space="preserve"> ir objekto apžiūra</w:t>
      </w:r>
      <w:bookmarkEnd w:id="6"/>
      <w:bookmarkEnd w:id="9"/>
    </w:p>
    <w:p w:rsidR="007826EE" w:rsidRDefault="00D276BF">
      <w:pPr>
        <w:pStyle w:val="Body2"/>
        <w:numPr>
          <w:ilvl w:val="1"/>
          <w:numId w:val="6"/>
        </w:numPr>
        <w:tabs>
          <w:tab w:val="left" w:pos="993"/>
        </w:tabs>
        <w:spacing w:after="0"/>
        <w:ind w:firstLine="207"/>
        <w:rPr>
          <w:rFonts w:cs="Times New Roman"/>
          <w:sz w:val="24"/>
          <w:szCs w:val="24"/>
          <w:lang w:val="lt-LT"/>
        </w:rPr>
      </w:pPr>
      <w:r>
        <w:rPr>
          <w:rFonts w:cs="Times New Roman"/>
          <w:sz w:val="24"/>
          <w:szCs w:val="24"/>
          <w:lang w:val="lt-LT"/>
        </w:rPr>
        <w:t xml:space="preserve">Perkančioji organizacija nerengs susitikimus dėl pirkimo sąlygų paaiškinimo. </w:t>
      </w:r>
    </w:p>
    <w:p w:rsidR="007826EE" w:rsidRDefault="00D276BF">
      <w:pPr>
        <w:pStyle w:val="Body2"/>
        <w:numPr>
          <w:ilvl w:val="1"/>
          <w:numId w:val="6"/>
        </w:numPr>
        <w:tabs>
          <w:tab w:val="left" w:pos="993"/>
        </w:tabs>
        <w:spacing w:after="0"/>
        <w:ind w:firstLine="207"/>
        <w:rPr>
          <w:rFonts w:cs="Times New Roman"/>
          <w:sz w:val="24"/>
          <w:szCs w:val="24"/>
          <w:lang w:val="lt-LT"/>
        </w:rPr>
      </w:pPr>
      <w:r>
        <w:rPr>
          <w:rFonts w:cs="Times New Roman"/>
          <w:color w:val="000000" w:themeColor="text1"/>
          <w:sz w:val="24"/>
          <w:szCs w:val="24"/>
          <w:lang w:val="lt-LT"/>
        </w:rPr>
        <w:t>Perkančioji organizacija nerengs objekto (prekių pristatymo vietos (-ų)) apžiūros</w:t>
      </w:r>
      <w:r>
        <w:rPr>
          <w:rFonts w:eastAsia="Calibri" w:cs="Times New Roman"/>
          <w:b/>
          <w:bCs/>
          <w:i/>
          <w:color w:val="7030A0"/>
          <w:sz w:val="24"/>
          <w:szCs w:val="24"/>
          <w:lang w:val="lt-LT"/>
        </w:rPr>
        <w:t>.</w:t>
      </w:r>
    </w:p>
    <w:p w:rsidR="007826EE" w:rsidRDefault="00D276BF">
      <w:pPr>
        <w:pStyle w:val="Heading1"/>
        <w:spacing w:line="20" w:lineRule="atLeast"/>
        <w:contextualSpacing/>
        <w:rPr>
          <w:rFonts w:ascii="Times New Roman" w:hAnsi="Times New Roman" w:cs="Times New Roman"/>
        </w:rPr>
      </w:pPr>
      <w:bookmarkStart w:id="10" w:name="_Ref39474188"/>
      <w:bookmarkStart w:id="11" w:name="_Ref39473761"/>
      <w:bookmarkStart w:id="12" w:name="_Ref39473754"/>
      <w:bookmarkStart w:id="13" w:name="_Toc126333931"/>
      <w:r>
        <w:rPr>
          <w:rFonts w:ascii="Times New Roman" w:hAnsi="Times New Roman" w:cs="Times New Roman"/>
        </w:rPr>
        <w:t>4. Tiekėjų pašalinimo pagrindai</w:t>
      </w:r>
      <w:bookmarkEnd w:id="10"/>
      <w:bookmarkEnd w:id="11"/>
      <w:bookmarkEnd w:id="12"/>
      <w:r>
        <w:rPr>
          <w:rFonts w:ascii="Times New Roman" w:hAnsi="Times New Roman" w:cs="Times New Roman"/>
        </w:rPr>
        <w:t xml:space="preserve"> ir kvalifikacijos reikalavimai</w:t>
      </w:r>
      <w:bookmarkEnd w:id="13"/>
    </w:p>
    <w:p w:rsidR="007826EE" w:rsidRDefault="00D276BF">
      <w:pPr>
        <w:spacing w:after="120" w:line="20" w:lineRule="atLeast"/>
        <w:ind w:firstLine="567"/>
        <w:contextualSpacing/>
        <w:jc w:val="both"/>
        <w:rPr>
          <w:rFonts w:ascii="Times New Roman" w:hAnsi="Times New Roman" w:cs="Times New Roman"/>
          <w:color w:val="000000" w:themeColor="text1"/>
          <w:sz w:val="24"/>
          <w:szCs w:val="24"/>
        </w:rPr>
      </w:pPr>
      <w:bookmarkStart w:id="14" w:name="_Toc126333932"/>
      <w:r>
        <w:rPr>
          <w:rFonts w:ascii="Times New Roman" w:hAnsi="Times New Roman" w:cs="Times New Roman"/>
          <w:color w:val="000000" w:themeColor="text1"/>
          <w:sz w:val="24"/>
          <w:szCs w:val="24"/>
        </w:rPr>
        <w:t>4.1. Reikalavimai dėl tiekėjo ir</w:t>
      </w:r>
      <w:bookmarkStart w:id="15" w:name="_Hlk41039660"/>
      <w:r>
        <w:rPr>
          <w:rFonts w:ascii="Times New Roman" w:hAnsi="Times New Roman" w:cs="Times New Roman"/>
          <w:color w:val="000000" w:themeColor="text1"/>
          <w:sz w:val="24"/>
          <w:szCs w:val="24"/>
        </w:rPr>
        <w:t xml:space="preserve"> subtiekėjų (jei taikoma), ūkio subjektų, kurių pajėgumais tiekėjas remiasi, </w:t>
      </w:r>
      <w:bookmarkEnd w:id="15"/>
      <w:r>
        <w:rPr>
          <w:rFonts w:ascii="Times New Roman" w:hAnsi="Times New Roman" w:cs="Times New Roman"/>
          <w:color w:val="000000" w:themeColor="text1"/>
          <w:sz w:val="24"/>
          <w:szCs w:val="24"/>
        </w:rPr>
        <w:t xml:space="preserve">pašalinimo pagrindų nebuvimo bei jų nebuvimą patvirtinantys dokumentai nurodyti specialiųjų </w:t>
      </w:r>
      <w:r>
        <w:rPr>
          <w:rFonts w:ascii="Times New Roman" w:eastAsia="Calibri" w:hAnsi="Times New Roman" w:cs="Times New Roman"/>
          <w:color w:val="000000" w:themeColor="text1"/>
          <w:sz w:val="24"/>
          <w:szCs w:val="24"/>
        </w:rPr>
        <w:t xml:space="preserve">pirkimo sąlygų </w:t>
      </w:r>
      <w:r>
        <w:rPr>
          <w:rFonts w:ascii="Times New Roman" w:hAnsi="Times New Roman" w:cs="Times New Roman"/>
          <w:color w:val="000000" w:themeColor="text1"/>
          <w:sz w:val="24"/>
          <w:szCs w:val="24"/>
        </w:rPr>
        <w:t xml:space="preserve">3  </w:t>
      </w:r>
      <w:r>
        <w:rPr>
          <w:rFonts w:ascii="Times New Roman" w:eastAsia="Calibri" w:hAnsi="Times New Roman" w:cs="Times New Roman"/>
          <w:color w:val="000000" w:themeColor="text1"/>
          <w:sz w:val="24"/>
          <w:szCs w:val="24"/>
        </w:rPr>
        <w:t>priede</w:t>
      </w:r>
      <w:r>
        <w:rPr>
          <w:rFonts w:ascii="Times New Roman" w:hAnsi="Times New Roman" w:cs="Times New Roman"/>
          <w:color w:val="000000" w:themeColor="text1"/>
          <w:sz w:val="24"/>
          <w:szCs w:val="24"/>
        </w:rPr>
        <w:t xml:space="preserve">. </w:t>
      </w:r>
    </w:p>
    <w:p w:rsidR="007826EE" w:rsidRDefault="00D276BF">
      <w:pPr>
        <w:tabs>
          <w:tab w:val="left" w:pos="851"/>
        </w:tabs>
        <w:spacing w:after="0"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4.2.Tiekėjams nenustatomi kvalifikacijos reikalavimai</w:t>
      </w:r>
      <w:r>
        <w:rPr>
          <w:rFonts w:ascii="Times New Roman" w:hAnsi="Times New Roman" w:cs="Times New Roman"/>
          <w:sz w:val="24"/>
          <w:szCs w:val="24"/>
        </w:rPr>
        <w:t xml:space="preserve"> ir (arba) reikalavimai dėl kokybės vadybos sistemos ir (arba) aplinkos apsaugos vadybos sistemos standartų laikymosi. </w:t>
      </w:r>
    </w:p>
    <w:p w:rsidR="007826EE" w:rsidRDefault="00D276BF">
      <w:pPr>
        <w:pStyle w:val="Heading1"/>
        <w:tabs>
          <w:tab w:val="left" w:pos="567"/>
        </w:tabs>
        <w:spacing w:after="0"/>
        <w:contextualSpacing/>
        <w:jc w:val="both"/>
        <w:rPr>
          <w:rFonts w:cstheme="minorBidi"/>
        </w:rPr>
      </w:pPr>
      <w:r>
        <w:rPr>
          <w:rFonts w:asciiTheme="minorHAnsi" w:hAnsiTheme="minorHAnsi" w:cstheme="minorHAnsi"/>
        </w:rPr>
        <w:t>5.</w:t>
      </w:r>
      <w:r>
        <w:rPr>
          <w:rFonts w:ascii="Calibri" w:hAnsi="Calibri" w:cs="Calibri"/>
        </w:rPr>
        <w:t>Reikalavimai, susiję su nacionaliniu saugumu</w:t>
      </w:r>
      <w:bookmarkEnd w:id="14"/>
      <w:r>
        <w:t xml:space="preserve"> </w:t>
      </w:r>
    </w:p>
    <w:p w:rsidR="007826EE" w:rsidRDefault="00D276BF">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Pr>
          <w:rFonts w:ascii="Times New Roman" w:hAnsi="Times New Roman" w:cs="Times New Roman"/>
          <w:color w:val="000000" w:themeColor="text1"/>
          <w:sz w:val="24"/>
          <w:szCs w:val="24"/>
        </w:rPr>
        <w:t>Tiekėjai teikdami pasiūlymą, specialiųjų sąlygų 6 priede ,,Pasiūlymo forma“ turi patvirtinti, kad atitinka Reglamento nuostatas</w:t>
      </w:r>
      <w:r>
        <w:rPr>
          <w:rFonts w:ascii="Times New Roman" w:hAnsi="Times New Roman" w:cs="Times New Roman"/>
          <w:sz w:val="24"/>
          <w:szCs w:val="24"/>
        </w:rPr>
        <w:t>. Kilus abejonių dėl tiekėjo atitikties Reglamento nuostatoms, perkančioji organizacija iš galimo laimėtojo prašys pateikti dokumentus, įrodančius deklaracijoje pateiktų duomenų teisingumą.</w:t>
      </w:r>
    </w:p>
    <w:p w:rsidR="007826EE" w:rsidRDefault="00D276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826EE" w:rsidRDefault="00D276BF">
      <w:pPr>
        <w:spacing w:after="0" w:line="240" w:lineRule="auto"/>
        <w:ind w:firstLine="567"/>
        <w:jc w:val="both"/>
        <w:rPr>
          <w:rFonts w:ascii="Times New Roman" w:eastAsia="Arial Unicode MS" w:hAnsi="Times New Roman" w:cs="Times New Roman"/>
          <w:sz w:val="24"/>
          <w:szCs w:val="24"/>
        </w:rPr>
      </w:pPr>
      <w:r>
        <w:rPr>
          <w:rFonts w:ascii="Times New Roman" w:hAnsi="Times New Roman" w:cs="Times New Roman"/>
          <w:sz w:val="24"/>
          <w:szCs w:val="24"/>
        </w:rPr>
        <w:t xml:space="preserve">5.3. Pirkimo objektas </w:t>
      </w:r>
      <w:r>
        <w:rPr>
          <w:rFonts w:ascii="Times New Roman" w:eastAsia="Arial Unicode MS" w:hAnsi="Times New Roman" w:cs="Times New Roman"/>
          <w:b/>
          <w:bCs/>
          <w:sz w:val="24"/>
          <w:szCs w:val="24"/>
        </w:rPr>
        <w:t>neturi kelti grėsmės nacionaliniam saugumui</w:t>
      </w:r>
      <w:r>
        <w:rPr>
          <w:rFonts w:ascii="Times New Roman" w:eastAsia="Arial Unicode MS" w:hAnsi="Times New Roman" w:cs="Times New Roman"/>
          <w:sz w:val="24"/>
          <w:szCs w:val="24"/>
        </w:rPr>
        <w:t xml:space="preserve">. </w:t>
      </w:r>
    </w:p>
    <w:p w:rsidR="007826EE" w:rsidRDefault="00D276BF">
      <w:pPr>
        <w:spacing w:after="0" w:line="240" w:lineRule="auto"/>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5.4. Perkančioji organizacija, vadovaudamasi VPĮ 37 straipsnio 9 dalies 1 punktu laikys, kad pirkimo objektas kelia grėsmę nacionaliniam saugumui, kai </w:t>
      </w:r>
      <w:r>
        <w:rPr>
          <w:rFonts w:ascii="Times New Roman" w:eastAsia="Arial Unicode MS" w:hAnsi="Times New Roman" w:cs="Times New Roman"/>
          <w:b/>
          <w:sz w:val="24"/>
          <w:szCs w:val="24"/>
        </w:rPr>
        <w:t xml:space="preserve">Prekių gamintojas </w:t>
      </w:r>
      <w:r>
        <w:rPr>
          <w:rFonts w:ascii="Times New Roman" w:hAnsi="Times New Roman" w:cs="Times New Roman"/>
          <w:sz w:val="24"/>
          <w:szCs w:val="24"/>
        </w:rPr>
        <w:t>ar jį kontroliuojantis asmuo</w:t>
      </w:r>
      <w:r>
        <w:rPr>
          <w:rStyle w:val="Inaosprieraias"/>
          <w:rFonts w:ascii="Times New Roman" w:hAnsi="Times New Roman" w:cs="Times New Roman"/>
          <w:sz w:val="24"/>
          <w:szCs w:val="24"/>
        </w:rPr>
        <w:footnoteReference w:id="1"/>
      </w:r>
      <w:r>
        <w:rPr>
          <w:rFonts w:ascii="Times New Roman" w:hAnsi="Times New Roman" w:cs="Times New Roman"/>
          <w:sz w:val="24"/>
          <w:szCs w:val="24"/>
        </w:rPr>
        <w:t xml:space="preserve"> yra registruoti (jeigu gamintojas ar jį kontroliuojantis asmuo yra fizinis asmuo – nuolat gyvenantis ar turintis pilietybę) VPĮ </w:t>
      </w:r>
      <w:r>
        <w:rPr>
          <w:rFonts w:ascii="Times New Roman" w:hAnsi="Times New Roman" w:cs="Times New Roman"/>
          <w:color w:val="000000"/>
          <w:sz w:val="24"/>
          <w:szCs w:val="24"/>
        </w:rPr>
        <w:t>92 straipsnio 14 dalyje numatytame sąraše nurodytose valstybėse ar teritorijose</w:t>
      </w:r>
      <w:r>
        <w:rPr>
          <w:rFonts w:ascii="Times New Roman" w:hAnsi="Times New Roman" w:cs="Times New Roman"/>
          <w:sz w:val="24"/>
          <w:szCs w:val="24"/>
        </w:rPr>
        <w:t xml:space="preserve"> </w:t>
      </w:r>
      <w:r>
        <w:rPr>
          <w:rFonts w:ascii="Times New Roman" w:eastAsia="Arial Unicode MS" w:hAnsi="Times New Roman" w:cs="Times New Roman"/>
          <w:sz w:val="24"/>
          <w:szCs w:val="24"/>
        </w:rPr>
        <w:t>(</w:t>
      </w:r>
      <w:hyperlink r:id="rId12">
        <w:r>
          <w:rPr>
            <w:rFonts w:ascii="Times New Roman" w:eastAsia="Arial Unicode MS" w:hAnsi="Times New Roman" w:cs="Times New Roman"/>
            <w:sz w:val="24"/>
            <w:szCs w:val="24"/>
          </w:rPr>
          <w:t>https://e-seimas.lrs.lt/portal/legalAct/lt/TAP/16f99e01af6811ecaf79c2120caf5094</w:t>
        </w:r>
      </w:hyperlink>
      <w:r>
        <w:rPr>
          <w:rFonts w:ascii="Times New Roman" w:eastAsia="Arial Unicode MS" w:hAnsi="Times New Roman" w:cs="Times New Roman"/>
          <w:sz w:val="24"/>
          <w:szCs w:val="24"/>
        </w:rPr>
        <w:t>).</w:t>
      </w:r>
    </w:p>
    <w:p w:rsidR="007826EE" w:rsidRDefault="00D276BF">
      <w:pPr>
        <w:spacing w:after="0" w:line="240" w:lineRule="auto"/>
        <w:ind w:firstLine="567"/>
        <w:jc w:val="both"/>
        <w:rPr>
          <w:rFonts w:ascii="Times New Roman" w:eastAsia="Arial Unicode MS" w:hAnsi="Times New Roman" w:cs="Times New Roman"/>
          <w:sz w:val="24"/>
          <w:szCs w:val="24"/>
        </w:rPr>
      </w:pPr>
      <w:r>
        <w:rPr>
          <w:rFonts w:ascii="Times New Roman" w:hAnsi="Times New Roman" w:cs="Times New Roman"/>
          <w:i/>
          <w:iCs/>
          <w:color w:val="000000" w:themeColor="text1"/>
          <w:sz w:val="24"/>
          <w:szCs w:val="24"/>
        </w:rPr>
        <w:lastRenderedPageBreak/>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826EE" w:rsidRDefault="007826EE">
      <w:pPr>
        <w:spacing w:after="0" w:line="240" w:lineRule="auto"/>
        <w:ind w:firstLine="567"/>
        <w:jc w:val="both"/>
        <w:rPr>
          <w:rFonts w:ascii="Times New Roman" w:eastAsia="Arial Unicode MS" w:hAnsi="Times New Roman" w:cs="Times New Roman"/>
          <w:sz w:val="24"/>
          <w:szCs w:val="24"/>
        </w:rPr>
      </w:pPr>
    </w:p>
    <w:p w:rsidR="007826EE" w:rsidRDefault="00D276BF">
      <w:pPr>
        <w:tabs>
          <w:tab w:val="left" w:pos="709"/>
          <w:tab w:val="left" w:pos="993"/>
        </w:tabs>
        <w:spacing w:after="0" w:line="240" w:lineRule="auto"/>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5.5. </w:t>
      </w:r>
      <w:r>
        <w:rPr>
          <w:rFonts w:ascii="Times New Roman" w:eastAsia="Calibri" w:hAnsi="Times New Roman" w:cs="Times New Roman"/>
          <w:sz w:val="24"/>
          <w:szCs w:val="24"/>
        </w:rPr>
        <w:t>Perkančioji organizacija, vadovaudamasi VPĮ 47 straipsnio 9 dalimi laikys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Pr>
          <w:rFonts w:ascii="Times New Roman" w:hAnsi="Times New Roman" w:cs="Times New Roman"/>
          <w:color w:val="000000"/>
          <w:sz w:val="24"/>
          <w:szCs w:val="24"/>
        </w:rPr>
        <w:t>92 straipsnio 14 dalyje numatytame sąraše nurodytose valstybėse ar teritorijose</w:t>
      </w:r>
      <w:r>
        <w:rPr>
          <w:rFonts w:ascii="Times New Roman" w:hAnsi="Times New Roman" w:cs="Times New Roman"/>
          <w:sz w:val="24"/>
          <w:szCs w:val="24"/>
        </w:rPr>
        <w:t>.</w:t>
      </w:r>
    </w:p>
    <w:p w:rsidR="007826EE" w:rsidRDefault="00D276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sz w:val="24"/>
          <w:szCs w:val="24"/>
          <w:lang w:eastAsia="en-US"/>
        </w:rPr>
        <w:t xml:space="preserve">5.6. </w:t>
      </w:r>
      <w:r>
        <w:rPr>
          <w:rFonts w:ascii="Times New Roman" w:hAnsi="Times New Roman" w:cs="Times New Roman"/>
          <w:sz w:val="24"/>
          <w:szCs w:val="24"/>
          <w:shd w:val="clear" w:color="auto" w:fill="FFFFFF"/>
        </w:rPr>
        <w:t xml:space="preserve">Tiekėjas teikdamas pasiūlymą, </w:t>
      </w:r>
      <w:r>
        <w:rPr>
          <w:rFonts w:ascii="Times New Roman" w:eastAsia="Times New Roman" w:hAnsi="Times New Roman" w:cs="Times New Roman"/>
          <w:sz w:val="24"/>
          <w:szCs w:val="24"/>
          <w:lang w:eastAsia="en-US"/>
        </w:rPr>
        <w:t xml:space="preserve">pasiūlymo formoje (specialiųjų pirkimo sąlygų 6 priedas „Pasiūlymo forma“) patvirtina nacionalinio saugumo reikalavimų atitiktį VPĮ 37 straipsnio 9 dalies 1 punkto ir VPĮ 47 straipsnio 9 dalies reikalavimams. </w:t>
      </w:r>
      <w:r>
        <w:rPr>
          <w:rFonts w:ascii="Times New Roman" w:eastAsia="Times New Roman" w:hAnsi="Times New Roman" w:cs="Times New Roman"/>
          <w:color w:val="000000" w:themeColor="text1"/>
          <w:sz w:val="24"/>
          <w:szCs w:val="24"/>
          <w:lang w:eastAsia="en-US"/>
        </w:rPr>
        <w:t>Iš</w:t>
      </w:r>
      <w:r>
        <w:rPr>
          <w:rFonts w:ascii="Times New Roman" w:eastAsia="Times New Roman" w:hAnsi="Times New Roman" w:cs="Times New Roman"/>
          <w:sz w:val="24"/>
          <w:szCs w:val="24"/>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Pr>
          <w:rFonts w:ascii="Times New Roman" w:eastAsia="Times New Roman" w:hAnsi="Times New Roman" w:cs="Times New Roman"/>
          <w:color w:val="000000"/>
          <w:sz w:val="24"/>
          <w:szCs w:val="24"/>
          <w:lang w:eastAsia="en-US"/>
        </w:rPr>
        <w:t>sistemos ne anksčiau kaip likus 3 mėnesiams iki tos dienos, kurią perkančiosios organizacijos prašymu tiekėjas turi pateikti dokumentus.</w:t>
      </w:r>
    </w:p>
    <w:p w:rsidR="007826EE" w:rsidRDefault="00D276B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5.7. Perkančioji organizacija a</w:t>
      </w:r>
      <w:r>
        <w:rPr>
          <w:rFonts w:ascii="Times New Roman" w:hAnsi="Times New Roman" w:cs="Times New Roman"/>
          <w:sz w:val="24"/>
          <w:szCs w:val="24"/>
        </w:rPr>
        <w:t xml:space="preserve">titiktį nacionalinio saugumo reikalavimams įrodančių dokumentų gali </w:t>
      </w:r>
      <w:r>
        <w:rPr>
          <w:rFonts w:ascii="Times New Roman" w:hAnsi="Times New Roman" w:cs="Times New Roman"/>
          <w:color w:val="000000"/>
          <w:sz w:val="24"/>
          <w:szCs w:val="24"/>
        </w:rPr>
        <w:t>nereikalauti, kai:</w:t>
      </w:r>
    </w:p>
    <w:p w:rsidR="007826EE" w:rsidRDefault="00D276B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5.7.1. turi galimybę susipažinti su šiais dokumentais ar informacija tiesiogiai ir neatlygintinai prisijungusi prie nacionalinės duomenų bazės bet kurioje valstybėje narėje arba naudodamasi CVP IS priemonėmis;</w:t>
      </w:r>
    </w:p>
    <w:p w:rsidR="007826EE" w:rsidRDefault="00D276B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5.7.2. šiuos dokumentus jau turi iš ankstesnių pirkimo procedūrų;</w:t>
      </w:r>
    </w:p>
    <w:p w:rsidR="007826EE" w:rsidRDefault="00D276B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5.7.3. gali nustatyti pasiūlymo atitiktį keliamiems reikalavimams.</w:t>
      </w:r>
    </w:p>
    <w:p w:rsidR="007826EE" w:rsidRDefault="00D276B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5.8. </w:t>
      </w:r>
      <w:r>
        <w:rPr>
          <w:rFonts w:ascii="Times New Roman" w:hAnsi="Times New Roman" w:cs="Times New Roman"/>
          <w:sz w:val="24"/>
          <w:szCs w:val="24"/>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rsidR="007826EE" w:rsidRDefault="00D276BF">
      <w:pPr>
        <w:spacing w:after="0" w:line="240" w:lineRule="auto"/>
        <w:ind w:firstLine="567"/>
        <w:jc w:val="both"/>
        <w:rPr>
          <w:rFonts w:ascii="Times New Roman" w:eastAsia="Arial" w:hAnsi="Times New Roman" w:cs="Times New Roman"/>
          <w:color w:val="000000" w:themeColor="text1"/>
          <w:sz w:val="24"/>
          <w:szCs w:val="24"/>
        </w:rPr>
      </w:pPr>
      <w:r>
        <w:rPr>
          <w:rFonts w:ascii="Times New Roman" w:hAnsi="Times New Roman" w:cs="Times New Roman"/>
          <w:sz w:val="24"/>
          <w:szCs w:val="24"/>
        </w:rPr>
        <w:t xml:space="preserve">5.8.1. Perkančioji organizacija turi kompetentingų institucijų </w:t>
      </w:r>
      <w:r>
        <w:rPr>
          <w:rFonts w:ascii="Times New Roman" w:eastAsia="Arial" w:hAnsi="Times New Roman" w:cs="Times New Roman"/>
          <w:color w:val="000000" w:themeColor="text1"/>
          <w:sz w:val="24"/>
          <w:szCs w:val="24"/>
        </w:rPr>
        <w:t xml:space="preserve">patvirtintos informacijos, kad </w:t>
      </w:r>
      <w:r>
        <w:rPr>
          <w:rFonts w:ascii="Times New Roman" w:hAnsi="Times New Roman" w:cs="Times New Roman"/>
          <w:iCs/>
          <w:sz w:val="24"/>
          <w:szCs w:val="24"/>
        </w:rPr>
        <w:t xml:space="preserve">tiekėjas, jo subtiekėjas, ūkio subjektai, kurių pajėgumais remiamasi, ar juos kontroliuojantys asmenys </w:t>
      </w:r>
      <w:r>
        <w:rPr>
          <w:rFonts w:ascii="Times New Roman" w:eastAsia="Arial" w:hAnsi="Times New Roman" w:cs="Times New Roman"/>
          <w:color w:val="000000" w:themeColor="text1"/>
          <w:sz w:val="24"/>
          <w:szCs w:val="24"/>
        </w:rPr>
        <w:t>turi interesų, galinčių kelti grėsmę nacionaliniam saugumui;</w:t>
      </w:r>
    </w:p>
    <w:p w:rsidR="007826EE" w:rsidRDefault="00D276BF">
      <w:pPr>
        <w:spacing w:after="0" w:line="240" w:lineRule="auto"/>
        <w:ind w:firstLine="567"/>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5.8.2. tiekėjas, jo subtiekėjas, ūkio subjektas, kurio pajėgumais remiamasi, </w:t>
      </w:r>
      <w:r>
        <w:rPr>
          <w:rFonts w:ascii="Times New Roman" w:eastAsia="Arial" w:hAnsi="Times New Roman" w:cs="Times New Roman"/>
          <w:b/>
          <w:color w:val="000000" w:themeColor="text1"/>
          <w:sz w:val="24"/>
          <w:szCs w:val="24"/>
        </w:rPr>
        <w:t>vykdo veiklą</w:t>
      </w:r>
      <w:r>
        <w:rPr>
          <w:rFonts w:ascii="Times New Roman" w:eastAsia="Arial" w:hAnsi="Times New Roman" w:cs="Times New Roman"/>
          <w:color w:val="000000" w:themeColor="text1"/>
          <w:sz w:val="24"/>
          <w:szCs w:val="24"/>
        </w:rPr>
        <w:t xml:space="preserve">  </w:t>
      </w:r>
      <w:r>
        <w:rPr>
          <w:rFonts w:ascii="Times New Roman" w:eastAsia="Calibri" w:hAnsi="Times New Roman" w:cs="Times New Roman"/>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ascii="Times New Roman" w:eastAsia="Arial" w:hAnsi="Times New Roman" w:cs="Times New Roman"/>
          <w:color w:val="000000" w:themeColor="text1"/>
          <w:sz w:val="24"/>
          <w:szCs w:val="24"/>
        </w:rPr>
        <w:t xml:space="preserve">arba yra ūkio subjektų grupės, kurios bet kuris narys vykdo veiklą </w:t>
      </w:r>
      <w:r>
        <w:rPr>
          <w:rFonts w:ascii="Times New Roman" w:eastAsia="Calibri" w:hAnsi="Times New Roman" w:cs="Times New Roman"/>
          <w:sz w:val="24"/>
          <w:szCs w:val="24"/>
        </w:rPr>
        <w:t>Rusijos Federacija, Baltarusijos Respublika, Rusijos Federacijos aneksuotas Krymas, Moldovos Respublikos Vyriausybės nekontroliuojama Padniestrės teritorija, Sakartvelo Vyriausybės nekontroliuojamos Abchazijos ir Pietų Osetijos teritorijose</w:t>
      </w:r>
      <w:r>
        <w:rPr>
          <w:rFonts w:ascii="Times New Roman" w:eastAsia="Arial" w:hAnsi="Times New Roman" w:cs="Times New Roman"/>
          <w:color w:val="000000" w:themeColor="text1"/>
          <w:sz w:val="24"/>
          <w:szCs w:val="24"/>
        </w:rPr>
        <w:t xml:space="preserve">, narys arba jos vadovas, kitas valdymo ar priežiūros organo narys ar kitas asmuo (kiti asmenys), turintis (turintys) teisę atstovauti tiekėjui, </w:t>
      </w:r>
      <w:r>
        <w:rPr>
          <w:rFonts w:ascii="Times New Roman" w:eastAsia="Arial" w:hAnsi="Times New Roman" w:cs="Times New Roman"/>
          <w:color w:val="000000" w:themeColor="text1"/>
          <w:sz w:val="24"/>
          <w:szCs w:val="24"/>
        </w:rPr>
        <w:lastRenderedPageBreak/>
        <w:t>subtiekėjui, ūkio subjektui, kurio pajėgumais remiamasi, ar jį kontroliuoti, jo vardu priimti sprendimą, sudaryti sandorį, ir tokiu būdu dalyvauja tokių ūkio subjektų grupių ir (ar) ūkio subjektų veikloje.</w:t>
      </w:r>
      <w:r>
        <w:rPr>
          <w:rFonts w:ascii="Times New Roman" w:hAnsi="Times New Roman" w:cs="Times New Roman"/>
          <w:sz w:val="24"/>
          <w:szCs w:val="24"/>
        </w:rPr>
        <w:t xml:space="preserve"> </w:t>
      </w:r>
    </w:p>
    <w:p w:rsidR="007826EE" w:rsidRDefault="00D276B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w:t>
      </w:r>
      <w:r>
        <w:rPr>
          <w:rFonts w:ascii="Times New Roman" w:hAnsi="Times New Roman" w:cs="Times New Roman"/>
          <w:sz w:val="24"/>
          <w:szCs w:val="24"/>
          <w:shd w:val="clear" w:color="auto" w:fill="FFFFFF"/>
        </w:rPr>
        <w:t xml:space="preserve">Tiekėjas teikdamas pasiūlymą, </w:t>
      </w:r>
      <w:r>
        <w:rPr>
          <w:rFonts w:ascii="Times New Roman" w:eastAsia="Times New Roman" w:hAnsi="Times New Roman" w:cs="Times New Roman"/>
          <w:sz w:val="24"/>
          <w:szCs w:val="24"/>
          <w:lang w:eastAsia="en-US"/>
        </w:rPr>
        <w:t xml:space="preserve">pasiūlymo formoje </w:t>
      </w:r>
      <w:r>
        <w:rPr>
          <w:rFonts w:ascii="Times New Roman" w:hAnsi="Times New Roman" w:cs="Times New Roman"/>
          <w:sz w:val="24"/>
          <w:szCs w:val="24"/>
          <w:shd w:val="clear" w:color="auto" w:fill="FFFFFF"/>
        </w:rPr>
        <w:t>patvirtina</w:t>
      </w:r>
      <w:r>
        <w:rPr>
          <w:rFonts w:ascii="Times New Roman" w:eastAsia="Times New Roman" w:hAnsi="Times New Roman" w:cs="Times New Roman"/>
          <w:sz w:val="24"/>
          <w:szCs w:val="24"/>
          <w:lang w:eastAsia="en-US"/>
        </w:rPr>
        <w:t xml:space="preserve"> (specialiųjų pirkimo sąlygų 6 priedas „Pasiūlymo forma“) </w:t>
      </w:r>
      <w:r>
        <w:rPr>
          <w:rFonts w:ascii="Times New Roman" w:eastAsia="Times New Roman" w:hAnsi="Times New Roman" w:cs="Times New Roman"/>
          <w:sz w:val="24"/>
          <w:szCs w:val="24"/>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rsidR="007826EE" w:rsidRDefault="007826EE">
      <w:pPr>
        <w:tabs>
          <w:tab w:val="left" w:pos="993"/>
        </w:tabs>
        <w:spacing w:after="0" w:line="240" w:lineRule="auto"/>
        <w:jc w:val="both"/>
        <w:rPr>
          <w:rFonts w:ascii="Times New Roman" w:hAnsi="Times New Roman" w:cs="Times New Roman"/>
          <w:i/>
          <w:color w:val="FF0000"/>
          <w:sz w:val="24"/>
          <w:szCs w:val="24"/>
        </w:rPr>
      </w:pPr>
    </w:p>
    <w:p w:rsidR="007826EE" w:rsidRDefault="00D276BF">
      <w:pPr>
        <w:spacing w:after="0" w:line="240" w:lineRule="auto"/>
        <w:ind w:firstLine="567"/>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826EE" w:rsidRDefault="00D276BF">
      <w:pPr>
        <w:pStyle w:val="Heading1"/>
        <w:spacing w:line="20" w:lineRule="atLeast"/>
        <w:contextualSpacing/>
        <w:rPr>
          <w:rFonts w:ascii="Times New Roman" w:hAnsi="Times New Roman" w:cs="Times New Roman"/>
        </w:rPr>
      </w:pPr>
      <w:bookmarkStart w:id="16" w:name="_Toc126333933"/>
      <w:bookmarkStart w:id="17" w:name="_Ref39666796"/>
      <w:bookmarkStart w:id="18" w:name="_Ref39666794"/>
      <w:r>
        <w:rPr>
          <w:rFonts w:ascii="Times New Roman" w:hAnsi="Times New Roman" w:cs="Times New Roman"/>
        </w:rPr>
        <w:t>6. Specialieji reikalavimai pasiūlymų rengimui ir pateikimui</w:t>
      </w:r>
      <w:bookmarkEnd w:id="16"/>
      <w:bookmarkEnd w:id="17"/>
      <w:bookmarkEnd w:id="18"/>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tab/>
        <w:t>tiekėjo pasirašytas pasiūlymas, parengtas pagal specialiųjų pirkimo sąlygų 6 priede pateiktą pasiūlymo formą.</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6.1.2.</w:t>
      </w:r>
      <w:r>
        <w:rPr>
          <w:rFonts w:ascii="Times New Roman" w:hAnsi="Times New Roman" w:cs="Times New Roman"/>
          <w:sz w:val="24"/>
          <w:szCs w:val="24"/>
        </w:rPr>
        <w:tab/>
        <w:t>užpildytas EBVPD (specialiųjų pirkimo sąlygų 5 priedas). Pasirašydamas pasiūlymą, tiekėjas patvirtina ir EBVPD tikrumą;</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6.1.3.</w:t>
      </w:r>
      <w:r>
        <w:rPr>
          <w:rFonts w:ascii="Times New Roman" w:hAnsi="Times New Roman" w:cs="Times New Roman"/>
          <w:sz w:val="24"/>
          <w:szCs w:val="24"/>
        </w:rPr>
        <w:tab/>
        <w:t>jungtinės veiklos sutarties kopija (jeigu pirkime dalyvauja ūkio subjektų grupė jungtinės veiklos sutarties pagrindu);</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6.1.4.</w:t>
      </w:r>
      <w:r>
        <w:rPr>
          <w:rFonts w:ascii="Times New Roman" w:hAnsi="Times New Roman" w:cs="Times New Roman"/>
          <w:sz w:val="24"/>
          <w:szCs w:val="24"/>
        </w:rPr>
        <w:tab/>
        <w:t>dokumentas, patvirtinantis, kad asmuo, kuris pasirašė pasiūlymą (jei jis ne tiekėjo vadovas), turėjo teisę jį pasirašyti;</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6.1.5.</w:t>
      </w:r>
      <w:r>
        <w:rPr>
          <w:rFonts w:ascii="Times New Roman" w:hAnsi="Times New Roman" w:cs="Times New Roman"/>
          <w:sz w:val="24"/>
          <w:szCs w:val="24"/>
        </w:rPr>
        <w:tab/>
        <w:t>pasiūlymo galiojimą užtikrinantis dokumentas (jeigu reikalaujama);</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6.1.6.</w:t>
      </w:r>
      <w:r>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6.1.7.</w:t>
      </w:r>
      <w:r>
        <w:rPr>
          <w:rFonts w:ascii="Times New Roman" w:hAnsi="Times New Roman" w:cs="Times New Roman"/>
          <w:sz w:val="24"/>
          <w:szCs w:val="24"/>
        </w:rPr>
        <w:tab/>
        <w:t xml:space="preserve"> jei tiekėjas pasitelkia subtiekėjus, subtiekėjo deklaracija ar kitas dokumentas, patvirtinantis jo sutikimą būti subtiekėju pirkime;</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6.1.8.</w:t>
      </w:r>
      <w:r>
        <w:rPr>
          <w:rFonts w:ascii="Times New Roman" w:hAnsi="Times New Roman" w:cs="Times New Roman"/>
          <w:sz w:val="24"/>
          <w:szCs w:val="24"/>
        </w:rPr>
        <w:tab/>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6.1.9.</w:t>
      </w:r>
      <w:r>
        <w:rPr>
          <w:rFonts w:ascii="Times New Roman" w:hAnsi="Times New Roman" w:cs="Times New Roman"/>
          <w:sz w:val="24"/>
          <w:szCs w:val="24"/>
        </w:rPr>
        <w:tab/>
        <w:t>informacija, patvirtinanti Prekių atitiktį techninės specifikacijos reikalavimams, t.y. dokumentai, reikalaujami specialiųjų pirkimo sąlygų 2 priede ,,Techninė specifikacija“ (jei reikalaujama pasiūlymo formoje);</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6.1.10.</w:t>
      </w:r>
      <w:r>
        <w:rPr>
          <w:rFonts w:ascii="Times New Roman" w:hAnsi="Times New Roman" w:cs="Times New Roman"/>
          <w:sz w:val="24"/>
          <w:szCs w:val="24"/>
        </w:rPr>
        <w:tab/>
        <w:t>dokumentai, patvirtinantys atitiktį nacionalinio saugumo reikalavimams (šių dokumentų bus prašoma tik iš galimo pirkimo laimėtojo);</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6.1.11. kiti, tiekėjo nuomone, būtini dokumentai.</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w:t>
      </w:r>
      <w:r>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6.2.1 pateikiami kvalifikuotu elektroniniu parašu pasirašyti elektroninėmis priemonėmis suformuoti dokumentai;</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6.2.2.</w:t>
      </w:r>
      <w:r>
        <w:rPr>
          <w:rFonts w:ascii="Times New Roman" w:hAnsi="Times New Roman" w:cs="Times New Roman"/>
          <w:sz w:val="24"/>
          <w:szCs w:val="24"/>
        </w:rPr>
        <w:tab/>
        <w:t>skaitmeninės dokumentų kopijos (fiziniu parašu tvirtinami dokumentai turi būti pateikiami pasirašyti ir nuskenuoti).</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w:t>
      </w:r>
      <w:r>
        <w:rPr>
          <w:rFonts w:cs="Calibri"/>
          <w:sz w:val="24"/>
          <w:szCs w:val="24"/>
        </w:rPr>
        <w:t xml:space="preserve"> </w:t>
      </w:r>
      <w:r>
        <w:rPr>
          <w:rFonts w:ascii="Times New Roman" w:hAnsi="Times New Roman" w:cs="Times New Roman"/>
          <w:sz w:val="24"/>
          <w:szCs w:val="24"/>
        </w:rPr>
        <w:t>patvirtintą šio dokumento vertimą. Techninius pasiūlymo aspektus pagrindžiantys dokumentai ir informacija, jeigu tokie bus reikalaujami, gali būti pateikti užsienio kalba (anglų), tačiau perkančioji organizacija (iškilus neaiškumams, dviprasmybėms, ginčams ir pan.) pasilieka sau teisę pareikalauti vertimo į lietuvių kalbą.</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 xml:space="preserve">Bendra pasiūlymo kaina (sąnaudos) su PVM  turi būti nurodoma dviejų skaičių po kablelio tikslumu. Šią kainą sudarančios kainos sudedamosios dalys ar įkainiai gali būti išreikštos neribojant skaičių po kablelio kiekio. </w:t>
      </w:r>
    </w:p>
    <w:p w:rsidR="007826EE" w:rsidRDefault="00D276B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Tiekėjų pasiūlymuose nurodytos kainos bus vertinamos ir lyginamos su visais mokesčiais, įskaitant PVM.</w:t>
      </w:r>
    </w:p>
    <w:p w:rsidR="007826EE" w:rsidRDefault="00D276BF">
      <w:pPr>
        <w:pStyle w:val="Heading1"/>
        <w:numPr>
          <w:ilvl w:val="0"/>
          <w:numId w:val="7"/>
        </w:numPr>
        <w:tabs>
          <w:tab w:val="left" w:pos="709"/>
        </w:tabs>
        <w:rPr>
          <w:rFonts w:ascii="Times New Roman" w:hAnsi="Times New Roman" w:cs="Times New Roman"/>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Pr>
          <w:rFonts w:ascii="Times New Roman" w:hAnsi="Times New Roman" w:cs="Times New Roman"/>
        </w:rPr>
        <w:t>Pasiūlymo galiojimo užtikrinimas</w:t>
      </w:r>
      <w:bookmarkEnd w:id="24"/>
      <w:bookmarkEnd w:id="25"/>
      <w:bookmarkEnd w:id="26"/>
    </w:p>
    <w:p w:rsidR="007826EE" w:rsidRDefault="00D276BF">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7.1. Tiekėjas privalo užtikrinti savo pasiūlymo galiojimą ne mažesne kaip 2000 Eur</w:t>
      </w:r>
      <w:r>
        <w:rPr>
          <w:rFonts w:ascii="Times New Roman" w:hAnsi="Times New Roman" w:cs="Times New Roman"/>
          <w:iCs/>
          <w:sz w:val="24"/>
          <w:szCs w:val="24"/>
        </w:rPr>
        <w:t>,</w:t>
      </w:r>
      <w:r>
        <w:rPr>
          <w:rFonts w:ascii="Times New Roman" w:hAnsi="Times New Roman" w:cs="Times New Roman"/>
          <w:sz w:val="24"/>
          <w:szCs w:val="24"/>
        </w:rPr>
        <w:t xml:space="preserve"> bauda, kurią, pateikdamas pasiūlymą, tiekėjas įsipareigoja sumokėti esant bent vienai iš pirkimo dokumentų 7.2 punkto sąlygai, per 10 (dešimt) darbo dienų nuo atitinkamos sąlygos atsiradimo.</w:t>
      </w:r>
    </w:p>
    <w:p w:rsidR="007826EE" w:rsidRDefault="00D276BF">
      <w:pPr>
        <w:pStyle w:val="ListParagraph"/>
        <w:numPr>
          <w:ilvl w:val="1"/>
          <w:numId w:val="7"/>
        </w:numPr>
        <w:tabs>
          <w:tab w:val="left" w:pos="993"/>
        </w:tabs>
        <w:spacing w:after="0" w:line="240" w:lineRule="auto"/>
        <w:ind w:hanging="503"/>
        <w:jc w:val="both"/>
        <w:rPr>
          <w:rFonts w:ascii="Times New Roman" w:hAnsi="Times New Roman" w:cs="Times New Roman"/>
          <w:sz w:val="24"/>
          <w:szCs w:val="24"/>
        </w:rPr>
      </w:pPr>
      <w:r>
        <w:rPr>
          <w:rFonts w:ascii="Times New Roman" w:hAnsi="Times New Roman" w:cs="Times New Roman"/>
          <w:sz w:val="24"/>
          <w:szCs w:val="24"/>
        </w:rPr>
        <w:t xml:space="preserve"> Dalyvis netenka pasiūlymo galiojimo užtikrinimo esant bent vienai šių sąlygų: </w:t>
      </w:r>
    </w:p>
    <w:p w:rsidR="007826EE" w:rsidRDefault="00D276BF">
      <w:pPr>
        <w:pStyle w:val="ListParagraph"/>
        <w:numPr>
          <w:ilvl w:val="2"/>
          <w:numId w:val="7"/>
        </w:numPr>
        <w:tabs>
          <w:tab w:val="left" w:pos="1134"/>
        </w:tabs>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rsidR="007826EE" w:rsidRDefault="00D276BF">
      <w:pPr>
        <w:pStyle w:val="ListParagraph"/>
        <w:numPr>
          <w:ilvl w:val="2"/>
          <w:numId w:val="7"/>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7826EE" w:rsidRDefault="00D276BF">
      <w:pPr>
        <w:pStyle w:val="Heading1"/>
        <w:numPr>
          <w:ilvl w:val="0"/>
          <w:numId w:val="7"/>
        </w:numPr>
        <w:tabs>
          <w:tab w:val="left" w:pos="709"/>
        </w:tabs>
        <w:spacing w:line="20" w:lineRule="atLeast"/>
        <w:contextualSpacing/>
        <w:rPr>
          <w:rFonts w:ascii="Times New Roman" w:hAnsi="Times New Roman" w:cs="Times New Roman"/>
        </w:rPr>
      </w:pPr>
      <w:bookmarkStart w:id="27" w:name="_Toc126333935"/>
      <w:bookmarkStart w:id="28" w:name="_Ref39658251"/>
      <w:bookmarkStart w:id="29" w:name="_Ref39658248"/>
      <w:bookmarkStart w:id="30" w:name="_Ref39658226"/>
      <w:bookmarkStart w:id="31" w:name="_Ref39658218"/>
      <w:r>
        <w:rPr>
          <w:rFonts w:ascii="Times New Roman" w:hAnsi="Times New Roman" w:cs="Times New Roman"/>
        </w:rPr>
        <w:t>Elektroninis aukcionas</w:t>
      </w:r>
      <w:bookmarkEnd w:id="27"/>
      <w:bookmarkEnd w:id="28"/>
      <w:bookmarkEnd w:id="29"/>
      <w:bookmarkEnd w:id="30"/>
      <w:bookmarkEnd w:id="31"/>
    </w:p>
    <w:p w:rsidR="007826EE" w:rsidRDefault="00D276BF">
      <w:pPr>
        <w:spacing w:after="0" w:line="240" w:lineRule="auto"/>
        <w:ind w:firstLine="567"/>
        <w:rPr>
          <w:rFonts w:ascii="Times New Roman" w:hAnsi="Times New Roman" w:cs="Times New Roman"/>
        </w:rPr>
      </w:pPr>
      <w:r>
        <w:rPr>
          <w:rFonts w:ascii="Times New Roman" w:hAnsi="Times New Roman" w:cs="Times New Roman"/>
          <w:sz w:val="24"/>
          <w:szCs w:val="24"/>
        </w:rPr>
        <w:t>8.1. Perkančioji organizacija pirkime netaikys elektroninio aukciono.</w:t>
      </w:r>
    </w:p>
    <w:p w:rsidR="007826EE" w:rsidRDefault="00D276BF">
      <w:pPr>
        <w:pStyle w:val="Heading1"/>
        <w:numPr>
          <w:ilvl w:val="0"/>
          <w:numId w:val="7"/>
        </w:numPr>
        <w:tabs>
          <w:tab w:val="left" w:pos="709"/>
        </w:tabs>
        <w:spacing w:line="20" w:lineRule="atLeast"/>
        <w:contextualSpacing/>
        <w:rPr>
          <w:rFonts w:ascii="Times New Roman" w:hAnsi="Times New Roman" w:cs="Times New Roman"/>
        </w:rPr>
      </w:pPr>
      <w:bookmarkStart w:id="32" w:name="_Ref39485258"/>
      <w:bookmarkStart w:id="33" w:name="_Ref39485250"/>
      <w:bookmarkStart w:id="34" w:name="_Toc126333936"/>
      <w:bookmarkStart w:id="35" w:name="_Ref39667308"/>
      <w:bookmarkStart w:id="36" w:name="_Ref39667303"/>
      <w:r>
        <w:rPr>
          <w:rFonts w:ascii="Times New Roman" w:hAnsi="Times New Roman" w:cs="Times New Roman"/>
        </w:rPr>
        <w:t>Pasiūlymų vertinimas</w:t>
      </w:r>
      <w:bookmarkEnd w:id="32"/>
      <w:bookmarkEnd w:id="33"/>
      <w:bookmarkEnd w:id="34"/>
      <w:bookmarkEnd w:id="35"/>
      <w:bookmarkEnd w:id="36"/>
    </w:p>
    <w:p w:rsidR="007826EE" w:rsidRDefault="00D276BF">
      <w:pPr>
        <w:spacing w:after="0" w:line="240" w:lineRule="auto"/>
        <w:ind w:firstLine="567"/>
        <w:jc w:val="both"/>
        <w:rPr>
          <w:rFonts w:ascii="Times New Roman" w:eastAsia="Calibri" w:hAnsi="Times New Roman" w:cs="Times New Roman"/>
          <w:color w:val="7030A0"/>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sz w:val="24"/>
          <w:szCs w:val="24"/>
        </w:rPr>
        <w:t xml:space="preserve"> priede.</w:t>
      </w:r>
      <w:r>
        <w:rPr>
          <w:rFonts w:ascii="Times New Roman" w:eastAsia="Calibri" w:hAnsi="Times New Roman" w:cs="Times New Roman"/>
          <w:color w:val="7030A0"/>
          <w:sz w:val="24"/>
          <w:szCs w:val="24"/>
        </w:rPr>
        <w:t xml:space="preserve"> </w:t>
      </w:r>
    </w:p>
    <w:p w:rsidR="007826EE" w:rsidRDefault="00D276BF">
      <w:pPr>
        <w:pStyle w:val="ListParagraph"/>
        <w:numPr>
          <w:ilvl w:val="1"/>
          <w:numId w:val="7"/>
        </w:numPr>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lastRenderedPageBreak/>
        <w:t xml:space="preserve">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visų pirkimo objekto dalių. </w:t>
      </w:r>
    </w:p>
    <w:p w:rsidR="007826EE" w:rsidRDefault="00D276BF">
      <w:pPr>
        <w:numPr>
          <w:ilvl w:val="1"/>
          <w:numId w:val="7"/>
        </w:numPr>
        <w:tabs>
          <w:tab w:val="left" w:pos="0"/>
          <w:tab w:val="left" w:pos="993"/>
        </w:tabs>
        <w:spacing w:after="0" w:line="20" w:lineRule="atLeast"/>
        <w:ind w:left="0" w:firstLine="567"/>
        <w:contextualSpacing/>
        <w:jc w:val="both"/>
        <w:rPr>
          <w:rFonts w:ascii="Times New Roman" w:eastAsiaTheme="minorHAnsi" w:hAnsi="Times New Roman" w:cs="Times New Roman"/>
          <w:bCs/>
          <w:iCs/>
          <w:sz w:val="24"/>
          <w:szCs w:val="24"/>
        </w:rPr>
      </w:pPr>
      <w:r>
        <w:rPr>
          <w:rFonts w:ascii="Times New Roman" w:hAnsi="Times New Roman" w:cs="Times New Roman"/>
          <w:sz w:val="24"/>
          <w:szCs w:val="24"/>
        </w:rPr>
        <w:t>Ekonomiškai naudingiausio pasiūlymo kaina bus laikoma neįprastai maža kaina visais atvejais, kai atitinka VPĮ 57 straipsnyje nustatytas sąlygas. Kitais atvejais sprendimą Perkančioji organizacija priima vertinamuoju ir palyginimo būdais.</w:t>
      </w:r>
    </w:p>
    <w:p w:rsidR="007826EE" w:rsidRDefault="007826EE">
      <w:pPr>
        <w:pStyle w:val="NoSpacing"/>
        <w:spacing w:line="20" w:lineRule="atLeast"/>
        <w:contextualSpacing/>
        <w:jc w:val="both"/>
        <w:rPr>
          <w:rFonts w:eastAsiaTheme="minorHAnsi" w:cstheme="minorHAnsi"/>
          <w:bCs/>
          <w:i/>
          <w:iCs/>
          <w:color w:val="7030A0"/>
        </w:rPr>
      </w:pPr>
    </w:p>
    <w:p w:rsidR="007826EE" w:rsidRDefault="007826EE">
      <w:pPr>
        <w:pStyle w:val="NoSpacing"/>
        <w:spacing w:line="20" w:lineRule="atLeast"/>
        <w:contextualSpacing/>
        <w:jc w:val="both"/>
        <w:rPr>
          <w:rFonts w:eastAsiaTheme="minorHAnsi" w:cstheme="minorHAnsi"/>
          <w:bCs/>
          <w:i/>
          <w:iCs/>
          <w:color w:val="7030A0"/>
        </w:rPr>
      </w:pPr>
    </w:p>
    <w:p w:rsidR="007826EE" w:rsidRDefault="00D276BF">
      <w:pPr>
        <w:pStyle w:val="Heading1"/>
        <w:numPr>
          <w:ilvl w:val="0"/>
          <w:numId w:val="7"/>
        </w:numPr>
        <w:tabs>
          <w:tab w:val="left" w:pos="567"/>
        </w:tabs>
        <w:spacing w:line="20" w:lineRule="atLeast"/>
        <w:contextualSpacing/>
        <w:rPr>
          <w:rFonts w:ascii="Times New Roman" w:hAnsi="Times New Roman" w:cs="Times New Roman"/>
        </w:rPr>
      </w:pPr>
      <w:bookmarkStart w:id="37" w:name="_Toc126333937"/>
      <w:bookmarkStart w:id="38" w:name="_Ref39426005"/>
      <w:bookmarkStart w:id="39" w:name="_Ref39425999"/>
      <w:r>
        <w:rPr>
          <w:rFonts w:ascii="Times New Roman" w:hAnsi="Times New Roman" w:cs="Times New Roman"/>
        </w:rPr>
        <w:t>Sutarties sudarymas</w:t>
      </w:r>
      <w:bookmarkEnd w:id="37"/>
      <w:bookmarkEnd w:id="38"/>
      <w:bookmarkEnd w:id="39"/>
    </w:p>
    <w:p w:rsidR="007826EE" w:rsidRDefault="00D276BF">
      <w:pPr>
        <w:pStyle w:val="ListParagraph"/>
        <w:numPr>
          <w:ilvl w:val="1"/>
          <w:numId w:val="8"/>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bookmarkStart w:id="40" w:name="_Toc147739116"/>
      <w:bookmarkEnd w:id="40"/>
    </w:p>
    <w:p w:rsidR="007826EE" w:rsidRDefault="007826EE">
      <w:pPr>
        <w:shd w:val="clear" w:color="auto" w:fill="FFFFFF"/>
        <w:spacing w:after="0" w:line="240" w:lineRule="auto"/>
        <w:jc w:val="both"/>
        <w:rPr>
          <w:rFonts w:eastAsia="Times New Roman" w:cstheme="minorHAnsi"/>
          <w:i/>
          <w:iCs/>
          <w:color w:val="7030A0"/>
        </w:rPr>
      </w:pPr>
    </w:p>
    <w:p w:rsidR="007826EE" w:rsidRDefault="00D276BF">
      <w:pPr>
        <w:shd w:val="clear" w:color="auto" w:fill="FFFFFF"/>
        <w:spacing w:after="0" w:line="240" w:lineRule="auto"/>
        <w:jc w:val="center"/>
        <w:rPr>
          <w:rFonts w:eastAsia="Calibri" w:cstheme="minorHAnsi"/>
        </w:rPr>
        <w:sectPr w:rsidR="007826EE">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6143"/>
        </w:sectPr>
      </w:pPr>
      <w:r>
        <w:rPr>
          <w:rFonts w:eastAsia="Calibri" w:cstheme="minorHAnsi"/>
        </w:rPr>
        <w:t>__________</w:t>
      </w:r>
    </w:p>
    <w:p w:rsidR="007826EE" w:rsidRDefault="00D276BF">
      <w:pPr>
        <w:pStyle w:val="Heading1"/>
        <w:jc w:val="right"/>
        <w:rPr>
          <w:rFonts w:ascii="Times New Roman" w:hAnsi="Times New Roman" w:cs="Times New Roman"/>
          <w:color w:val="auto"/>
          <w:sz w:val="22"/>
          <w:szCs w:val="22"/>
        </w:rPr>
      </w:pPr>
      <w:bookmarkStart w:id="41" w:name="_Toc126333939"/>
      <w:r>
        <w:rPr>
          <w:rFonts w:ascii="Times New Roman" w:hAnsi="Times New Roman" w:cs="Times New Roman"/>
          <w:color w:val="auto"/>
          <w:sz w:val="22"/>
          <w:szCs w:val="22"/>
        </w:rPr>
        <w:lastRenderedPageBreak/>
        <w:t>Pirkimo sąlygų 1 priedas „Terminai“</w:t>
      </w:r>
      <w:bookmarkEnd w:id="41"/>
    </w:p>
    <w:p w:rsidR="007826EE" w:rsidRDefault="007826EE">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1"/>
        <w:gridCol w:w="2499"/>
        <w:gridCol w:w="3559"/>
        <w:gridCol w:w="2885"/>
      </w:tblGrid>
      <w:tr w:rsidR="007826EE">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26EE" w:rsidRDefault="00D276BF">
            <w:pPr>
              <w:widowControl w:val="0"/>
              <w:jc w:val="center"/>
              <w:rPr>
                <w:rFonts w:ascii="Times New Roman" w:hAnsi="Times New Roman" w:cs="Times New Roman"/>
                <w:b/>
                <w:bCs/>
                <w:sz w:val="24"/>
                <w:szCs w:val="24"/>
              </w:rPr>
            </w:pPr>
            <w:r>
              <w:rPr>
                <w:rFonts w:ascii="Times New Roman" w:hAnsi="Times New Roman" w:cs="Times New Roman"/>
                <w:b/>
                <w:bCs/>
                <w:sz w:val="24"/>
                <w:szCs w:val="24"/>
              </w:rPr>
              <w:t>Eil.Nr.</w:t>
            </w:r>
          </w:p>
        </w:tc>
        <w:tc>
          <w:tcPr>
            <w:tcW w:w="24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26EE" w:rsidRDefault="00D276BF">
            <w:pPr>
              <w:widowControl w:val="0"/>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26EE" w:rsidRDefault="00D276BF">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rsidR="007826EE" w:rsidRDefault="00D276BF">
            <w:pPr>
              <w:widowControl w:val="0"/>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26EE" w:rsidRDefault="00D276BF">
            <w:pPr>
              <w:widowControl w:val="0"/>
              <w:jc w:val="center"/>
              <w:rPr>
                <w:rFonts w:ascii="Times New Roman" w:hAnsi="Times New Roman" w:cs="Times New Roman"/>
                <w:b/>
                <w:sz w:val="24"/>
                <w:szCs w:val="24"/>
              </w:rPr>
            </w:pPr>
            <w:r>
              <w:rPr>
                <w:rFonts w:ascii="Times New Roman" w:hAnsi="Times New Roman" w:cs="Times New Roman"/>
                <w:b/>
                <w:sz w:val="24"/>
                <w:szCs w:val="24"/>
              </w:rPr>
              <w:t>PASTABOS</w:t>
            </w: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iCs/>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i/>
                <w:iCs/>
                <w:color w:val="7030A0"/>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6 (šeios) dienų iki pasiūlymų pateikimo termino dienos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 </w:t>
            </w: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NETAIKOMA</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pStyle w:val="Body2"/>
              <w:widowControl w:val="0"/>
              <w:spacing w:after="0"/>
              <w:rPr>
                <w:rFonts w:cs="Times New Roman"/>
                <w:color w:val="auto"/>
                <w:sz w:val="24"/>
                <w:szCs w:val="24"/>
                <w:lang w:val="lt-LT"/>
              </w:rPr>
            </w:pPr>
            <w:r>
              <w:rPr>
                <w:rFonts w:cs="Times New Roman"/>
                <w:color w:val="auto"/>
                <w:sz w:val="24"/>
                <w:szCs w:val="24"/>
                <w:lang w:val="lt-LT"/>
              </w:rPr>
              <w:t>NETAIKOMA</w:t>
            </w:r>
          </w:p>
          <w:p w:rsidR="007826EE" w:rsidRDefault="007826EE">
            <w:pPr>
              <w:widowControl w:val="0"/>
              <w:spacing w:after="0" w:line="240" w:lineRule="auto"/>
              <w:rPr>
                <w:rFonts w:ascii="Times New Roman" w:hAnsi="Times New Roman" w:cs="Times New Roman"/>
                <w:iCs/>
                <w:color w:val="00B050"/>
                <w:sz w:val="24"/>
                <w:szCs w:val="24"/>
              </w:rPr>
            </w:pP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iCs/>
                <w:sz w:val="24"/>
                <w:szCs w:val="24"/>
              </w:rPr>
            </w:pPr>
            <w:r>
              <w:rPr>
                <w:rFonts w:ascii="Times New Roman" w:hAnsi="Times New Roman" w:cs="Times New Roman"/>
                <w:iCs/>
                <w:sz w:val="24"/>
                <w:szCs w:val="24"/>
              </w:rPr>
              <w:t>90 (devyniasdešimt) dienų nuo pasiūlymų pateikimo galutinio termino pabaigos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w:t>
            </w:r>
            <w:r>
              <w:rPr>
                <w:rFonts w:ascii="Times New Roman" w:hAnsi="Times New Roman" w:cs="Times New Roman"/>
                <w:sz w:val="24"/>
                <w:szCs w:val="24"/>
              </w:rPr>
              <w:lastRenderedPageBreak/>
              <w:t xml:space="preserve">kaip per </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pStyle w:val="Body2"/>
              <w:widowControl w:val="0"/>
              <w:spacing w:after="0"/>
              <w:rPr>
                <w:rFonts w:cs="Times New Roman"/>
                <w:color w:val="auto"/>
                <w:sz w:val="24"/>
                <w:szCs w:val="24"/>
                <w:lang w:val="lt-LT"/>
              </w:rPr>
            </w:pPr>
            <w:r>
              <w:rPr>
                <w:rFonts w:cs="Times New Roman"/>
                <w:color w:val="auto"/>
                <w:sz w:val="24"/>
                <w:szCs w:val="24"/>
                <w:lang w:val="lt-LT"/>
              </w:rPr>
              <w:lastRenderedPageBreak/>
              <w:t>NETAIKOMA</w:t>
            </w:r>
          </w:p>
          <w:p w:rsidR="007826EE" w:rsidRDefault="007826EE">
            <w:pPr>
              <w:widowControl w:val="0"/>
              <w:spacing w:after="0" w:line="240" w:lineRule="auto"/>
              <w:rPr>
                <w:rFonts w:ascii="Times New Roman" w:hAnsi="Times New Roman" w:cs="Times New Roman"/>
                <w:iCs/>
                <w:sz w:val="24"/>
                <w:szCs w:val="24"/>
              </w:rPr>
            </w:pP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pStyle w:val="Body2"/>
              <w:widowControl w:val="0"/>
              <w:spacing w:after="0"/>
              <w:rPr>
                <w:rFonts w:cs="Times New Roman"/>
                <w:color w:val="auto"/>
                <w:sz w:val="24"/>
                <w:szCs w:val="24"/>
                <w:lang w:val="lt-LT"/>
              </w:rPr>
            </w:pPr>
            <w:r>
              <w:rPr>
                <w:rFonts w:cs="Times New Roman"/>
                <w:color w:val="auto"/>
                <w:sz w:val="24"/>
                <w:szCs w:val="24"/>
                <w:lang w:val="lt-LT"/>
              </w:rPr>
              <w:t>NETAIKOMA</w:t>
            </w:r>
          </w:p>
          <w:p w:rsidR="007826EE" w:rsidRDefault="007826EE">
            <w:pPr>
              <w:widowControl w:val="0"/>
              <w:spacing w:after="0" w:line="240" w:lineRule="auto"/>
              <w:jc w:val="both"/>
              <w:rPr>
                <w:rFonts w:ascii="Times New Roman" w:hAnsi="Times New Roman" w:cs="Times New Roman"/>
                <w:color w:val="000000" w:themeColor="text1"/>
                <w:sz w:val="24"/>
                <w:szCs w:val="24"/>
              </w:rPr>
            </w:pP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bCs/>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pStyle w:val="tajtip"/>
              <w:widowControl w:val="0"/>
              <w:shd w:val="clear" w:color="auto" w:fill="FFFFFF"/>
              <w:spacing w:beforeAutospacing="0" w:after="0" w:afterAutospacing="0"/>
              <w:ind w:firstLine="313"/>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rsidR="007826EE" w:rsidRDefault="00D276B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bCs/>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w:t>
            </w:r>
            <w:r>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(šešias) darbo dienas nuo pretenzijos gavimo dienos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bCs/>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r w:rsidR="007826EE">
        <w:trPr>
          <w:trHeight w:val="20"/>
        </w:trPr>
        <w:tc>
          <w:tcPr>
            <w:tcW w:w="91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4"/>
              </w:numPr>
              <w:spacing w:after="0" w:line="240" w:lineRule="auto"/>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3559"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Pr>
                <w:rFonts w:ascii="Times New Roman" w:hAnsi="Times New Roman" w:cs="Times New Roman"/>
                <w:i/>
                <w:iCs/>
                <w:sz w:val="24"/>
                <w:szCs w:val="24"/>
              </w:rPr>
              <w:lastRenderedPageBreak/>
              <w:t xml:space="preserve">pasiūlymas pateikiamas tą pačią dieną, kai buvo paprašyta, VPĮ 102 straipsnio 1 dalyje nustatytas terminas ir atidėjimo terminas pratęsiami vienai darbo dienai. </w:t>
            </w:r>
          </w:p>
          <w:p w:rsidR="007826EE" w:rsidRDefault="007826EE">
            <w:pPr>
              <w:widowControl w:val="0"/>
              <w:spacing w:after="0" w:line="240" w:lineRule="auto"/>
              <w:jc w:val="both"/>
              <w:rPr>
                <w:rFonts w:ascii="Times New Roman" w:hAnsi="Times New Roman" w:cs="Times New Roman"/>
                <w:i/>
                <w:iCs/>
                <w:color w:val="FF0000"/>
                <w:sz w:val="24"/>
                <w:szCs w:val="24"/>
              </w:rPr>
            </w:pPr>
          </w:p>
        </w:tc>
        <w:tc>
          <w:tcPr>
            <w:tcW w:w="2885" w:type="dxa"/>
            <w:tcBorders>
              <w:top w:val="single" w:sz="4" w:space="0" w:color="000000"/>
              <w:left w:val="single" w:sz="4" w:space="0" w:color="000000"/>
              <w:bottom w:val="single" w:sz="4" w:space="0" w:color="000000"/>
              <w:right w:val="single" w:sz="4" w:space="0" w:color="000000"/>
            </w:tcBorders>
          </w:tcPr>
          <w:p w:rsidR="007826EE" w:rsidRDefault="007826EE">
            <w:pPr>
              <w:widowControl w:val="0"/>
              <w:spacing w:after="0" w:line="240" w:lineRule="auto"/>
              <w:rPr>
                <w:rFonts w:ascii="Times New Roman" w:hAnsi="Times New Roman" w:cs="Times New Roman"/>
                <w:sz w:val="24"/>
                <w:szCs w:val="24"/>
              </w:rPr>
            </w:pPr>
          </w:p>
        </w:tc>
      </w:tr>
    </w:tbl>
    <w:p w:rsidR="007826EE" w:rsidRDefault="007826EE">
      <w:pPr>
        <w:tabs>
          <w:tab w:val="left" w:pos="2977"/>
        </w:tabs>
        <w:spacing w:after="120" w:line="20" w:lineRule="atLeast"/>
        <w:jc w:val="center"/>
        <w:rPr>
          <w:rFonts w:ascii="Times New Roman" w:eastAsia="Calibri" w:hAnsi="Times New Roman" w:cs="Times New Roman"/>
          <w:sz w:val="24"/>
          <w:szCs w:val="24"/>
        </w:rPr>
      </w:pPr>
    </w:p>
    <w:p w:rsidR="007826EE" w:rsidRDefault="00D276BF">
      <w:pPr>
        <w:rPr>
          <w:rFonts w:eastAsia="Calibri" w:cstheme="minorHAnsi"/>
        </w:rPr>
      </w:pPr>
      <w:r>
        <w:br w:type="page"/>
      </w:r>
    </w:p>
    <w:p w:rsidR="007826EE" w:rsidRDefault="00D276BF">
      <w:pPr>
        <w:pStyle w:val="Heading2"/>
        <w:ind w:left="5103"/>
        <w:rPr>
          <w:rFonts w:ascii="Times New Roman" w:eastAsia="Calibri" w:hAnsi="Times New Roman" w:cs="Times New Roman"/>
          <w:color w:val="auto"/>
          <w:sz w:val="22"/>
          <w:szCs w:val="22"/>
        </w:rPr>
      </w:pPr>
      <w:bookmarkStart w:id="42" w:name="_Toc126333940"/>
      <w:bookmarkStart w:id="43" w:name="_Ref38899023"/>
      <w:bookmarkStart w:id="44" w:name="_Ref38885053"/>
      <w:bookmarkStart w:id="45" w:name="_Ref38541068"/>
      <w:bookmarkStart w:id="46" w:name="_Ref38539939"/>
      <w:r>
        <w:rPr>
          <w:rFonts w:ascii="Times New Roman" w:eastAsia="Calibri" w:hAnsi="Times New Roman" w:cs="Times New Roman"/>
          <w:color w:val="auto"/>
          <w:sz w:val="22"/>
          <w:szCs w:val="22"/>
        </w:rPr>
        <w:lastRenderedPageBreak/>
        <w:t>Pirkimo sąlygų 2 priedas „Techninė specifikacija“</w:t>
      </w:r>
      <w:bookmarkEnd w:id="42"/>
      <w:bookmarkEnd w:id="43"/>
      <w:bookmarkEnd w:id="44"/>
      <w:bookmarkEnd w:id="45"/>
      <w:bookmarkEnd w:id="46"/>
    </w:p>
    <w:p w:rsidR="007826EE" w:rsidRDefault="007826EE">
      <w:pPr>
        <w:jc w:val="center"/>
        <w:rPr>
          <w:rFonts w:cstheme="minorHAnsi"/>
          <w:b/>
          <w:bCs/>
        </w:rPr>
      </w:pPr>
    </w:p>
    <w:p w:rsidR="007826EE" w:rsidRDefault="007826EE">
      <w:pPr>
        <w:tabs>
          <w:tab w:val="left" w:pos="810"/>
          <w:tab w:val="left" w:pos="990"/>
        </w:tabs>
        <w:spacing w:after="0" w:line="240" w:lineRule="auto"/>
        <w:ind w:firstLine="720"/>
        <w:jc w:val="both"/>
        <w:rPr>
          <w:rFonts w:eastAsia="Calibri" w:cstheme="minorHAnsi"/>
          <w:i/>
          <w:iCs/>
          <w:color w:val="7030A0"/>
        </w:rPr>
      </w:pPr>
    </w:p>
    <w:p w:rsidR="007826EE" w:rsidRDefault="00D276BF">
      <w:pPr>
        <w:jc w:val="center"/>
        <w:rPr>
          <w:rFonts w:ascii="Times New Roman" w:eastAsia="Calibri" w:hAnsi="Times New Roman" w:cs="Times New Roman"/>
          <w:b/>
        </w:rPr>
      </w:pPr>
      <w:r>
        <w:rPr>
          <w:rFonts w:ascii="Times New Roman" w:eastAsia="Calibri" w:hAnsi="Times New Roman" w:cs="Times New Roman"/>
          <w:b/>
        </w:rPr>
        <w:t>TECHNINĖ SPECIFIKACIJA</w:t>
      </w:r>
    </w:p>
    <w:p w:rsidR="007826EE" w:rsidRDefault="007826EE">
      <w:pPr>
        <w:jc w:val="center"/>
        <w:rPr>
          <w:rFonts w:ascii="Times New Roman" w:eastAsia="Calibri" w:hAnsi="Times New Roman" w:cs="Times New Roman"/>
        </w:rPr>
      </w:pPr>
    </w:p>
    <w:tbl>
      <w:tblPr>
        <w:tblW w:w="4950" w:type="pct"/>
        <w:tblInd w:w="134" w:type="dxa"/>
        <w:tblLayout w:type="fixed"/>
        <w:tblLook w:val="04A0" w:firstRow="1" w:lastRow="0" w:firstColumn="1" w:lastColumn="0" w:noHBand="0" w:noVBand="1"/>
      </w:tblPr>
      <w:tblGrid>
        <w:gridCol w:w="720"/>
        <w:gridCol w:w="9142"/>
      </w:tblGrid>
      <w:tr w:rsidR="007826EE">
        <w:trPr>
          <w:trHeight w:val="324"/>
        </w:trPr>
        <w:tc>
          <w:tcPr>
            <w:tcW w:w="9871" w:type="dxa"/>
            <w:gridSpan w:val="2"/>
            <w:tcBorders>
              <w:top w:val="single" w:sz="4" w:space="0" w:color="000000"/>
              <w:left w:val="single" w:sz="4" w:space="0" w:color="000000"/>
              <w:bottom w:val="single" w:sz="4" w:space="0" w:color="000000"/>
              <w:right w:val="single" w:sz="4" w:space="0" w:color="000000"/>
            </w:tcBorders>
          </w:tcPr>
          <w:p w:rsidR="007826EE" w:rsidRDefault="00D276BF">
            <w:pPr>
              <w:pStyle w:val="Heading1"/>
              <w:widowControl w:val="0"/>
              <w:spacing w:line="256" w:lineRule="auto"/>
              <w:jc w:val="center"/>
              <w:rPr>
                <w:rFonts w:ascii="Times New Roman" w:hAnsi="Times New Roman" w:cs="Times New Roman"/>
                <w:szCs w:val="22"/>
              </w:rPr>
            </w:pPr>
            <w:r>
              <w:rPr>
                <w:rFonts w:ascii="Times New Roman" w:hAnsi="Times New Roman" w:cs="Times New Roman"/>
                <w:sz w:val="22"/>
                <w:szCs w:val="22"/>
              </w:rPr>
              <w:t>BENDRIEJI REIKALAVIMAI TECHNINEI ĮRANGAI</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tcPr>
          <w:p w:rsidR="007826EE" w:rsidRDefault="00D276BF">
            <w:pPr>
              <w:widowControl w:val="0"/>
              <w:jc w:val="both"/>
              <w:rPr>
                <w:rFonts w:ascii="Times New Roman" w:hAnsi="Times New Roman" w:cs="Times New Roman"/>
                <w:bCs/>
              </w:rPr>
            </w:pPr>
            <w:r>
              <w:rPr>
                <w:rFonts w:ascii="Times New Roman" w:hAnsi="Times New Roman" w:cs="Times New Roman"/>
              </w:rPr>
              <w:t xml:space="preserve">Visa pateikiama techninė įranga privalo būti nauja (negali būti atnaujinta, restauruota (angl. </w:t>
            </w:r>
            <w:r>
              <w:rPr>
                <w:rFonts w:ascii="Times New Roman" w:hAnsi="Times New Roman" w:cs="Times New Roman"/>
                <w:i/>
              </w:rPr>
              <w:t>refurbished</w:t>
            </w:r>
            <w:r>
              <w:rPr>
                <w:rFonts w:ascii="Times New Roman" w:hAnsi="Times New Roman" w:cs="Times New Roman"/>
              </w:rPr>
              <w:t>), nenaudota, pateikta nepažeistoje gamyklinėje pakuotėje;</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 xml:space="preserve">Tiekėjas turi užtikrinti, kad gamintojas nėra paskelbęs žinios apie siūlomos įrangos gamybos arba tobulinimo nutraukimą (pvz., angl. </w:t>
            </w:r>
            <w:r>
              <w:rPr>
                <w:rFonts w:ascii="Times New Roman" w:hAnsi="Times New Roman" w:cs="Times New Roman"/>
                <w:i/>
              </w:rPr>
              <w:t>end of life time</w:t>
            </w:r>
            <w:r>
              <w:rPr>
                <w:rFonts w:ascii="Times New Roman" w:hAnsi="Times New Roman" w:cs="Times New Roman"/>
              </w:rPr>
              <w:t xml:space="preserve"> ar </w:t>
            </w:r>
            <w:r>
              <w:rPr>
                <w:rFonts w:ascii="Times New Roman" w:hAnsi="Times New Roman" w:cs="Times New Roman"/>
                <w:i/>
              </w:rPr>
              <w:t>Discontinued</w:t>
            </w:r>
            <w:r>
              <w:rPr>
                <w:rFonts w:ascii="Times New Roman" w:hAnsi="Times New Roman" w:cs="Times New Roman"/>
              </w:rPr>
              <w:t>);</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Įrangos dokumentai turi būti lietuvių arba anglų kalba. Užrašai ant įrenginio ir jo dalių, jeigu taikoma, turi būti anglų arba lietuvių kalba. Gamintojo interneto svetainėje tvarkyklių ir dokumentų paieška atliekama anglų ir (arba) lietuvių kalba;</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Tiekėjas į savo pasiūlymą turi įtraukti visą aparatinę ir programinę įrangą bei medžiagas, reikalingas šioje specifikacijoje nurodytiems reikalavimams įvykdyti;</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Visos programinės įrangos licencija turi būti suteikiama neribotam laikui (jei nenurodyta kitaip);</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Visos techninės įrangos maitinimo įtampa turi būti 230V 50Hz su Europos kontinentinėje dalyje naudojama jungtimi (CEE 7/7) (jei nenurodyta kitaip);</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Techninė įranga privalo veikti be sutrikimų, kai temperatūros režimas techninės įrangos įdiegimo patalpoje yra nuo +10 ºC bent iki +35 ºC, o santykinė oro drėgmė – 70 proc. ir mažesnė (jei nenurodyta kitaip);</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bCs/>
              </w:rPr>
              <w:t>Įranga turi būti pateikta įrangos gamintojo nustatytu būdu;</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bCs/>
              </w:rPr>
              <w:t xml:space="preserve">Turi būti pateikta tarnybinių stočių gamintojo autorizacijos forma (angl. </w:t>
            </w:r>
            <w:r>
              <w:rPr>
                <w:rFonts w:ascii="Times New Roman" w:hAnsi="Times New Roman" w:cs="Times New Roman"/>
                <w:bCs/>
                <w:i/>
              </w:rPr>
              <w:t>Manufacturer Authorization Form</w:t>
            </w:r>
            <w:r>
              <w:rPr>
                <w:rFonts w:ascii="Times New Roman" w:hAnsi="Times New Roman" w:cs="Times New Roman"/>
                <w:bCs/>
              </w:rPr>
              <w:t>), adresuota perkančiajai organizacijai;</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bCs/>
                <w:lang w:eastAsia="ar-SA"/>
              </w:rPr>
              <w:t xml:space="preserve">Standieji ar puslaidininkiniai diskai (angl. </w:t>
            </w:r>
            <w:r>
              <w:rPr>
                <w:rFonts w:ascii="Times New Roman" w:hAnsi="Times New Roman" w:cs="Times New Roman"/>
                <w:bCs/>
                <w:i/>
                <w:lang w:eastAsia="ar-SA"/>
              </w:rPr>
              <w:t>HDD/SSD</w:t>
            </w:r>
            <w:r>
              <w:rPr>
                <w:rFonts w:ascii="Times New Roman" w:hAnsi="Times New Roman" w:cs="Times New Roman"/>
                <w:bCs/>
                <w:lang w:eastAsia="ar-SA"/>
              </w:rPr>
              <w:t xml:space="preserve">) ar kitos atminties laikmenos gedimo atveju turi būti keičiamos naujomis. sugedusios atminties laikmenos sunaikinamos pirkėjo patalpose ir tiekėjui negrąžinamos; įrangos gedimo atveju iš instaliacijos vietos remontui išvežamą pas tiekėją (jo atstovą) sugedusią įrangą pirkėjas pateikia be joje sumontuotų standžiųjų ar puslaidininkinių diskų (angl. </w:t>
            </w:r>
            <w:r>
              <w:rPr>
                <w:rFonts w:ascii="Times New Roman" w:hAnsi="Times New Roman" w:cs="Times New Roman"/>
                <w:bCs/>
                <w:i/>
                <w:lang w:eastAsia="ar-SA"/>
              </w:rPr>
              <w:t>HDD/SSD</w:t>
            </w:r>
            <w:r>
              <w:rPr>
                <w:rFonts w:ascii="Times New Roman" w:hAnsi="Times New Roman" w:cs="Times New Roman"/>
                <w:bCs/>
                <w:lang w:eastAsia="ar-SA"/>
              </w:rPr>
              <w:t>) ar kitų atminties laikmenų;</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Tiekėjas turi užtikrinti, kad įsigyjamoje įrangoje nebūtų įdiegta jokios trečiųjų šalių programinės įrangos, kuri nėra įrangos gamintojo patvirtinta kaip būtina tokios įrangos funkcionalumui užtikrinti. Tiekėjas privalo informuoti pirkėją apie gamintojo įdiegtą programinę įrangą, kuri kreipiasi į gamintojo serverius (angl. Callback Home, Telemetry). Paaiškėjus, kad įrangoje yra įdiegta nebūtina, įtartina, šnipinėjimo ar kokia kita kenksminga programinė įranga, tai būtų traktuojama kaip reikalavimų neatitikimas ir sutarties sąlygų nesilaikymas tokiu atveju: įranga grąžinama tiekėjui arba keičiama nauja lygiaverte ar geresne, tačiau saugumo reikalavimus atitinkančia įranga;</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 xml:space="preserve">Įranga grąžinama tiekėjui arba keičiama nauja lygiaverte ar geresne, tačiau saugumo reikalavimus </w:t>
            </w:r>
            <w:r>
              <w:rPr>
                <w:rFonts w:ascii="Times New Roman" w:hAnsi="Times New Roman" w:cs="Times New Roman"/>
              </w:rPr>
              <w:lastRenderedPageBreak/>
              <w:t>atitinkančia įranga;</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rPr>
              <w:t>Tiekėjas padengia sutarties vykdymo metu dėl netinkamo įrangos pristatymo pirkėjui atsiradusią materialinę žalą;</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bCs/>
              </w:rPr>
              <w:t>Pirkimo objektas - prekės (įskaitant jų sudedamąsias dalis bei prekių ir jų dalių gamintojus), paslaugos ar darbai turi nekelti grėsmės nacionaliniam saugumui;</w:t>
            </w:r>
          </w:p>
        </w:tc>
      </w:tr>
      <w:tr w:rsidR="007826EE">
        <w:trPr>
          <w:trHeight w:val="324"/>
        </w:trPr>
        <w:tc>
          <w:tcPr>
            <w:tcW w:w="720" w:type="dxa"/>
            <w:tcBorders>
              <w:top w:val="single" w:sz="4" w:space="0" w:color="000000"/>
              <w:left w:val="single" w:sz="4" w:space="0" w:color="000000"/>
              <w:bottom w:val="single" w:sz="4" w:space="0" w:color="000000"/>
              <w:right w:val="single" w:sz="4" w:space="0" w:color="000000"/>
            </w:tcBorders>
          </w:tcPr>
          <w:p w:rsidR="007826EE" w:rsidRDefault="007826EE">
            <w:pPr>
              <w:pStyle w:val="ListParagraph"/>
              <w:widowControl w:val="0"/>
              <w:numPr>
                <w:ilvl w:val="0"/>
                <w:numId w:val="9"/>
              </w:numPr>
              <w:spacing w:after="0" w:line="240" w:lineRule="auto"/>
              <w:rPr>
                <w:rFonts w:ascii="Times New Roman" w:eastAsia="Calibri" w:hAnsi="Times New Roman" w:cs="Times New Roman"/>
              </w:rPr>
            </w:pPr>
          </w:p>
        </w:tc>
        <w:tc>
          <w:tcPr>
            <w:tcW w:w="9151" w:type="dxa"/>
            <w:tcBorders>
              <w:top w:val="single" w:sz="4" w:space="0" w:color="000000"/>
              <w:left w:val="single" w:sz="4" w:space="0" w:color="000000"/>
              <w:bottom w:val="single" w:sz="4" w:space="0" w:color="000000"/>
              <w:right w:val="single" w:sz="4" w:space="0" w:color="000000"/>
            </w:tcBorders>
          </w:tcPr>
          <w:p w:rsidR="007826EE" w:rsidRDefault="00D276BF">
            <w:pPr>
              <w:keepNext/>
              <w:widowControl w:val="0"/>
              <w:jc w:val="both"/>
              <w:outlineLvl w:val="0"/>
              <w:rPr>
                <w:rFonts w:ascii="Times New Roman" w:hAnsi="Times New Roman" w:cs="Times New Roman"/>
                <w:b/>
                <w:bCs/>
              </w:rPr>
            </w:pPr>
            <w:r>
              <w:rPr>
                <w:rFonts w:ascii="Times New Roman" w:hAnsi="Times New Roman" w:cs="Times New Roman"/>
                <w:bCs/>
                <w:lang w:eastAsia="ar-SA"/>
              </w:rPr>
              <w:t xml:space="preserve">Tarnybinių stočių gamintojas privalo užtikrinti Europos Sąjungos RoHS (angl. </w:t>
            </w:r>
            <w:r>
              <w:rPr>
                <w:rFonts w:ascii="Times New Roman" w:hAnsi="Times New Roman" w:cs="Times New Roman"/>
                <w:bCs/>
                <w:i/>
                <w:lang w:eastAsia="ar-SA"/>
              </w:rPr>
              <w:t>„Restriction of Hazardous Substances“</w:t>
            </w:r>
            <w:r>
              <w:rPr>
                <w:rFonts w:ascii="Times New Roman" w:hAnsi="Times New Roman" w:cs="Times New Roman"/>
                <w:bCs/>
                <w:lang w:eastAsia="ar-SA"/>
              </w:rPr>
              <w:t xml:space="preserve">) direktyvų (2002/95/EC (RoHS 1), 2011/65/EU (RoHS 2), 2015/863 (RoHS 2 amendment)), draudžiančių gamyboje naudoti  aplinkai ir žmogaus sveikatai pavojingas medžiagas (pvz., gyvsidabrį, kadmį, šviną, šešiavalentį chromą, o taip pat antipirenus), reikalavimų įvykdymą. </w:t>
            </w:r>
            <w:r>
              <w:rPr>
                <w:rFonts w:ascii="Times New Roman" w:hAnsi="Times New Roman" w:cs="Times New Roman"/>
                <w:b/>
                <w:bCs/>
                <w:lang w:eastAsia="ar-SA"/>
              </w:rPr>
              <w:t>Tiekėjas turi pateikti atitiktį RoHS reikalavimams įrodančius dokumentus: gamintojo atitikties deklaracijos kopiją ar nuorodą į gamintojo puslapį.</w:t>
            </w:r>
          </w:p>
        </w:tc>
      </w:tr>
    </w:tbl>
    <w:p w:rsidR="007826EE" w:rsidRDefault="007826EE"/>
    <w:tbl>
      <w:tblPr>
        <w:tblW w:w="5000" w:type="pct"/>
        <w:tblInd w:w="134" w:type="dxa"/>
        <w:tblLayout w:type="fixed"/>
        <w:tblLook w:val="0000" w:firstRow="0" w:lastRow="0" w:firstColumn="0" w:lastColumn="0" w:noHBand="0" w:noVBand="0"/>
      </w:tblPr>
      <w:tblGrid>
        <w:gridCol w:w="569"/>
        <w:gridCol w:w="1804"/>
        <w:gridCol w:w="5118"/>
        <w:gridCol w:w="2471"/>
      </w:tblGrid>
      <w:tr w:rsidR="007826EE">
        <w:trPr>
          <w:trHeight w:val="2289"/>
        </w:trPr>
        <w:tc>
          <w:tcPr>
            <w:tcW w:w="569" w:type="dxa"/>
            <w:tcBorders>
              <w:top w:val="single" w:sz="4" w:space="0" w:color="000000"/>
              <w:left w:val="single" w:sz="4" w:space="0" w:color="000000"/>
              <w:bottom w:val="single" w:sz="4" w:space="0" w:color="000000"/>
            </w:tcBorders>
            <w:vAlign w:val="center"/>
          </w:tcPr>
          <w:p w:rsidR="007826EE" w:rsidRDefault="00D276BF">
            <w:pPr>
              <w:widowControl w:val="0"/>
              <w:jc w:val="center"/>
              <w:rPr>
                <w:rFonts w:ascii="Times New Roman" w:hAnsi="Times New Roman" w:cs="Times New Roman"/>
                <w:szCs w:val="24"/>
              </w:rPr>
            </w:pPr>
            <w:r>
              <w:rPr>
                <w:rFonts w:ascii="Times New Roman" w:hAnsi="Times New Roman" w:cs="Times New Roman"/>
                <w:szCs w:val="24"/>
              </w:rPr>
              <w:t>Eil. Nr.</w:t>
            </w:r>
          </w:p>
        </w:tc>
        <w:tc>
          <w:tcPr>
            <w:tcW w:w="1806" w:type="dxa"/>
            <w:tcBorders>
              <w:top w:val="single" w:sz="4" w:space="0" w:color="000000"/>
              <w:left w:val="single" w:sz="4" w:space="0" w:color="000000"/>
              <w:bottom w:val="single" w:sz="4" w:space="0" w:color="000000"/>
            </w:tcBorders>
            <w:vAlign w:val="center"/>
          </w:tcPr>
          <w:p w:rsidR="007826EE" w:rsidRDefault="007826EE">
            <w:pPr>
              <w:widowControl w:val="0"/>
              <w:tabs>
                <w:tab w:val="left" w:pos="390"/>
                <w:tab w:val="left" w:pos="1035"/>
                <w:tab w:val="left" w:pos="1500"/>
              </w:tabs>
              <w:jc w:val="center"/>
              <w:rPr>
                <w:rFonts w:ascii="Times New Roman" w:hAnsi="Times New Roman" w:cs="Times New Roman"/>
                <w:bCs/>
                <w:szCs w:val="24"/>
              </w:rPr>
            </w:pPr>
          </w:p>
          <w:p w:rsidR="007826EE" w:rsidRDefault="007826EE">
            <w:pPr>
              <w:widowControl w:val="0"/>
              <w:tabs>
                <w:tab w:val="left" w:pos="390"/>
                <w:tab w:val="left" w:pos="1035"/>
                <w:tab w:val="left" w:pos="1500"/>
              </w:tabs>
              <w:jc w:val="center"/>
              <w:rPr>
                <w:rFonts w:ascii="Times New Roman" w:hAnsi="Times New Roman" w:cs="Times New Roman"/>
                <w:bCs/>
                <w:szCs w:val="24"/>
              </w:rPr>
            </w:pPr>
          </w:p>
          <w:p w:rsidR="007826EE" w:rsidRDefault="007826EE">
            <w:pPr>
              <w:widowControl w:val="0"/>
              <w:tabs>
                <w:tab w:val="left" w:pos="390"/>
                <w:tab w:val="left" w:pos="1035"/>
                <w:tab w:val="left" w:pos="1500"/>
              </w:tabs>
              <w:jc w:val="center"/>
              <w:rPr>
                <w:rFonts w:ascii="Times New Roman" w:hAnsi="Times New Roman" w:cs="Times New Roman"/>
                <w:bCs/>
                <w:szCs w:val="24"/>
              </w:rPr>
            </w:pPr>
          </w:p>
          <w:p w:rsidR="007826EE" w:rsidRDefault="00D276BF">
            <w:pPr>
              <w:widowControl w:val="0"/>
              <w:tabs>
                <w:tab w:val="left" w:pos="390"/>
                <w:tab w:val="left" w:pos="1035"/>
                <w:tab w:val="left" w:pos="1500"/>
              </w:tabs>
              <w:jc w:val="center"/>
              <w:rPr>
                <w:rFonts w:ascii="Times New Roman" w:hAnsi="Times New Roman" w:cs="Times New Roman"/>
                <w:bCs/>
                <w:szCs w:val="24"/>
              </w:rPr>
            </w:pPr>
            <w:r>
              <w:rPr>
                <w:rFonts w:ascii="Times New Roman" w:hAnsi="Times New Roman" w:cs="Times New Roman"/>
                <w:bCs/>
                <w:szCs w:val="24"/>
              </w:rPr>
              <w:t>Parametro pavadinimas</w:t>
            </w:r>
          </w:p>
        </w:tc>
        <w:tc>
          <w:tcPr>
            <w:tcW w:w="5123" w:type="dxa"/>
            <w:tcBorders>
              <w:top w:val="single" w:sz="4" w:space="0" w:color="000000"/>
              <w:left w:val="single" w:sz="4" w:space="0" w:color="000000"/>
              <w:bottom w:val="single" w:sz="4" w:space="0" w:color="000000"/>
            </w:tcBorders>
            <w:vAlign w:val="center"/>
          </w:tcPr>
          <w:p w:rsidR="007826EE" w:rsidRDefault="00D276BF">
            <w:pPr>
              <w:keepNext/>
              <w:keepLines/>
              <w:widowControl w:val="0"/>
              <w:tabs>
                <w:tab w:val="left" w:pos="390"/>
                <w:tab w:val="left" w:pos="1035"/>
                <w:tab w:val="left" w:pos="1500"/>
              </w:tabs>
              <w:jc w:val="center"/>
              <w:rPr>
                <w:rFonts w:ascii="Times New Roman" w:hAnsi="Times New Roman" w:cs="Times New Roman"/>
                <w:bCs/>
                <w:szCs w:val="24"/>
              </w:rPr>
            </w:pPr>
            <w:r>
              <w:rPr>
                <w:rFonts w:ascii="Times New Roman" w:hAnsi="Times New Roman" w:cs="Times New Roman"/>
                <w:bCs/>
                <w:szCs w:val="24"/>
              </w:rPr>
              <w:t>Reikalaujama parametro reikšmė</w:t>
            </w:r>
          </w:p>
        </w:tc>
        <w:tc>
          <w:tcPr>
            <w:tcW w:w="2473" w:type="dxa"/>
            <w:tcBorders>
              <w:top w:val="single" w:sz="4" w:space="0" w:color="000000"/>
              <w:left w:val="single" w:sz="4" w:space="0" w:color="000000"/>
              <w:bottom w:val="single" w:sz="4" w:space="0" w:color="000000"/>
              <w:right w:val="single" w:sz="4" w:space="0" w:color="000000"/>
            </w:tcBorders>
            <w:vAlign w:val="center"/>
          </w:tcPr>
          <w:p w:rsidR="007826EE" w:rsidRDefault="00D276BF">
            <w:pPr>
              <w:keepNext/>
              <w:keepLines/>
              <w:widowControl w:val="0"/>
              <w:tabs>
                <w:tab w:val="left" w:pos="390"/>
                <w:tab w:val="left" w:pos="1035"/>
                <w:tab w:val="left" w:pos="1500"/>
              </w:tabs>
              <w:jc w:val="center"/>
              <w:rPr>
                <w:rFonts w:ascii="Times New Roman" w:hAnsi="Times New Roman" w:cs="Times New Roman"/>
                <w:bCs/>
                <w:szCs w:val="24"/>
              </w:rPr>
            </w:pPr>
            <w:r>
              <w:rPr>
                <w:rFonts w:ascii="Times New Roman" w:hAnsi="Times New Roman" w:cs="Times New Roman"/>
                <w:bCs/>
                <w:szCs w:val="24"/>
              </w:rPr>
              <w:t>Tikslios siūlomos prekės charakteristikos / parametrai (Tiekėjas privalo išsamiai aprašyti siūlomą parametrą ir pateikti parametrus pagrindžiančius dokumentus arba nuorodas į techninę dokumentaciją, nurodant konkrečius gamintojo dokumentacijos puslapius, skyrius ar vietas, kuriose pateikta atitinkama informacija).</w:t>
            </w:r>
          </w:p>
        </w:tc>
      </w:tr>
      <w:tr w:rsidR="007826EE">
        <w:tc>
          <w:tcPr>
            <w:tcW w:w="9971" w:type="dxa"/>
            <w:gridSpan w:val="4"/>
            <w:tcBorders>
              <w:top w:val="single" w:sz="4" w:space="0" w:color="000000"/>
              <w:left w:val="single" w:sz="4" w:space="0" w:color="000000"/>
              <w:bottom w:val="single" w:sz="4" w:space="0" w:color="000000"/>
              <w:right w:val="single" w:sz="4" w:space="0" w:color="000000"/>
            </w:tcBorders>
            <w:vAlign w:val="center"/>
          </w:tcPr>
          <w:p w:rsidR="007826EE" w:rsidRDefault="00D276BF">
            <w:pPr>
              <w:keepNext/>
              <w:keepLines/>
              <w:widowControl w:val="0"/>
              <w:tabs>
                <w:tab w:val="left" w:pos="390"/>
                <w:tab w:val="left" w:pos="1035"/>
                <w:tab w:val="left" w:pos="1500"/>
              </w:tabs>
              <w:spacing w:before="120" w:after="120"/>
              <w:jc w:val="center"/>
              <w:rPr>
                <w:rFonts w:ascii="Times New Roman" w:hAnsi="Times New Roman" w:cs="Times New Roman"/>
                <w:b/>
                <w:szCs w:val="22"/>
              </w:rPr>
            </w:pPr>
            <w:r>
              <w:rPr>
                <w:rFonts w:ascii="Times New Roman" w:hAnsi="Times New Roman" w:cs="Times New Roman"/>
                <w:b/>
                <w:sz w:val="22"/>
                <w:szCs w:val="22"/>
              </w:rPr>
              <w:t>TARNYBINĖ STOTIS A TIPO</w:t>
            </w: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eastAsia="font304" w:hAnsi="Times New Roman" w:cs="Times New Roman"/>
                <w:szCs w:val="24"/>
              </w:rPr>
              <w:t>Gamintojas</w:t>
            </w:r>
          </w:p>
        </w:tc>
        <w:tc>
          <w:tcPr>
            <w:tcW w:w="5123"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eastAsia="font304" w:hAnsi="Times New Roman" w:cs="Times New Roman"/>
                <w:szCs w:val="24"/>
              </w:rPr>
              <w:t>Turi būti nurodyta</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eastAsia="font304" w:hAnsi="Times New Roman" w:cs="Times New Roman"/>
                <w:szCs w:val="24"/>
              </w:rPr>
              <w:t>Pavadinimas/</w:t>
            </w:r>
          </w:p>
          <w:p w:rsidR="007826EE" w:rsidRDefault="00D276BF">
            <w:pPr>
              <w:widowControl w:val="0"/>
              <w:jc w:val="both"/>
              <w:rPr>
                <w:rFonts w:ascii="Times New Roman" w:eastAsia="font304" w:hAnsi="Times New Roman" w:cs="Times New Roman"/>
                <w:szCs w:val="24"/>
              </w:rPr>
            </w:pPr>
            <w:r>
              <w:rPr>
                <w:rFonts w:ascii="Times New Roman" w:eastAsia="font304" w:hAnsi="Times New Roman" w:cs="Times New Roman"/>
                <w:szCs w:val="24"/>
              </w:rPr>
              <w:t>Modelis, modifikacija</w:t>
            </w:r>
          </w:p>
          <w:p w:rsidR="007826EE" w:rsidRDefault="00D276BF">
            <w:pPr>
              <w:widowControl w:val="0"/>
              <w:jc w:val="both"/>
              <w:rPr>
                <w:rFonts w:ascii="Times New Roman" w:hAnsi="Times New Roman" w:cs="Times New Roman"/>
                <w:color w:val="C00000"/>
                <w:szCs w:val="24"/>
              </w:rPr>
            </w:pPr>
            <w:r>
              <w:rPr>
                <w:rFonts w:ascii="Times New Roman" w:eastAsia="font304" w:hAnsi="Times New Roman" w:cs="Times New Roman"/>
                <w:szCs w:val="24"/>
              </w:rPr>
              <w:t>(jei yra)</w:t>
            </w:r>
          </w:p>
        </w:tc>
        <w:tc>
          <w:tcPr>
            <w:tcW w:w="5123"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eastAsia="font304" w:hAnsi="Times New Roman" w:cs="Times New Roman"/>
                <w:szCs w:val="24"/>
              </w:rPr>
              <w:t>Turi būti nurodyta.</w:t>
            </w:r>
          </w:p>
          <w:p w:rsidR="007826EE" w:rsidRDefault="00D276BF">
            <w:pPr>
              <w:widowControl w:val="0"/>
              <w:jc w:val="both"/>
              <w:rPr>
                <w:rFonts w:ascii="Times New Roman" w:hAnsi="Times New Roman" w:cs="Times New Roman"/>
                <w:color w:val="C00000"/>
                <w:szCs w:val="24"/>
              </w:rPr>
            </w:pPr>
            <w:r>
              <w:rPr>
                <w:rFonts w:ascii="Times New Roman" w:eastAsia="font304" w:hAnsi="Times New Roman" w:cs="Times New Roman"/>
                <w:szCs w:val="24"/>
              </w:rPr>
              <w:t>Pateikti nuorodą į gamintojo interneto svetainę arba techninės dokumentacijos kopiją, kurioje pateikiama informacija apie siūlomos prekės pagrindines charakteristikas ir atitikimą techninės specifikacijos reikalavimams.</w:t>
            </w:r>
            <w:r>
              <w:rPr>
                <w:rFonts w:ascii="Times New Roman" w:eastAsia="font304" w:hAnsi="Times New Roman" w:cs="Times New Roman"/>
                <w:color w:val="C00000"/>
                <w:szCs w:val="24"/>
              </w:rPr>
              <w:t xml:space="preserve"> </w:t>
            </w:r>
            <w:r>
              <w:rPr>
                <w:rFonts w:ascii="Times New Roman" w:hAnsi="Times New Roman" w:cs="Times New Roman"/>
                <w:szCs w:val="24"/>
              </w:rPr>
              <w:t xml:space="preserve">Atskirame priede pateikti visų komplektuojančių dalių produkto kodus (angl. </w:t>
            </w:r>
            <w:r>
              <w:rPr>
                <w:rFonts w:ascii="Times New Roman" w:hAnsi="Times New Roman" w:cs="Times New Roman"/>
                <w:i/>
                <w:szCs w:val="24"/>
              </w:rPr>
              <w:t>Part Number</w:t>
            </w:r>
            <w:r>
              <w:rPr>
                <w:rFonts w:ascii="Times New Roman" w:hAnsi="Times New Roman" w:cs="Times New Roman"/>
                <w:szCs w:val="24"/>
              </w:rPr>
              <w:t>)</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widowControl w:val="0"/>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hAnsi="Times New Roman" w:cs="Times New Roman"/>
                <w:szCs w:val="24"/>
              </w:rPr>
              <w:t>Procesorius</w:t>
            </w:r>
          </w:p>
          <w:p w:rsidR="007826EE" w:rsidRDefault="00D276BF">
            <w:pPr>
              <w:widowControl w:val="0"/>
              <w:jc w:val="both"/>
              <w:rPr>
                <w:rFonts w:ascii="Times New Roman" w:hAnsi="Times New Roman" w:cs="Times New Roman"/>
                <w:color w:val="C00000"/>
                <w:szCs w:val="24"/>
              </w:rPr>
            </w:pPr>
            <w:r>
              <w:rPr>
                <w:rFonts w:ascii="Times New Roman" w:hAnsi="Times New Roman" w:cs="Times New Roman"/>
                <w:szCs w:val="24"/>
              </w:rPr>
              <w:t>(-iai) (nurodyti modelį ir kiekį)</w:t>
            </w:r>
          </w:p>
        </w:tc>
        <w:tc>
          <w:tcPr>
            <w:tcW w:w="5123"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 xml:space="preserve">Procesorius turi būti x86 architektūros, su ne mažiau kaip 64 bitų atminties adresavimu, ne mažiau kaip 24 branduolių (core). Dviejų procesorių sistemos našumas turi būti ne mažesnis kaip 550 pagal „SPECrate2017 Integer Rates“ testą ir ne mažesnis kaip 650 pagal „SPECrate2017 Floating Point Rates“. Rezultatai turi būti paskelbti www.spec.org interneto puslapyje. Procesorius turi būti anonsuotas ne anksčiau kaip 2023 m. Procesorius turi palaikyti pažangias vektorines instrukcijas (pvz., AVX-512 arba lygiavertes) ir (arba) aparatinio lygmens duomenų apdorojimo spartinimo funkcionalumą (pvz., IAA arba lygiavertį). Procesoriaus našumas negali būti dirbtinai padidintas. Procesorių skaičius – ne mažiau kaip 2 vnt.Procesorių skaičius – ne mažiau kaip 2 vnt. </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hAnsi="Times New Roman" w:cs="Times New Roman"/>
              </w:rPr>
              <w:t>Išplėtimo lizdai:</w:t>
            </w:r>
          </w:p>
        </w:tc>
        <w:tc>
          <w:tcPr>
            <w:tcW w:w="5123" w:type="dxa"/>
            <w:tcBorders>
              <w:top w:val="single" w:sz="4" w:space="0" w:color="000000"/>
              <w:left w:val="single" w:sz="4" w:space="0" w:color="000000"/>
              <w:bottom w:val="single" w:sz="4" w:space="0" w:color="000000"/>
            </w:tcBorders>
            <w:vAlign w:val="center"/>
          </w:tcPr>
          <w:p w:rsidR="007826EE" w:rsidRDefault="00D276BF">
            <w:pPr>
              <w:widowControl w:val="0"/>
              <w:contextualSpacing/>
              <w:jc w:val="both"/>
              <w:rPr>
                <w:rFonts w:ascii="Times New Roman" w:hAnsi="Times New Roman" w:cs="Times New Roman"/>
                <w:szCs w:val="24"/>
              </w:rPr>
            </w:pPr>
            <w:r>
              <w:rPr>
                <w:rFonts w:ascii="Times New Roman" w:hAnsi="Times New Roman" w:cs="Times New Roman"/>
              </w:rPr>
              <w:t>Ne mažiau 2 vnt. PCI Express 4.0 x16 ar didesnio pralaidumo išplėtimo lizdų.</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hAnsi="Times New Roman" w:cs="Times New Roman"/>
                <w:szCs w:val="24"/>
              </w:rPr>
              <w:t xml:space="preserve">Operatyvioji atmintis (angl. </w:t>
            </w:r>
            <w:r>
              <w:rPr>
                <w:rFonts w:ascii="Times New Roman" w:hAnsi="Times New Roman" w:cs="Times New Roman"/>
                <w:i/>
                <w:szCs w:val="24"/>
              </w:rPr>
              <w:t>RAM</w:t>
            </w:r>
            <w:r>
              <w:rPr>
                <w:rFonts w:ascii="Times New Roman" w:hAnsi="Times New Roman" w:cs="Times New Roman"/>
                <w:szCs w:val="24"/>
              </w:rPr>
              <w:t>) (nurodyti modelį ir kiekį)</w:t>
            </w:r>
          </w:p>
        </w:tc>
        <w:tc>
          <w:tcPr>
            <w:tcW w:w="5123"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Ne mažiau kaip 1024 GB, DDR5 su ECC tipo. Atminties greitaveika turi būti ne mažesnė kaip 5600 MT/s arba didžiausia gamintojo oficialiai palaikoma su siūlomu procesoriumi ir konfigūracija.</w:t>
            </w:r>
          </w:p>
          <w:p w:rsidR="007826EE" w:rsidRDefault="007826EE">
            <w:pPr>
              <w:keepNext/>
              <w:keepLines/>
              <w:widowControl w:val="0"/>
              <w:tabs>
                <w:tab w:val="left" w:pos="390"/>
                <w:tab w:val="left" w:pos="1035"/>
                <w:tab w:val="left" w:pos="1500"/>
              </w:tabs>
              <w:jc w:val="both"/>
              <w:rPr>
                <w:rFonts w:ascii="Times New Roman" w:hAnsi="Times New Roman" w:cs="Times New Roman"/>
                <w:szCs w:val="24"/>
                <w:highlight w:val="green"/>
              </w:rPr>
            </w:pP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hAnsi="Times New Roman" w:cs="Times New Roman"/>
                <w:szCs w:val="24"/>
              </w:rPr>
              <w:t>Įkrovimo (boot) įrenginys</w:t>
            </w:r>
          </w:p>
        </w:tc>
        <w:tc>
          <w:tcPr>
            <w:tcW w:w="5123"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rPr>
            </w:pPr>
            <w:r>
              <w:rPr>
                <w:rFonts w:ascii="Times New Roman" w:hAnsi="Times New Roman" w:cs="Times New Roman"/>
              </w:rPr>
              <w:t xml:space="preserve">Ne mažiau kaip 2 vnt. keičiamų neišjungus M.2 tipo NVMe tipo diskų kurių kiekvienas ne mažiau kaip 480 GB talpos skirtų operacinės sistemos užkrovimui. Turi palaikyti laikmenų veidrodinį režimą (angl. </w:t>
            </w:r>
            <w:r>
              <w:rPr>
                <w:rFonts w:ascii="Times New Roman" w:hAnsi="Times New Roman" w:cs="Times New Roman"/>
                <w:i/>
              </w:rPr>
              <w:t>Mirror Mode</w:t>
            </w:r>
            <w:r>
              <w:rPr>
                <w:rFonts w:ascii="Times New Roman" w:hAnsi="Times New Roman" w:cs="Times New Roman"/>
              </w:rPr>
              <w:t>).</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contextualSpacing/>
              <w:jc w:val="both"/>
              <w:rPr>
                <w:rFonts w:ascii="Times New Roman" w:hAnsi="Times New Roman" w:cs="Times New Roman"/>
                <w:szCs w:val="24"/>
              </w:rPr>
            </w:pPr>
            <w:r>
              <w:rPr>
                <w:rFonts w:ascii="Times New Roman" w:hAnsi="Times New Roman" w:cs="Times New Roman"/>
                <w:szCs w:val="24"/>
              </w:rPr>
              <w:t>Diskas</w:t>
            </w:r>
          </w:p>
          <w:p w:rsidR="007826EE" w:rsidRDefault="00D276BF">
            <w:pPr>
              <w:widowControl w:val="0"/>
              <w:tabs>
                <w:tab w:val="left" w:pos="390"/>
                <w:tab w:val="left" w:pos="1035"/>
                <w:tab w:val="left" w:pos="1500"/>
              </w:tabs>
              <w:jc w:val="both"/>
              <w:rPr>
                <w:rFonts w:ascii="Times New Roman" w:hAnsi="Times New Roman" w:cs="Times New Roman"/>
                <w:color w:val="C00000"/>
                <w:szCs w:val="24"/>
              </w:rPr>
            </w:pPr>
            <w:r>
              <w:rPr>
                <w:rFonts w:ascii="Times New Roman" w:hAnsi="Times New Roman" w:cs="Times New Roman"/>
                <w:szCs w:val="24"/>
              </w:rPr>
              <w:t>(nurodyti modelį ir kiekį)</w:t>
            </w:r>
          </w:p>
        </w:tc>
        <w:tc>
          <w:tcPr>
            <w:tcW w:w="5123" w:type="dxa"/>
            <w:tcBorders>
              <w:top w:val="single" w:sz="4" w:space="0" w:color="000000"/>
              <w:left w:val="single" w:sz="4" w:space="0" w:color="000000"/>
              <w:bottom w:val="single" w:sz="4" w:space="0" w:color="000000"/>
            </w:tcBorders>
          </w:tcPr>
          <w:p w:rsidR="007826EE" w:rsidRDefault="00D276BF">
            <w:pPr>
              <w:pStyle w:val="ListParagraph"/>
              <w:widowControl w:val="0"/>
              <w:ind w:left="-35"/>
              <w:jc w:val="both"/>
              <w:rPr>
                <w:rFonts w:ascii="Times New Roman" w:hAnsi="Times New Roman"/>
              </w:rPr>
            </w:pPr>
            <w:r>
              <w:rPr>
                <w:rFonts w:ascii="Times New Roman" w:hAnsi="Times New Roman" w:cs="Times New Roman"/>
              </w:rPr>
              <w:t>Ne mažiau kaip 30TB RAID 5 suformuotos naudingos talpos, realizuotos ne prastesniais kaip keičiamais neišjungus 2,5” tipo NVMe tipo SSD diskais; disko ištvermė (angl</w:t>
            </w:r>
            <w:r>
              <w:rPr>
                <w:rFonts w:ascii="Times New Roman" w:hAnsi="Times New Roman" w:cs="Times New Roman"/>
                <w:i/>
                <w:iCs/>
              </w:rPr>
              <w:t>. Endurance</w:t>
            </w:r>
            <w:r>
              <w:rPr>
                <w:rFonts w:ascii="Times New Roman" w:hAnsi="Times New Roman" w:cs="Times New Roman"/>
              </w:rPr>
              <w:t>) ne prastesnė kaip 1 DWPD (5 metų laikotarpiu).</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color w:val="C00000"/>
                <w:szCs w:val="24"/>
              </w:rPr>
            </w:pPr>
            <w:r>
              <w:rPr>
                <w:rFonts w:ascii="Times New Roman" w:hAnsi="Times New Roman" w:cs="Times New Roman"/>
                <w:szCs w:val="24"/>
              </w:rPr>
              <w:t>Diskų masyvo valdiklis (nurodyti modelį)</w:t>
            </w:r>
          </w:p>
        </w:tc>
        <w:tc>
          <w:tcPr>
            <w:tcW w:w="5123"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rPr>
            </w:pPr>
            <w:r>
              <w:rPr>
                <w:rFonts w:ascii="Times New Roman" w:hAnsi="Times New Roman" w:cs="Times New Roman"/>
              </w:rPr>
              <w:t xml:space="preserve">Turi būti dedikuotas RAID valdiklis SAS/SATA diskams, taip pat turi būti palaikomas RAID funkcionalumas su NVMe diskais (per dedikuotą valdiklį, integruotą arba programinį sprendimą). Turi būti galimybė komplektuoti su SAS/SATA 6 Gb/s, SAS 12 Gb/s SSD bei NVMe diskais. RAID lygiai: 1, 1+0, 5, 6, su ne mažiau nei 8 GB spartinančiosios atminties („cache“) su būsenos išsaugojimo savybe (angl. battery-backed arba flash-backed), kai naudojami SAS/SATA diskai. Turi palaikyti „Online Capacity Expansion“ ir „Online RAID level Migration“ funkcijas; vienu metu palaikomi keli skirtingų lygių RAID masyvai (pvz., vienu metu du diskus leidžia sujungti į RAID1 ir keturis diskus – į RAID5 masyvą); </w:t>
            </w:r>
            <w:r>
              <w:rPr>
                <w:rFonts w:ascii="Times New Roman" w:hAnsi="Times New Roman" w:cs="Times New Roman"/>
              </w:rPr>
              <w:lastRenderedPageBreak/>
              <w:t>palaiko atsarginį diską, kuris, sugedus kitam diskui bet kuriame RAID masyve, yra automatiškai pakeičiamas vietoje sugedusio disko (hot spare). Įrenginio procesorius nenaudojamas kontrolinių sumų skaičiavimui ar tikrinimui;</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rPr>
            </w:pPr>
            <w:r>
              <w:rPr>
                <w:rFonts w:ascii="Times New Roman" w:hAnsi="Times New Roman" w:cs="Times New Roman"/>
                <w:szCs w:val="24"/>
              </w:rPr>
              <w:t>Prievadai</w:t>
            </w:r>
          </w:p>
        </w:tc>
        <w:tc>
          <w:tcPr>
            <w:tcW w:w="5123"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highlight w:val="green"/>
              </w:rPr>
            </w:pPr>
            <w:r>
              <w:rPr>
                <w:rFonts w:ascii="Times New Roman" w:hAnsi="Times New Roman" w:cs="Times New Roman"/>
              </w:rPr>
              <w:t>Ne mažiau 2 x USB ir 1 VGA iš kurių ne mažiau 1 vnt. USB standarto A (angl</w:t>
            </w:r>
            <w:r>
              <w:rPr>
                <w:rFonts w:ascii="Times New Roman" w:hAnsi="Times New Roman" w:cs="Times New Roman"/>
                <w:i/>
              </w:rPr>
              <w:t>. USB standard-A socket</w:t>
            </w:r>
            <w:r>
              <w:rPr>
                <w:rFonts w:ascii="Times New Roman" w:hAnsi="Times New Roman" w:cs="Times New Roman"/>
              </w:rPr>
              <w:t>) lizdų (be perėjimų).</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color w:val="C00000"/>
                <w:szCs w:val="24"/>
              </w:rPr>
            </w:pPr>
            <w:r>
              <w:rPr>
                <w:rFonts w:ascii="Times New Roman" w:hAnsi="Times New Roman" w:cs="Times New Roman"/>
                <w:szCs w:val="24"/>
              </w:rPr>
              <w:t>Nuotolinis valdymas</w:t>
            </w:r>
          </w:p>
        </w:tc>
        <w:tc>
          <w:tcPr>
            <w:tcW w:w="5123" w:type="dxa"/>
            <w:tcBorders>
              <w:top w:val="single" w:sz="4" w:space="0" w:color="000000"/>
              <w:left w:val="single" w:sz="4" w:space="0" w:color="000000"/>
              <w:bottom w:val="single" w:sz="4" w:space="0" w:color="000000"/>
            </w:tcBorders>
            <w:vAlign w:val="center"/>
          </w:tcPr>
          <w:p w:rsidR="007826EE" w:rsidRDefault="00D276BF">
            <w:pPr>
              <w:widowControl w:val="0"/>
              <w:tabs>
                <w:tab w:val="left" w:pos="390"/>
                <w:tab w:val="left" w:pos="1035"/>
                <w:tab w:val="left" w:pos="1500"/>
              </w:tabs>
              <w:jc w:val="both"/>
              <w:rPr>
                <w:rFonts w:ascii="Times New Roman" w:hAnsi="Times New Roman" w:cs="Times New Roman"/>
              </w:rPr>
            </w:pPr>
            <w:r>
              <w:rPr>
                <w:rFonts w:ascii="Times New Roman" w:hAnsi="Times New Roman" w:cs="Times New Roman"/>
              </w:rPr>
              <w:t>Virtuali grafinė valdymo konsolė (angl. Web-based GUI) pasiekiama per interneto naršyklę ir HTML5; leidžia pilnai matyti vaizdą ir pilnai valdyti serverį, įjungti ir išjungti tarnybinės stoties maitinimą, pilnai konfigūruoti BIOS, RAID; leidžia prijungti virtualias laikmenas (angl. Virtual Media); leidžia prijungti ISO atvaizdą ir iš jo įdiegti OS; palaiko Microsoft Active Directory vartotojų autentifikavimą ir prieigos teisių nustatymą (jei naudojama perkančiojoje organizacijoje); palaiko vieningą prisijungimą (angl. Single Sign-On), jei naudojama perkančiojoje organizacijoje; privalo būti atskiras RJ-45 nuotolinio valdymo prievadas.</w:t>
            </w:r>
          </w:p>
          <w:p w:rsidR="007826EE" w:rsidRDefault="00D276BF">
            <w:pPr>
              <w:widowControl w:val="0"/>
              <w:tabs>
                <w:tab w:val="left" w:pos="390"/>
                <w:tab w:val="left" w:pos="1035"/>
                <w:tab w:val="left" w:pos="1500"/>
              </w:tabs>
              <w:jc w:val="both"/>
              <w:rPr>
                <w:rFonts w:ascii="Times New Roman" w:hAnsi="Times New Roman" w:cs="Times New Roman"/>
                <w:bCs/>
              </w:rPr>
            </w:pPr>
            <w:r>
              <w:rPr>
                <w:rFonts w:ascii="Times New Roman" w:hAnsi="Times New Roman" w:cs="Times New Roman"/>
                <w:bCs/>
              </w:rPr>
              <w:t xml:space="preserve">Turi būti įdiegta valdymo prievado ugniasienės funkcija su galimybe leisti pasiekti UDP/TCP valdymo prievado servisus tik iš nurodyto tinklo (angl. </w:t>
            </w:r>
            <w:r>
              <w:rPr>
                <w:rFonts w:ascii="Times New Roman" w:hAnsi="Times New Roman" w:cs="Times New Roman"/>
                <w:bCs/>
                <w:i/>
              </w:rPr>
              <w:t>whitelisting</w:t>
            </w:r>
            <w:r>
              <w:rPr>
                <w:rFonts w:ascii="Times New Roman" w:hAnsi="Times New Roman" w:cs="Times New Roman"/>
                <w:bCs/>
              </w:rPr>
              <w:t xml:space="preserve">). Leistiną tinklą nurodyti turi būti galima </w:t>
            </w:r>
            <w:r>
              <w:rPr>
                <w:rFonts w:ascii="Times New Roman" w:hAnsi="Times New Roman" w:cs="Times New Roman"/>
                <w:bCs/>
                <w:i/>
              </w:rPr>
              <w:t>IP/netmask</w:t>
            </w:r>
            <w:r>
              <w:rPr>
                <w:rFonts w:ascii="Times New Roman" w:hAnsi="Times New Roman" w:cs="Times New Roman"/>
                <w:bCs/>
              </w:rPr>
              <w:t xml:space="preserve"> arba </w:t>
            </w:r>
            <w:r>
              <w:rPr>
                <w:rFonts w:ascii="Times New Roman" w:hAnsi="Times New Roman" w:cs="Times New Roman"/>
                <w:bCs/>
                <w:i/>
              </w:rPr>
              <w:t>CIDR</w:t>
            </w:r>
            <w:r>
              <w:rPr>
                <w:rFonts w:ascii="Times New Roman" w:hAnsi="Times New Roman" w:cs="Times New Roman"/>
                <w:bCs/>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rsidR="007826EE" w:rsidRDefault="00D276BF">
            <w:pPr>
              <w:widowControl w:val="0"/>
              <w:tabs>
                <w:tab w:val="left" w:pos="390"/>
                <w:tab w:val="left" w:pos="1035"/>
                <w:tab w:val="left" w:pos="1500"/>
              </w:tabs>
              <w:jc w:val="both"/>
              <w:rPr>
                <w:rFonts w:ascii="Times New Roman" w:hAnsi="Times New Roman" w:cs="Times New Roman"/>
              </w:rPr>
            </w:pPr>
            <w:r>
              <w:rPr>
                <w:rFonts w:ascii="Times New Roman" w:hAnsi="Times New Roman" w:cs="Times New Roman"/>
              </w:rPr>
              <w:t xml:space="preserve">Turi palaikyti saugų visišką duomenų sunaikinimą nuotoliniu būdu visų tipų laikmenose, sunaikinant saugomus duomenis (HDD, SSD, NVMe, flash). </w:t>
            </w:r>
          </w:p>
          <w:p w:rsidR="007826EE" w:rsidRDefault="00D276BF">
            <w:pPr>
              <w:widowControl w:val="0"/>
              <w:jc w:val="both"/>
              <w:rPr>
                <w:rFonts w:ascii="Times New Roman" w:hAnsi="Times New Roman" w:cs="Times New Roman"/>
                <w:color w:val="C00000"/>
                <w:szCs w:val="24"/>
                <w:highlight w:val="green"/>
              </w:rPr>
            </w:pPr>
            <w:r>
              <w:rPr>
                <w:rFonts w:ascii="Times New Roman" w:hAnsi="Times New Roman" w:cs="Times New Roman"/>
              </w:rPr>
              <w:t>Turi palaikyti pilną sistemos nustatymų, bei sisteminio kodo atnaujinimų užrakinimą nuo neautorizuotų veiksmų, nepriklausomai nuo vartotojų teisių.</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contextualSpacing/>
              <w:jc w:val="both"/>
              <w:rPr>
                <w:rFonts w:ascii="Times New Roman" w:hAnsi="Times New Roman" w:cs="Times New Roman"/>
                <w:szCs w:val="24"/>
              </w:rPr>
            </w:pPr>
            <w:r>
              <w:rPr>
                <w:rFonts w:ascii="Times New Roman" w:hAnsi="Times New Roman" w:cs="Times New Roman"/>
                <w:szCs w:val="24"/>
              </w:rPr>
              <w:t>Tinklo prievadai</w:t>
            </w:r>
          </w:p>
          <w:p w:rsidR="007826EE" w:rsidRDefault="00D276BF">
            <w:pPr>
              <w:widowControl w:val="0"/>
              <w:tabs>
                <w:tab w:val="left" w:pos="390"/>
                <w:tab w:val="left" w:pos="1035"/>
                <w:tab w:val="left" w:pos="1500"/>
              </w:tabs>
              <w:jc w:val="both"/>
              <w:rPr>
                <w:rFonts w:ascii="Times New Roman" w:hAnsi="Times New Roman" w:cs="Times New Roman"/>
                <w:color w:val="C00000"/>
                <w:szCs w:val="24"/>
              </w:rPr>
            </w:pPr>
            <w:r>
              <w:rPr>
                <w:rFonts w:ascii="Times New Roman" w:hAnsi="Times New Roman" w:cs="Times New Roman"/>
                <w:szCs w:val="24"/>
              </w:rPr>
              <w:t>(nurodyti modelį ir kiekį)</w:t>
            </w:r>
          </w:p>
        </w:tc>
        <w:tc>
          <w:tcPr>
            <w:tcW w:w="5123"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 xml:space="preserve">Ne mažiau kaip 2 prievadai Ethernet 10/25 GbE su SFP28 jungtimis. Aparatinė technologija tinklo paketų paskirstymui tarp skirtingų centrinio procesoriaus (angl.  </w:t>
            </w:r>
            <w:r>
              <w:rPr>
                <w:rFonts w:ascii="Times New Roman" w:hAnsi="Times New Roman" w:cs="Times New Roman"/>
                <w:i/>
                <w:szCs w:val="24"/>
              </w:rPr>
              <w:t>CPU</w:t>
            </w:r>
            <w:r>
              <w:rPr>
                <w:rFonts w:ascii="Times New Roman" w:hAnsi="Times New Roman" w:cs="Times New Roman"/>
                <w:szCs w:val="24"/>
              </w:rPr>
              <w:t>) branduolių arba lygiavertė.</w:t>
            </w:r>
          </w:p>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VXLAN, NVGRE, Geneve, GRE encap/decap paketų prioretizavimo arba lygiaverčių protokolų palaikymas.</w:t>
            </w:r>
          </w:p>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 xml:space="preserve">Visi tinklo prievadai turi atlikti dalinį paketų apdorojimą </w:t>
            </w:r>
            <w:r>
              <w:rPr>
                <w:rFonts w:ascii="Times New Roman" w:hAnsi="Times New Roman" w:cs="Times New Roman"/>
                <w:szCs w:val="24"/>
              </w:rPr>
              <w:lastRenderedPageBreak/>
              <w:t xml:space="preserve">TCP/IP Protocol Offloading (angl. </w:t>
            </w:r>
            <w:r>
              <w:rPr>
                <w:rFonts w:ascii="Times New Roman" w:hAnsi="Times New Roman" w:cs="Times New Roman"/>
                <w:i/>
                <w:szCs w:val="24"/>
              </w:rPr>
              <w:t>TOE</w:t>
            </w:r>
            <w:r>
              <w:rPr>
                <w:rFonts w:ascii="Times New Roman" w:hAnsi="Times New Roman" w:cs="Times New Roman"/>
                <w:szCs w:val="24"/>
              </w:rPr>
              <w:t>) arba privalo palaikyti lygiavertę technologiją TCP/IP srauto valdymui. Turi palaikyti SR-IOV arba lygiavertę technologiją.</w:t>
            </w:r>
          </w:p>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Su kiekviena tarnybine stotimi turi būti pateikti:</w:t>
            </w:r>
          </w:p>
          <w:p w:rsidR="007826EE" w:rsidRDefault="00D276BF">
            <w:pPr>
              <w:pStyle w:val="ListParagraph"/>
              <w:widowControl w:val="0"/>
              <w:numPr>
                <w:ilvl w:val="0"/>
                <w:numId w:val="10"/>
              </w:numPr>
              <w:spacing w:after="0" w:line="240" w:lineRule="auto"/>
              <w:jc w:val="both"/>
              <w:rPr>
                <w:rFonts w:ascii="Times New Roman" w:hAnsi="Times New Roman" w:cs="Times New Roman"/>
              </w:rPr>
            </w:pPr>
            <w:r>
              <w:rPr>
                <w:rFonts w:ascii="Times New Roman" w:hAnsi="Times New Roman" w:cs="Times New Roman"/>
              </w:rPr>
              <w:t>2 vnt. SFP28 25G SR LC Duplex MultiMode modulių;</w:t>
            </w:r>
          </w:p>
          <w:p w:rsidR="007826EE" w:rsidRDefault="00D276BF">
            <w:pPr>
              <w:pStyle w:val="ListParagraph"/>
              <w:widowControl w:val="0"/>
              <w:numPr>
                <w:ilvl w:val="0"/>
                <w:numId w:val="10"/>
              </w:numPr>
              <w:spacing w:after="0" w:line="240" w:lineRule="auto"/>
              <w:jc w:val="both"/>
              <w:rPr>
                <w:rFonts w:ascii="Times New Roman" w:hAnsi="Times New Roman" w:cs="Times New Roman"/>
              </w:rPr>
            </w:pPr>
            <w:r>
              <w:rPr>
                <w:rFonts w:ascii="Times New Roman" w:hAnsi="Times New Roman" w:cs="Times New Roman"/>
              </w:rPr>
              <w:t>1 vnt. Duplex Multimode OM4 tipo optinių kabelių 2 m. su jungtimis LC\LC;</w:t>
            </w:r>
          </w:p>
          <w:p w:rsidR="007826EE" w:rsidRDefault="00D276BF">
            <w:pPr>
              <w:pStyle w:val="ListParagraph"/>
              <w:widowControl w:val="0"/>
              <w:numPr>
                <w:ilvl w:val="0"/>
                <w:numId w:val="10"/>
              </w:numPr>
              <w:spacing w:after="0" w:line="240" w:lineRule="auto"/>
              <w:jc w:val="both"/>
              <w:rPr>
                <w:rFonts w:ascii="Times New Roman" w:hAnsi="Times New Roman" w:cs="Times New Roman"/>
              </w:rPr>
            </w:pPr>
            <w:r>
              <w:rPr>
                <w:rFonts w:ascii="Times New Roman" w:hAnsi="Times New Roman" w:cs="Times New Roman"/>
              </w:rPr>
              <w:t>1 vnt. Duplex Multimode OM4 tipo optinių kabelių 3 m. su jungtimis LC\LC;</w:t>
            </w:r>
          </w:p>
          <w:p w:rsidR="007826EE" w:rsidRDefault="00D276BF">
            <w:pPr>
              <w:pStyle w:val="ListParagraph"/>
              <w:widowControl w:val="0"/>
              <w:numPr>
                <w:ilvl w:val="0"/>
                <w:numId w:val="10"/>
              </w:numPr>
              <w:spacing w:after="0" w:line="240" w:lineRule="auto"/>
              <w:jc w:val="both"/>
              <w:rPr>
                <w:rFonts w:ascii="Times New Roman" w:hAnsi="Times New Roman" w:cs="Times New Roman"/>
                <w:spacing w:val="-4"/>
              </w:rPr>
            </w:pPr>
            <w:r>
              <w:rPr>
                <w:rFonts w:ascii="Times New Roman" w:hAnsi="Times New Roman" w:cs="Times New Roman"/>
              </w:rPr>
              <w:t>2 vnt.</w:t>
            </w:r>
            <w:r>
              <w:rPr>
                <w:rFonts w:ascii="Times New Roman" w:hAnsi="Times New Roman" w:cs="Times New Roman"/>
                <w:spacing w:val="-4"/>
              </w:rPr>
              <w:t xml:space="preserve"> S/FTP Cat6a kategorijos  ekranuotų patch kabelių, 2 m ilgio, su jungtimis RJ-45;</w:t>
            </w:r>
          </w:p>
          <w:p w:rsidR="007826EE" w:rsidRDefault="007826EE">
            <w:pPr>
              <w:pStyle w:val="ListParagraph"/>
              <w:widowControl w:val="0"/>
              <w:jc w:val="both"/>
              <w:rPr>
                <w:rFonts w:ascii="Times New Roman" w:hAnsi="Times New Roman" w:cs="Times New Roman"/>
                <w:color w:val="C00000"/>
                <w:szCs w:val="24"/>
              </w:rPr>
            </w:pP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widowControl w:val="0"/>
              <w:tabs>
                <w:tab w:val="left" w:pos="390"/>
                <w:tab w:val="left" w:pos="1035"/>
                <w:tab w:val="left" w:pos="1500"/>
              </w:tabs>
              <w:jc w:val="both"/>
              <w:rPr>
                <w:color w:val="00B050"/>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contextualSpacing/>
              <w:jc w:val="both"/>
              <w:rPr>
                <w:rFonts w:ascii="Times New Roman" w:hAnsi="Times New Roman" w:cs="Times New Roman"/>
                <w:szCs w:val="24"/>
              </w:rPr>
            </w:pPr>
            <w:r>
              <w:rPr>
                <w:rFonts w:ascii="Times New Roman" w:hAnsi="Times New Roman" w:cs="Times New Roman"/>
                <w:szCs w:val="24"/>
              </w:rPr>
              <w:t>Maitinimo blokai</w:t>
            </w:r>
          </w:p>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(nurodyti modelį ir kiekį)</w:t>
            </w:r>
          </w:p>
        </w:tc>
        <w:tc>
          <w:tcPr>
            <w:tcW w:w="5123" w:type="dxa"/>
            <w:tcBorders>
              <w:top w:val="single" w:sz="4" w:space="0" w:color="000000"/>
              <w:left w:val="single" w:sz="4" w:space="0" w:color="000000"/>
              <w:bottom w:val="single" w:sz="4" w:space="0" w:color="000000"/>
            </w:tcBorders>
            <w:vAlign w:val="center"/>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rPr>
              <w:t>Dubliuoti „karšto keitimo“, vieno maitinimo šaltinio gedimo atveju tarnybinės stoties darbas turi nenutrūkti net ir maksimaliai ją užpildžius diskais, išplėtimo plokštėmis bei atminties moduliais; kiekvieno galia ne mažiau 1000W ir energijos efektyvumo standartas ne prastesnis kaip Titanium; kiekvienas maitinimo blokas turi būti komplektuojamas su IEC320 C13 - IEC320 C14 tipo maitinimo kabeliu kurio ilgis ne trumpesnis kaip 1,2 m. ir ne ilgesnis kaip 2 m.</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Aušinimo sistema</w:t>
            </w:r>
          </w:p>
        </w:tc>
        <w:tc>
          <w:tcPr>
            <w:tcW w:w="5123" w:type="dxa"/>
            <w:tcBorders>
              <w:top w:val="single" w:sz="4" w:space="0" w:color="000000"/>
              <w:left w:val="single" w:sz="4" w:space="0" w:color="000000"/>
              <w:bottom w:val="single" w:sz="4" w:space="0" w:color="000000"/>
            </w:tcBorders>
          </w:tcPr>
          <w:p w:rsidR="007826EE" w:rsidRDefault="00D276BF">
            <w:pPr>
              <w:widowControl w:val="0"/>
              <w:jc w:val="both"/>
              <w:rPr>
                <w:rFonts w:ascii="Times New Roman" w:hAnsi="Times New Roman" w:cs="Times New Roman"/>
                <w:szCs w:val="24"/>
                <w:highlight w:val="green"/>
              </w:rPr>
            </w:pPr>
            <w:r>
              <w:rPr>
                <w:rFonts w:ascii="Times New Roman" w:hAnsi="Times New Roman" w:cs="Times New Roman"/>
                <w:szCs w:val="24"/>
              </w:rPr>
              <w:t>Turi būti dubliuotų „karšto keitimo“ ventiliatorių sistema (t. y. kiekviename ventiliatorių bloke turi būti ne mažiau kaip 2 ventiliatoriai).</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widowControl w:val="0"/>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Korpusas</w:t>
            </w:r>
          </w:p>
        </w:tc>
        <w:tc>
          <w:tcPr>
            <w:tcW w:w="5123" w:type="dxa"/>
            <w:tcBorders>
              <w:top w:val="single" w:sz="4" w:space="0" w:color="000000"/>
              <w:left w:val="single" w:sz="4" w:space="0" w:color="000000"/>
              <w:bottom w:val="single" w:sz="4" w:space="0" w:color="000000"/>
            </w:tcBorders>
            <w:vAlign w:val="center"/>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rPr>
              <w:t>Montuojamas į 19“ spintą, ne daugiau 2U aukščio, su visais priedais montavimui spintoje (bėgiai, tvirtinimo elementai); turi turėti priekinę apsauginę rakinamą uždangą fizinei diskų apsaugai.</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highlight w:val="yellow"/>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Suderinamumas</w:t>
            </w:r>
          </w:p>
        </w:tc>
        <w:tc>
          <w:tcPr>
            <w:tcW w:w="5123"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Tarnybinė stotis turi būti suderinama su šiomis operacinėmis sistemomis ir virtualizavimo programine įranga:</w:t>
            </w:r>
            <w:r>
              <w:rPr>
                <w:rFonts w:ascii="Times New Roman" w:hAnsi="Times New Roman" w:cs="Times New Roman"/>
                <w:szCs w:val="24"/>
              </w:rPr>
              <w:br/>
              <w:t>– sertifikuota dirbti su Red Hat Enterprise Linux OS (</w:t>
            </w:r>
            <w:hyperlink r:id="rId16" w:tgtFrame="_new">
              <w:r>
                <w:rPr>
                  <w:rStyle w:val="Internetosaitas"/>
                  <w:rFonts w:ascii="Times New Roman" w:hAnsi="Times New Roman" w:cs="Times New Roman"/>
                  <w:szCs w:val="24"/>
                </w:rPr>
                <w:t>https://catalog.redhat.com/hardware</w:t>
              </w:r>
            </w:hyperlink>
            <w:r>
              <w:rPr>
                <w:rFonts w:ascii="Times New Roman" w:hAnsi="Times New Roman" w:cs="Times New Roman"/>
                <w:szCs w:val="24"/>
              </w:rPr>
              <w:t>) arba lygiaverte;</w:t>
            </w:r>
            <w:r>
              <w:rPr>
                <w:rFonts w:ascii="Times New Roman" w:hAnsi="Times New Roman" w:cs="Times New Roman"/>
                <w:szCs w:val="24"/>
              </w:rPr>
              <w:br/>
              <w:t xml:space="preserve">– Microsoft Windows Server 2022 arba naujesne Microsoft Windows Server versija, arba lygiaverte. Informacija turi būti pateikta svetainėje </w:t>
            </w:r>
            <w:hyperlink r:id="rId17" w:tgtFrame="_new">
              <w:r>
                <w:rPr>
                  <w:rStyle w:val="Internetosaitas"/>
                  <w:rFonts w:ascii="Times New Roman" w:hAnsi="Times New Roman" w:cs="Times New Roman"/>
                  <w:szCs w:val="24"/>
                </w:rPr>
                <w:t>http://www.windowsservercatalog.com/</w:t>
              </w:r>
            </w:hyperlink>
            <w:r>
              <w:rPr>
                <w:rFonts w:ascii="Times New Roman" w:hAnsi="Times New Roman" w:cs="Times New Roman"/>
                <w:szCs w:val="24"/>
              </w:rPr>
              <w:t xml:space="preserve"> arba pateikta gamintojo dokumentacijos kopija;</w:t>
            </w:r>
            <w:r>
              <w:rPr>
                <w:rFonts w:ascii="Times New Roman" w:hAnsi="Times New Roman" w:cs="Times New Roman"/>
                <w:szCs w:val="24"/>
              </w:rPr>
              <w:br/>
              <w:t>– suderinama su VMware ESXi Server 8.0 arba lygiaverte programine įranga. Informacija turi būti pateikta svetainėje http://www.vmware.com/resources/compatibility/ arba pateikta gamintojo dokumentacijos kopija;</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rPr>
              <w:t>Informavimas apie gedimą</w:t>
            </w:r>
          </w:p>
        </w:tc>
        <w:tc>
          <w:tcPr>
            <w:tcW w:w="5123" w:type="dxa"/>
            <w:tcBorders>
              <w:top w:val="single" w:sz="4" w:space="0" w:color="000000"/>
              <w:left w:val="single" w:sz="4" w:space="0" w:color="000000"/>
              <w:bottom w:val="single" w:sz="4" w:space="0" w:color="000000"/>
            </w:tcBorders>
            <w:vAlign w:val="center"/>
          </w:tcPr>
          <w:p w:rsidR="007826EE" w:rsidRDefault="00D276BF">
            <w:pPr>
              <w:widowControl w:val="0"/>
              <w:contextualSpacing/>
              <w:jc w:val="both"/>
              <w:rPr>
                <w:rFonts w:ascii="Times New Roman" w:hAnsi="Times New Roman" w:cs="Times New Roman"/>
                <w:szCs w:val="24"/>
              </w:rPr>
            </w:pPr>
            <w:r>
              <w:rPr>
                <w:rFonts w:ascii="Times New Roman" w:hAnsi="Times New Roman" w:cs="Times New Roman"/>
              </w:rPr>
              <w:t>Turi būti realizuotas funkcionalumas, informuojantis administratorių apie įvykusį arba spėjamą (galimą) HDD/SSD, RAM, PSU ir kitų sisteminių įrenginių gedimą. Pranešimas apie gedimą turi būti siunčiamas el. paštu ir SNMP protokolu;</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rPr>
              <w:t>Garantija dėl avarijų</w:t>
            </w:r>
          </w:p>
        </w:tc>
        <w:tc>
          <w:tcPr>
            <w:tcW w:w="5123" w:type="dxa"/>
            <w:tcBorders>
              <w:top w:val="single" w:sz="4" w:space="0" w:color="000000"/>
              <w:left w:val="single" w:sz="4" w:space="0" w:color="000000"/>
              <w:bottom w:val="single" w:sz="4" w:space="0" w:color="000000"/>
            </w:tcBorders>
            <w:vAlign w:val="center"/>
          </w:tcPr>
          <w:p w:rsidR="007826EE" w:rsidRDefault="00D276BF">
            <w:pPr>
              <w:widowControl w:val="0"/>
              <w:contextualSpacing/>
              <w:jc w:val="both"/>
              <w:rPr>
                <w:rFonts w:ascii="Times New Roman" w:hAnsi="Times New Roman" w:cs="Times New Roman"/>
                <w:szCs w:val="24"/>
              </w:rPr>
            </w:pPr>
            <w:r>
              <w:rPr>
                <w:rFonts w:ascii="Times New Roman" w:hAnsi="Times New Roman" w:cs="Times New Roman"/>
              </w:rPr>
              <w:t>Diskams, atminčiai, procesoriams suteikiama garantija dėl avarijų (angl</w:t>
            </w:r>
            <w:r>
              <w:rPr>
                <w:rFonts w:ascii="Times New Roman" w:hAnsi="Times New Roman" w:cs="Times New Roman"/>
                <w:i/>
              </w:rPr>
              <w:t>. prefailure warranty</w:t>
            </w:r>
            <w:r>
              <w:rPr>
                <w:rFonts w:ascii="Times New Roman" w:hAnsi="Times New Roman" w:cs="Times New Roman"/>
              </w:rPr>
              <w:t>); įranga keičiama, jei buvo iš anksto įspėta dėl galimo gedimo.</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c>
          <w:tcPr>
            <w:tcW w:w="569"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rPr>
                <w:rFonts w:ascii="Times New Roman" w:hAnsi="Times New Roman" w:cs="Times New Roman"/>
                <w:szCs w:val="24"/>
              </w:rPr>
            </w:pPr>
          </w:p>
        </w:tc>
        <w:tc>
          <w:tcPr>
            <w:tcW w:w="1806"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rPr>
              <w:t>Kiti reikalavimai</w:t>
            </w:r>
          </w:p>
        </w:tc>
        <w:tc>
          <w:tcPr>
            <w:tcW w:w="5123" w:type="dxa"/>
            <w:tcBorders>
              <w:top w:val="single" w:sz="4" w:space="0" w:color="000000"/>
              <w:left w:val="single" w:sz="4" w:space="0" w:color="000000"/>
              <w:bottom w:val="single" w:sz="4" w:space="0" w:color="000000"/>
            </w:tcBorders>
            <w:vAlign w:val="center"/>
          </w:tcPr>
          <w:p w:rsidR="007826EE" w:rsidRDefault="00D276BF">
            <w:pPr>
              <w:keepNext/>
              <w:keepLines/>
              <w:widowControl w:val="0"/>
              <w:tabs>
                <w:tab w:val="left" w:pos="390"/>
                <w:tab w:val="left" w:pos="1035"/>
                <w:tab w:val="left" w:pos="1500"/>
              </w:tabs>
              <w:rPr>
                <w:rFonts w:ascii="Times New Roman" w:hAnsi="Times New Roman" w:cs="Times New Roman"/>
                <w:szCs w:val="24"/>
              </w:rPr>
            </w:pPr>
            <w:r>
              <w:rPr>
                <w:rFonts w:ascii="Times New Roman" w:hAnsi="Times New Roman" w:cs="Times New Roman"/>
                <w:szCs w:val="24"/>
              </w:rPr>
              <w:t xml:space="preserve">Tarnybinė stotis turi turėti integruotą TPM (angl. </w:t>
            </w:r>
            <w:r>
              <w:rPr>
                <w:rFonts w:ascii="Times New Roman" w:hAnsi="Times New Roman" w:cs="Times New Roman"/>
                <w:i/>
                <w:szCs w:val="24"/>
              </w:rPr>
              <w:t>Trusted Platform Module</w:t>
            </w:r>
            <w:r>
              <w:rPr>
                <w:rFonts w:ascii="Times New Roman" w:hAnsi="Times New Roman" w:cs="Times New Roman"/>
                <w:szCs w:val="24"/>
              </w:rPr>
              <w:t>) mikroschemą;</w:t>
            </w:r>
          </w:p>
          <w:p w:rsidR="007826EE" w:rsidRDefault="00D276BF">
            <w:pPr>
              <w:keepNext/>
              <w:keepLines/>
              <w:widowControl w:val="0"/>
              <w:tabs>
                <w:tab w:val="left" w:pos="390"/>
                <w:tab w:val="left" w:pos="1035"/>
                <w:tab w:val="left" w:pos="1500"/>
              </w:tabs>
              <w:rPr>
                <w:rFonts w:ascii="Times New Roman" w:hAnsi="Times New Roman" w:cs="Times New Roman"/>
                <w:szCs w:val="24"/>
              </w:rPr>
            </w:pPr>
            <w:r>
              <w:rPr>
                <w:rFonts w:ascii="Times New Roman" w:hAnsi="Times New Roman" w:cs="Times New Roman"/>
                <w:szCs w:val="24"/>
              </w:rPr>
              <w:t xml:space="preserve">visi siūlomos tarnybinės stoties komponentai  privalo būti sukomplektuoti tarnybinės stoties gamintojo ir atitinkamai pažymėti. </w:t>
            </w:r>
            <w:r>
              <w:rPr>
                <w:rFonts w:ascii="Times New Roman" w:hAnsi="Times New Roman" w:cs="Times New Roman"/>
              </w:rPr>
              <w:t>Tinklo sujungimo kabeliams ir SFP moduliams ši sąlyga negalioja</w:t>
            </w:r>
          </w:p>
        </w:tc>
        <w:tc>
          <w:tcPr>
            <w:tcW w:w="2473"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bl>
    <w:p w:rsidR="007826EE" w:rsidRDefault="007826EE">
      <w:pPr>
        <w:tabs>
          <w:tab w:val="left" w:pos="720"/>
          <w:tab w:val="left" w:pos="1134"/>
        </w:tabs>
        <w:jc w:val="both"/>
        <w:rPr>
          <w:i/>
          <w:color w:val="FF0000"/>
          <w:sz w:val="23"/>
          <w:szCs w:val="24"/>
        </w:rPr>
      </w:pPr>
    </w:p>
    <w:tbl>
      <w:tblPr>
        <w:tblW w:w="9926" w:type="dxa"/>
        <w:tblInd w:w="134" w:type="dxa"/>
        <w:tblLayout w:type="fixed"/>
        <w:tblLook w:val="0000" w:firstRow="0" w:lastRow="0" w:firstColumn="0" w:lastColumn="0" w:noHBand="0" w:noVBand="0"/>
      </w:tblPr>
      <w:tblGrid>
        <w:gridCol w:w="683"/>
        <w:gridCol w:w="1987"/>
        <w:gridCol w:w="4281"/>
        <w:gridCol w:w="2975"/>
      </w:tblGrid>
      <w:tr w:rsidR="007826EE">
        <w:trPr>
          <w:trHeight w:val="864"/>
        </w:trPr>
        <w:tc>
          <w:tcPr>
            <w:tcW w:w="9925" w:type="dxa"/>
            <w:gridSpan w:val="4"/>
            <w:tcBorders>
              <w:top w:val="single" w:sz="4" w:space="0" w:color="000000"/>
              <w:left w:val="single" w:sz="4" w:space="0" w:color="000000"/>
              <w:bottom w:val="single" w:sz="4" w:space="0" w:color="000000"/>
              <w:right w:val="single" w:sz="4" w:space="0" w:color="000000"/>
            </w:tcBorders>
            <w:vAlign w:val="center"/>
          </w:tcPr>
          <w:p w:rsidR="007826EE" w:rsidRDefault="00D276BF">
            <w:pPr>
              <w:keepNext/>
              <w:keepLines/>
              <w:widowControl w:val="0"/>
              <w:tabs>
                <w:tab w:val="left" w:pos="390"/>
                <w:tab w:val="left" w:pos="1035"/>
                <w:tab w:val="left" w:pos="1500"/>
              </w:tabs>
              <w:spacing w:before="120" w:after="120"/>
              <w:jc w:val="center"/>
              <w:rPr>
                <w:rFonts w:ascii="Times New Roman" w:hAnsi="Times New Roman" w:cs="Times New Roman"/>
                <w:b/>
                <w:szCs w:val="24"/>
              </w:rPr>
            </w:pPr>
            <w:r>
              <w:rPr>
                <w:rFonts w:ascii="Times New Roman" w:hAnsi="Times New Roman" w:cs="Times New Roman"/>
                <w:b/>
                <w:szCs w:val="24"/>
              </w:rPr>
              <w:t>BENDRIEJI REIKALAVIMAI</w:t>
            </w:r>
          </w:p>
        </w:tc>
      </w:tr>
      <w:tr w:rsidR="007826EE">
        <w:trPr>
          <w:trHeight w:val="902"/>
        </w:trPr>
        <w:tc>
          <w:tcPr>
            <w:tcW w:w="682"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jc w:val="both"/>
              <w:rPr>
                <w:rFonts w:ascii="Times New Roman" w:hAnsi="Times New Roman" w:cs="Times New Roman"/>
                <w:szCs w:val="24"/>
              </w:rPr>
            </w:pPr>
          </w:p>
        </w:tc>
        <w:tc>
          <w:tcPr>
            <w:tcW w:w="1987"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Licencijos</w:t>
            </w:r>
          </w:p>
        </w:tc>
        <w:tc>
          <w:tcPr>
            <w:tcW w:w="4281"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Įranga pateikiama su visomis licencijomis, programine įranga, aparatine įranga, laidais ir kt., kas reikalinga išvardytoms funkcijoms užtikrinti.</w:t>
            </w:r>
          </w:p>
        </w:tc>
        <w:tc>
          <w:tcPr>
            <w:tcW w:w="2975"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szCs w:val="22"/>
              </w:rPr>
            </w:pPr>
          </w:p>
        </w:tc>
      </w:tr>
      <w:tr w:rsidR="007826EE">
        <w:trPr>
          <w:trHeight w:val="4986"/>
        </w:trPr>
        <w:tc>
          <w:tcPr>
            <w:tcW w:w="682" w:type="dxa"/>
            <w:tcBorders>
              <w:top w:val="single" w:sz="4" w:space="0" w:color="000000"/>
              <w:left w:val="single" w:sz="4" w:space="0" w:color="000000"/>
              <w:bottom w:val="single" w:sz="4" w:space="0" w:color="000000"/>
            </w:tcBorders>
          </w:tcPr>
          <w:p w:rsidR="007826EE" w:rsidRDefault="007826EE">
            <w:pPr>
              <w:pStyle w:val="ListParagraph"/>
              <w:widowControl w:val="0"/>
              <w:numPr>
                <w:ilvl w:val="0"/>
                <w:numId w:val="11"/>
              </w:numPr>
              <w:spacing w:after="0" w:line="240" w:lineRule="auto"/>
              <w:jc w:val="both"/>
              <w:rPr>
                <w:szCs w:val="22"/>
              </w:rPr>
            </w:pPr>
          </w:p>
        </w:tc>
        <w:tc>
          <w:tcPr>
            <w:tcW w:w="1987" w:type="dxa"/>
            <w:tcBorders>
              <w:top w:val="single" w:sz="4" w:space="0" w:color="000000"/>
              <w:left w:val="single" w:sz="4" w:space="0" w:color="000000"/>
              <w:bottom w:val="single" w:sz="4" w:space="0" w:color="000000"/>
            </w:tcBorders>
          </w:tcPr>
          <w:p w:rsidR="007826EE" w:rsidRDefault="00D276BF">
            <w:pPr>
              <w:widowControl w:val="0"/>
              <w:tabs>
                <w:tab w:val="left" w:pos="390"/>
                <w:tab w:val="left" w:pos="1035"/>
                <w:tab w:val="left" w:pos="1500"/>
              </w:tabs>
              <w:jc w:val="both"/>
              <w:rPr>
                <w:szCs w:val="24"/>
              </w:rPr>
            </w:pPr>
            <w:r>
              <w:rPr>
                <w:rFonts w:ascii="Times New Roman" w:hAnsi="Times New Roman" w:cs="Times New Roman"/>
                <w:szCs w:val="24"/>
              </w:rPr>
              <w:t>Garantinis laikotarpis</w:t>
            </w:r>
          </w:p>
        </w:tc>
        <w:tc>
          <w:tcPr>
            <w:tcW w:w="4281" w:type="dxa"/>
            <w:tcBorders>
              <w:top w:val="single" w:sz="4" w:space="0" w:color="000000"/>
              <w:left w:val="single" w:sz="4" w:space="0" w:color="000000"/>
              <w:bottom w:val="single" w:sz="4" w:space="0" w:color="000000"/>
            </w:tcBorders>
          </w:tcPr>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 xml:space="preserve">Garantinė ir techninė pagalba siūlomam sprendimui ir visai pateikiamai aparatinei bei programinei įrangai turi būti suteikiama ne trumpiau kaip 24 mėnesiu. Garantinė techninė priežiūra suteikiama įrangos įrengimo vietoje Lietuvos teritorijoje (Saltoniškių g. 19, Vilnius). </w:t>
            </w:r>
            <w:r>
              <w:rPr>
                <w:rFonts w:ascii="Times New Roman" w:hAnsi="Times New Roman" w:cs="Times New Roman"/>
              </w:rPr>
              <w:t xml:space="preserve">Garantinis aptarnavimas teikiamas darbo dienomis ir darbo valandomis (8val-17val); </w:t>
            </w:r>
            <w:r>
              <w:rPr>
                <w:rFonts w:ascii="Times New Roman" w:hAnsi="Times New Roman" w:cs="Times New Roman"/>
                <w:szCs w:val="24"/>
              </w:rPr>
              <w:t>Reakcijos laikas – ne vėliau kaip kita darbo diena po pranešimo apie gedimą. Gamintojas garantuoja nemokamą dalių tiekimą ir nemokamus remonto darbus.</w:t>
            </w:r>
          </w:p>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 xml:space="preserve">Įrangos gamintojas turi turėti viešai pasiekiamą interneto svetainę, iš kurios garantinės priežiūros laikotarpiu būtų galima nemokamai atsisiųsti įrangos dokumentus anglų arba lietuvių kalba, aparatinės įrangos (angl. </w:t>
            </w:r>
            <w:r>
              <w:rPr>
                <w:rFonts w:ascii="Times New Roman" w:hAnsi="Times New Roman" w:cs="Times New Roman"/>
                <w:i/>
                <w:szCs w:val="24"/>
              </w:rPr>
              <w:t>firmware</w:t>
            </w:r>
            <w:r>
              <w:rPr>
                <w:rFonts w:ascii="Times New Roman" w:hAnsi="Times New Roman" w:cs="Times New Roman"/>
                <w:szCs w:val="24"/>
              </w:rPr>
              <w:t>), programinės įrangos naujas versijas ir klaidų taisymus, tvarkykles, pasitikrinti informaciją apie garantinės priežiūros galiojimą.</w:t>
            </w:r>
          </w:p>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 xml:space="preserve">Sugedusios atminties laikmenos sunaikinamos Pirkėjo patalpose ir Tiekėjui negrąžinamos. Įrangos gedimo atveju remontuoti iš įrengimo vietos Tiekėjui (jo atstovui) išvežamą sugedusią įrangą Pirkėjas pateikia be joje sumontuotų standžiųjų ar puslaidininkinių diskų (angl. </w:t>
            </w:r>
            <w:r>
              <w:rPr>
                <w:rFonts w:ascii="Times New Roman" w:hAnsi="Times New Roman" w:cs="Times New Roman"/>
                <w:i/>
                <w:szCs w:val="24"/>
              </w:rPr>
              <w:t>HDD/SSD</w:t>
            </w:r>
            <w:r>
              <w:rPr>
                <w:rFonts w:ascii="Times New Roman" w:hAnsi="Times New Roman" w:cs="Times New Roman"/>
                <w:szCs w:val="24"/>
              </w:rPr>
              <w:t>) ar atminties kortelių.</w:t>
            </w:r>
          </w:p>
          <w:p w:rsidR="007826EE" w:rsidRDefault="00D276BF">
            <w:pPr>
              <w:keepNext/>
              <w:keepLines/>
              <w:widowControl w:val="0"/>
              <w:tabs>
                <w:tab w:val="left" w:pos="390"/>
                <w:tab w:val="left" w:pos="1035"/>
                <w:tab w:val="left" w:pos="1500"/>
              </w:tabs>
              <w:jc w:val="both"/>
              <w:rPr>
                <w:rFonts w:ascii="Times New Roman" w:hAnsi="Times New Roman" w:cs="Times New Roman"/>
                <w:szCs w:val="24"/>
              </w:rPr>
            </w:pPr>
            <w:r>
              <w:rPr>
                <w:rFonts w:ascii="Times New Roman" w:hAnsi="Times New Roman" w:cs="Times New Roman"/>
                <w:szCs w:val="24"/>
              </w:rPr>
              <w:t>Garantinis laikotarpis skaičiuojamas nuo priėmimo-perdavimo akto pasirašymo dienos.</w:t>
            </w:r>
          </w:p>
          <w:p w:rsidR="007826EE" w:rsidRDefault="00D276BF">
            <w:pPr>
              <w:widowControl w:val="0"/>
              <w:tabs>
                <w:tab w:val="left" w:pos="390"/>
                <w:tab w:val="left" w:pos="1035"/>
                <w:tab w:val="left" w:pos="1500"/>
              </w:tabs>
              <w:jc w:val="both"/>
              <w:rPr>
                <w:color w:val="C00000"/>
                <w:szCs w:val="24"/>
              </w:rPr>
            </w:pPr>
            <w:r>
              <w:rPr>
                <w:rFonts w:ascii="Times New Roman" w:hAnsi="Times New Roman" w:cs="Times New Roman"/>
                <w:szCs w:val="24"/>
              </w:rPr>
              <w:t>Visi aukščiau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c>
          <w:tcPr>
            <w:tcW w:w="2975" w:type="dxa"/>
            <w:tcBorders>
              <w:top w:val="single" w:sz="4" w:space="0" w:color="000000"/>
              <w:left w:val="single" w:sz="4" w:space="0" w:color="000000"/>
              <w:bottom w:val="single" w:sz="4" w:space="0" w:color="000000"/>
              <w:right w:val="single" w:sz="4" w:space="0" w:color="000000"/>
            </w:tcBorders>
          </w:tcPr>
          <w:p w:rsidR="007826EE" w:rsidRDefault="007826EE">
            <w:pPr>
              <w:keepNext/>
              <w:keepLines/>
              <w:widowControl w:val="0"/>
              <w:tabs>
                <w:tab w:val="left" w:pos="390"/>
                <w:tab w:val="left" w:pos="1035"/>
                <w:tab w:val="left" w:pos="1500"/>
              </w:tabs>
              <w:jc w:val="both"/>
              <w:rPr>
                <w:color w:val="C00000"/>
                <w:szCs w:val="22"/>
              </w:rPr>
            </w:pPr>
          </w:p>
          <w:p w:rsidR="007826EE" w:rsidRDefault="007826EE">
            <w:pPr>
              <w:widowControl w:val="0"/>
              <w:tabs>
                <w:tab w:val="left" w:pos="390"/>
                <w:tab w:val="left" w:pos="1035"/>
                <w:tab w:val="left" w:pos="1500"/>
              </w:tabs>
              <w:jc w:val="both"/>
              <w:rPr>
                <w:color w:val="C00000"/>
                <w:szCs w:val="22"/>
              </w:rPr>
            </w:pPr>
          </w:p>
        </w:tc>
      </w:tr>
    </w:tbl>
    <w:p w:rsidR="007826EE" w:rsidRDefault="007826EE"/>
    <w:p w:rsidR="007826EE" w:rsidRDefault="007826EE">
      <w:pPr>
        <w:tabs>
          <w:tab w:val="left" w:pos="810"/>
          <w:tab w:val="left" w:pos="990"/>
        </w:tabs>
        <w:spacing w:after="0" w:line="240" w:lineRule="auto"/>
        <w:ind w:firstLine="720"/>
        <w:jc w:val="both"/>
        <w:rPr>
          <w:rFonts w:eastAsia="Calibri" w:cstheme="minorHAnsi"/>
          <w:i/>
          <w:iCs/>
          <w:color w:val="7030A0"/>
        </w:rPr>
      </w:pPr>
    </w:p>
    <w:p w:rsidR="007826EE" w:rsidRDefault="007826EE">
      <w:pPr>
        <w:tabs>
          <w:tab w:val="left" w:pos="810"/>
          <w:tab w:val="left" w:pos="990"/>
        </w:tabs>
        <w:spacing w:after="0" w:line="240" w:lineRule="auto"/>
        <w:ind w:firstLine="720"/>
        <w:jc w:val="both"/>
        <w:rPr>
          <w:rFonts w:eastAsia="Calibri" w:cstheme="minorHAnsi"/>
          <w:i/>
          <w:iCs/>
          <w:color w:val="7030A0"/>
        </w:rPr>
      </w:pPr>
    </w:p>
    <w:p w:rsidR="007826EE" w:rsidRDefault="007826EE">
      <w:pPr>
        <w:tabs>
          <w:tab w:val="left" w:pos="810"/>
          <w:tab w:val="left" w:pos="990"/>
        </w:tabs>
        <w:spacing w:after="0" w:line="240" w:lineRule="auto"/>
        <w:ind w:firstLine="720"/>
        <w:jc w:val="both"/>
        <w:rPr>
          <w:rFonts w:eastAsia="Calibri" w:cstheme="minorHAnsi"/>
          <w:i/>
          <w:iCs/>
          <w:color w:val="7030A0"/>
        </w:rPr>
      </w:pPr>
    </w:p>
    <w:p w:rsidR="007826EE" w:rsidRDefault="007826EE">
      <w:pPr>
        <w:pStyle w:val="Heading2"/>
        <w:ind w:left="5103"/>
        <w:rPr>
          <w:rFonts w:ascii="Times New Roman" w:eastAsia="Calibri" w:hAnsi="Times New Roman" w:cs="Times New Roman"/>
          <w:color w:val="auto"/>
          <w:sz w:val="22"/>
          <w:szCs w:val="22"/>
        </w:rPr>
      </w:pPr>
    </w:p>
    <w:p w:rsidR="007826EE" w:rsidRDefault="00D276BF">
      <w:pPr>
        <w:pStyle w:val="Heading2"/>
        <w:ind w:left="5103"/>
        <w:rPr>
          <w:rFonts w:ascii="Times New Roman" w:eastAsia="Calibri" w:hAnsi="Times New Roman" w:cs="Times New Roman"/>
          <w:color w:val="auto"/>
          <w:sz w:val="22"/>
          <w:szCs w:val="22"/>
        </w:rPr>
      </w:pPr>
      <w:bookmarkStart w:id="47" w:name="_Toc126333941"/>
      <w:bookmarkStart w:id="48" w:name="_Ref38291496"/>
      <w:bookmarkStart w:id="49" w:name="_Ref38285444"/>
      <w:r>
        <w:rPr>
          <w:rFonts w:ascii="Times New Roman" w:eastAsia="Calibri" w:hAnsi="Times New Roman" w:cs="Times New Roman"/>
          <w:color w:val="auto"/>
          <w:sz w:val="22"/>
          <w:szCs w:val="22"/>
        </w:rPr>
        <w:t>Pirkimo sąlygų 3 priedas „Tiekėjų pašalinimo pagrindai“</w:t>
      </w:r>
      <w:bookmarkEnd w:id="47"/>
      <w:bookmarkEnd w:id="48"/>
      <w:bookmarkEnd w:id="49"/>
    </w:p>
    <w:p w:rsidR="007826EE" w:rsidRDefault="007826EE">
      <w:pPr>
        <w:jc w:val="center"/>
        <w:rPr>
          <w:rFonts w:cstheme="minorHAnsi"/>
          <w:b/>
          <w:bCs/>
          <w:smallCaps/>
          <w:sz w:val="22"/>
          <w:szCs w:val="22"/>
        </w:rPr>
      </w:pPr>
    </w:p>
    <w:p w:rsidR="007826EE" w:rsidRDefault="00D276BF">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rsidR="007826EE" w:rsidRDefault="00D276BF">
      <w:pPr>
        <w:numPr>
          <w:ilvl w:val="0"/>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826EE" w:rsidRDefault="00D276BF">
      <w:pPr>
        <w:numPr>
          <w:ilvl w:val="0"/>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r>
        <w:rPr>
          <w:rFonts w:ascii="Times New Roman" w:hAnsi="Times New Roman" w:cs="Times New Roman"/>
          <w:color w:val="7030A0"/>
        </w:rPr>
        <w:t xml:space="preserve"> </w:t>
      </w:r>
    </w:p>
    <w:p w:rsidR="007826EE" w:rsidRDefault="00D276BF">
      <w:pPr>
        <w:numPr>
          <w:ilvl w:val="0"/>
          <w:numId w:val="12"/>
        </w:numPr>
        <w:tabs>
          <w:tab w:val="left" w:pos="993"/>
        </w:tabs>
        <w:spacing w:after="0" w:line="240" w:lineRule="auto"/>
        <w:ind w:left="0" w:firstLine="567"/>
        <w:jc w:val="both"/>
        <w:rPr>
          <w:rFonts w:ascii="Times New Roman" w:eastAsia="Verdana" w:hAnsi="Times New Roman" w:cs="Times New Roman"/>
        </w:rPr>
      </w:pPr>
      <w:r>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rsidR="007826EE" w:rsidRDefault="00D276BF">
      <w:pPr>
        <w:numPr>
          <w:ilvl w:val="0"/>
          <w:numId w:val="12"/>
        </w:numPr>
        <w:tabs>
          <w:tab w:val="left" w:pos="993"/>
        </w:tabs>
        <w:spacing w:after="0" w:line="240" w:lineRule="auto"/>
        <w:ind w:left="0" w:firstLine="567"/>
        <w:jc w:val="both"/>
        <w:rPr>
          <w:rFonts w:ascii="Times New Roman" w:eastAsia="Verdana" w:hAnsi="Times New Roman" w:cs="Times New Roman"/>
          <w:color w:val="000000" w:themeColor="text1"/>
        </w:rPr>
      </w:pPr>
      <w:r>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826EE" w:rsidRDefault="00D276BF">
      <w:pPr>
        <w:numPr>
          <w:ilvl w:val="0"/>
          <w:numId w:val="12"/>
        </w:numPr>
        <w:tabs>
          <w:tab w:val="left" w:pos="993"/>
        </w:tabs>
        <w:spacing w:after="0" w:line="240" w:lineRule="auto"/>
        <w:ind w:left="0" w:firstLine="567"/>
        <w:jc w:val="both"/>
        <w:rPr>
          <w:rFonts w:ascii="Times New Roman" w:hAnsi="Times New Roman" w:cs="Times New Roman"/>
        </w:rPr>
      </w:pPr>
      <w:r>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8">
        <w:r>
          <w:rPr>
            <w:rFonts w:ascii="Times New Roman" w:eastAsia="Calibri" w:hAnsi="Times New Roman" w:cs="Times New Roman"/>
          </w:rPr>
          <w:t>https://ec.europa.eu/tools/ecertis/</w:t>
        </w:r>
      </w:hyperlink>
      <w:r>
        <w:rPr>
          <w:rFonts w:ascii="Times New Roman" w:hAnsi="Times New Roman" w:cs="Times New Roman"/>
        </w:rPr>
        <w:t xml:space="preserve">. </w:t>
      </w:r>
    </w:p>
    <w:p w:rsidR="007826EE" w:rsidRDefault="00D276BF">
      <w:pPr>
        <w:numPr>
          <w:ilvl w:val="0"/>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Perkančioji organizacija nereikalauja iš tiekėjo pateikti dokumentų, patvirtinančių jo pašalinimo pagrindų nebuvimą, jeigu ji:</w:t>
      </w:r>
    </w:p>
    <w:p w:rsidR="007826EE" w:rsidRDefault="00D276BF">
      <w:pPr>
        <w:numPr>
          <w:ilvl w:val="1"/>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7826EE" w:rsidRDefault="00D276BF">
      <w:pPr>
        <w:numPr>
          <w:ilvl w:val="1"/>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rsidR="007826EE" w:rsidRDefault="00D276BF">
      <w:pPr>
        <w:numPr>
          <w:ilvl w:val="0"/>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826EE" w:rsidRDefault="00D276BF">
      <w:pPr>
        <w:numPr>
          <w:ilvl w:val="1"/>
          <w:numId w:val="12"/>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priesaikos deklaracija;</w:t>
      </w:r>
    </w:p>
    <w:p w:rsidR="007826EE" w:rsidRDefault="00D276BF">
      <w:pPr>
        <w:ind w:firstLine="567"/>
        <w:jc w:val="both"/>
        <w:rPr>
          <w:rFonts w:ascii="Times New Roman" w:hAnsi="Times New Roman" w:cs="Times New Roman"/>
        </w:rPr>
      </w:pPr>
      <w:r>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62" w:type="dxa"/>
        <w:tblLayout w:type="fixed"/>
        <w:tblLook w:val="04A0" w:firstRow="1" w:lastRow="0" w:firstColumn="1" w:lastColumn="0" w:noHBand="0" w:noVBand="1"/>
      </w:tblPr>
      <w:tblGrid>
        <w:gridCol w:w="558"/>
        <w:gridCol w:w="2987"/>
        <w:gridCol w:w="1555"/>
        <w:gridCol w:w="4862"/>
      </w:tblGrid>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ind w:left="32"/>
              <w:jc w:val="center"/>
              <w:rPr>
                <w:rFonts w:ascii="Times New Roman" w:hAnsi="Times New Roman" w:cs="Times New Roman"/>
                <w:b/>
                <w:bCs/>
              </w:rPr>
            </w:pPr>
            <w:r>
              <w:rPr>
                <w:rFonts w:ascii="Times New Roman" w:hAnsi="Times New Roman" w:cs="Times New Roman"/>
                <w:b/>
                <w:bCs/>
              </w:rPr>
              <w:t>Eil. Nr.</w:t>
            </w: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center"/>
              <w:rPr>
                <w:rFonts w:ascii="Times New Roman" w:hAnsi="Times New Roman" w:cs="Times New Roman"/>
                <w:bCs/>
                <w:lang w:eastAsia="en-US"/>
              </w:rPr>
            </w:pPr>
            <w:r>
              <w:rPr>
                <w:rFonts w:ascii="Times New Roman" w:hAnsi="Times New Roman" w:cs="Times New Roman"/>
                <w:b/>
              </w:rPr>
              <w:t>Tiekėjo pašalinimo pagrindai</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center"/>
              <w:rPr>
                <w:rFonts w:ascii="Times New Roman" w:eastAsia="Yu Mincho" w:hAnsi="Times New Roman" w:cs="Times New Roman"/>
                <w:b/>
                <w:bCs/>
              </w:rPr>
            </w:pPr>
            <w:r>
              <w:rPr>
                <w:rFonts w:ascii="Times New Roman" w:eastAsia="Yu Mincho" w:hAnsi="Times New Roman" w:cs="Times New Roman"/>
                <w:b/>
                <w:bCs/>
              </w:rPr>
              <w:t xml:space="preserve">VPĮ straipsnis,  dalis, punktas bei EBVPD </w:t>
            </w:r>
            <w:r>
              <w:rPr>
                <w:rFonts w:ascii="Times New Roman" w:eastAsia="Yu Mincho" w:hAnsi="Times New Roman" w:cs="Times New Roman"/>
                <w:b/>
                <w:bCs/>
              </w:rPr>
              <w:lastRenderedPageBreak/>
              <w:t>formos dalis pildymui</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center"/>
              <w:rPr>
                <w:rFonts w:ascii="Times New Roman" w:hAnsi="Times New Roman" w:cs="Times New Roman"/>
                <w:bCs/>
                <w:iCs/>
                <w:lang w:eastAsia="en-US"/>
              </w:rPr>
            </w:pPr>
            <w:r>
              <w:rPr>
                <w:rFonts w:ascii="Times New Roman" w:hAnsi="Times New Roman" w:cs="Times New Roman"/>
                <w:b/>
              </w:rPr>
              <w:lastRenderedPageBreak/>
              <w:t>Pašalinimo pagrindų nebuvimą įrodantys dokumentai</w:t>
            </w: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7826EE" w:rsidRDefault="007826EE">
            <w:pPr>
              <w:widowControl w:val="0"/>
              <w:spacing w:after="0" w:line="240" w:lineRule="auto"/>
              <w:jc w:val="both"/>
              <w:rPr>
                <w:rFonts w:ascii="Times New Roman" w:hAnsi="Times New Roman" w:cs="Times New Roman"/>
                <w:b/>
                <w:bCs/>
                <w:sz w:val="22"/>
                <w:szCs w:val="22"/>
                <w:lang w:eastAsia="en-US"/>
              </w:rPr>
            </w:pPr>
          </w:p>
          <w:p w:rsidR="007826EE" w:rsidRDefault="00D276BF">
            <w:pPr>
              <w:widowControl w:val="0"/>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rsidR="007826EE" w:rsidRDefault="00D276BF">
            <w:pPr>
              <w:widowControl w:val="0"/>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826EE" w:rsidRDefault="00D276BF">
            <w:pPr>
              <w:widowControl w:val="0"/>
              <w:spacing w:after="0" w:line="240" w:lineRule="auto"/>
              <w:jc w:val="both"/>
              <w:rPr>
                <w:rFonts w:ascii="Times New Roman" w:hAnsi="Times New Roman" w:cs="Times New Roman"/>
                <w:b/>
                <w:bCs/>
                <w:lang w:eastAsia="en-US"/>
              </w:rPr>
            </w:pPr>
            <w:r>
              <w:rPr>
                <w:rFonts w:ascii="Times New Roman" w:hAnsi="Times New Roman" w:cs="Times New Roman"/>
                <w:bCs/>
                <w:sz w:val="22"/>
                <w:szCs w:val="22"/>
                <w:lang w:eastAsia="en-US"/>
              </w:rPr>
              <w:t xml:space="preserve">3)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lastRenderedPageBreak/>
              <w:t>VPĮ 46 straipsnio 1 dalis</w:t>
            </w:r>
          </w:p>
          <w:p w:rsidR="007826EE" w:rsidRDefault="007826EE">
            <w:pPr>
              <w:widowControl w:val="0"/>
              <w:spacing w:after="0" w:line="240" w:lineRule="auto"/>
              <w:jc w:val="both"/>
              <w:rPr>
                <w:rFonts w:ascii="Times New Roman" w:eastAsia="Yu Mincho" w:hAnsi="Times New Roman" w:cs="Times New Roman"/>
                <w:lang w:eastAsia="en-US"/>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A1-A6 punktai</w:t>
            </w:r>
          </w:p>
          <w:p w:rsidR="007826EE" w:rsidRDefault="007826EE">
            <w:pPr>
              <w:widowControl w:val="0"/>
              <w:spacing w:after="0" w:line="240" w:lineRule="auto"/>
              <w:jc w:val="both"/>
              <w:rPr>
                <w:rFonts w:ascii="Times New Roman" w:eastAsia="Yu Mincho" w:hAnsi="Times New Roman" w:cs="Times New Roman"/>
                <w:lang w:eastAsia="en-US"/>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D1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pStyle w:val="NoSpacing"/>
              <w:widowControl w:val="0"/>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rsidR="007826EE" w:rsidRDefault="00D276BF">
            <w:pPr>
              <w:pStyle w:val="NoSpacing"/>
              <w:widowControl w:val="0"/>
              <w:numPr>
                <w:ilvl w:val="0"/>
                <w:numId w:val="15"/>
              </w:numPr>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rsidR="007826EE" w:rsidRDefault="00D276BF">
            <w:pPr>
              <w:pStyle w:val="NoSpacing"/>
              <w:widowControl w:val="0"/>
              <w:numPr>
                <w:ilvl w:val="0"/>
                <w:numId w:val="15"/>
              </w:numPr>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rsidR="007826EE" w:rsidRDefault="00D276BF">
            <w:pPr>
              <w:pStyle w:val="NoSpacing"/>
              <w:widowControl w:val="0"/>
              <w:numPr>
                <w:ilvl w:val="0"/>
                <w:numId w:val="15"/>
              </w:numPr>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7826EE" w:rsidRDefault="007826EE">
            <w:pPr>
              <w:pStyle w:val="NoSpacing"/>
              <w:widowControl w:val="0"/>
              <w:jc w:val="both"/>
              <w:rPr>
                <w:rFonts w:ascii="Times New Roman" w:hAnsi="Times New Roman" w:cs="Times New Roman"/>
                <w:sz w:val="22"/>
                <w:szCs w:val="22"/>
                <w:lang w:eastAsia="en-US"/>
              </w:rPr>
            </w:pPr>
          </w:p>
          <w:p w:rsidR="007826EE" w:rsidRDefault="00D276BF">
            <w:pPr>
              <w:pStyle w:val="NoSpacing"/>
              <w:widowControl w:val="0"/>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rsidR="007826EE" w:rsidRDefault="00D276BF">
            <w:pPr>
              <w:pStyle w:val="NoSpacing"/>
              <w:widowControl w:val="0"/>
              <w:numPr>
                <w:ilvl w:val="0"/>
                <w:numId w:val="15"/>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Style w:val="Inaosprieraias"/>
                <w:rFonts w:ascii="Times New Roman" w:hAnsi="Times New Roman" w:cs="Times New Roman"/>
                <w:sz w:val="22"/>
                <w:szCs w:val="22"/>
              </w:rPr>
              <w:footnoteReference w:id="2"/>
            </w:r>
            <w:r>
              <w:rPr>
                <w:rFonts w:ascii="Times New Roman" w:hAnsi="Times New Roman" w:cs="Times New Roman"/>
                <w:sz w:val="22"/>
                <w:szCs w:val="22"/>
              </w:rPr>
              <w:t>.</w:t>
            </w:r>
          </w:p>
          <w:p w:rsidR="007826EE" w:rsidRDefault="007826EE">
            <w:pPr>
              <w:pStyle w:val="NoSpacing"/>
              <w:widowControl w:val="0"/>
              <w:jc w:val="both"/>
              <w:rPr>
                <w:rFonts w:ascii="Times New Roman" w:hAnsi="Times New Roman" w:cs="Times New Roman"/>
                <w:sz w:val="22"/>
                <w:szCs w:val="22"/>
              </w:rPr>
            </w:pPr>
          </w:p>
          <w:p w:rsidR="007826EE" w:rsidRDefault="00D276BF">
            <w:pPr>
              <w:pStyle w:val="NoSpacing"/>
              <w:widowControl w:val="0"/>
              <w:jc w:val="both"/>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7826EE" w:rsidRDefault="007826EE">
            <w:pPr>
              <w:pStyle w:val="NoSpacing"/>
              <w:widowControl w:val="0"/>
              <w:jc w:val="both"/>
              <w:rPr>
                <w:rFonts w:ascii="Times New Roman" w:hAnsi="Times New Roman" w:cs="Times New Roman"/>
                <w:b/>
                <w:bCs/>
                <w:sz w:val="22"/>
                <w:szCs w:val="22"/>
              </w:rPr>
            </w:pPr>
          </w:p>
          <w:p w:rsidR="007826EE" w:rsidRDefault="00D276BF">
            <w:pPr>
              <w:pStyle w:val="NoSpacing"/>
              <w:widowControl w:val="0"/>
              <w:jc w:val="both"/>
              <w:rPr>
                <w:rFonts w:ascii="Times New Roman" w:hAnsi="Times New Roman" w:cs="Times New Roman"/>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826EE" w:rsidRDefault="007826EE">
            <w:pPr>
              <w:pStyle w:val="NoSpacing"/>
              <w:widowControl w:val="0"/>
              <w:jc w:val="both"/>
              <w:rPr>
                <w:rFonts w:ascii="Times New Roman" w:hAnsi="Times New Roman" w:cs="Times New Roman"/>
                <w:bCs/>
                <w:sz w:val="22"/>
                <w:szCs w:val="22"/>
              </w:rPr>
            </w:pPr>
          </w:p>
          <w:p w:rsidR="007826EE" w:rsidRDefault="007826EE">
            <w:pPr>
              <w:pStyle w:val="NoSpacing"/>
              <w:widowControl w:val="0"/>
              <w:jc w:val="both"/>
              <w:rPr>
                <w:rFonts w:ascii="Times New Roman" w:hAnsi="Times New Roman" w:cs="Times New Roman"/>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Tiekėjas yra neatlikęs jam paskirtos baudžiamojo poveikio priemonės – uždraudimo juridiniam asmeniui dalyvauti viešuosiuose pirkimuose.</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2¹ dalis</w:t>
            </w:r>
          </w:p>
          <w:p w:rsidR="007826EE" w:rsidRDefault="007826EE">
            <w:pPr>
              <w:widowControl w:val="0"/>
              <w:spacing w:after="0" w:line="240" w:lineRule="auto"/>
              <w:jc w:val="both"/>
              <w:rPr>
                <w:rFonts w:ascii="Times New Roman" w:eastAsia="Yu Mincho" w:hAnsi="Times New Roman" w:cs="Times New Roman"/>
                <w:b/>
                <w:bCs/>
              </w:rPr>
            </w:pPr>
          </w:p>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lang w:eastAsia="en-US"/>
              </w:rPr>
              <w:t>EBVPD III dalies D2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sz w:val="22"/>
                <w:szCs w:val="22"/>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pStyle w:val="NoSpacing"/>
              <w:widowControl w:val="0"/>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826EE" w:rsidRDefault="007826EE">
            <w:pPr>
              <w:pStyle w:val="NoSpacing"/>
              <w:widowControl w:val="0"/>
              <w:jc w:val="both"/>
              <w:rPr>
                <w:rFonts w:ascii="Times New Roman" w:hAnsi="Times New Roman" w:cs="Times New Roman"/>
                <w:b/>
                <w:bCs/>
                <w:sz w:val="22"/>
                <w:szCs w:val="22"/>
                <w:lang w:eastAsia="en-US"/>
              </w:rPr>
            </w:pPr>
          </w:p>
          <w:p w:rsidR="007826EE" w:rsidRDefault="00D276BF">
            <w:pPr>
              <w:pStyle w:val="NoSpacing"/>
              <w:widowControl w:val="0"/>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rsidR="007826EE" w:rsidRDefault="00D276BF">
            <w:pPr>
              <w:pStyle w:val="NoSpacing"/>
              <w:widowControl w:val="0"/>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7826EE" w:rsidRDefault="00D276BF">
            <w:pPr>
              <w:pStyle w:val="NoSpacing"/>
              <w:widowControl w:val="0"/>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w:t>
            </w:r>
            <w:r>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rsidR="007826EE" w:rsidRDefault="00D276BF">
            <w:pPr>
              <w:pStyle w:val="NoSpacing"/>
              <w:widowControl w:val="0"/>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rsidR="007826EE" w:rsidRDefault="00D276BF">
            <w:pPr>
              <w:pStyle w:val="NoSpacing"/>
              <w:widowControl w:val="0"/>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7826EE" w:rsidRDefault="00D276BF">
            <w:pPr>
              <w:pStyle w:val="NoSpacing"/>
              <w:widowControl w:val="0"/>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rsidR="007826EE" w:rsidRDefault="007826EE">
            <w:pPr>
              <w:widowControl w:val="0"/>
              <w:spacing w:after="0" w:line="240" w:lineRule="auto"/>
              <w:jc w:val="both"/>
              <w:rPr>
                <w:rFonts w:ascii="Times New Roman" w:hAnsi="Times New Roman" w:cs="Times New Roman"/>
                <w:b/>
                <w:bCs/>
                <w:lang w:eastAsia="en-US"/>
              </w:rPr>
            </w:pP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3 dalis</w:t>
            </w:r>
          </w:p>
          <w:p w:rsidR="007826EE" w:rsidRDefault="007826EE">
            <w:pPr>
              <w:widowControl w:val="0"/>
              <w:spacing w:after="0" w:line="240" w:lineRule="auto"/>
              <w:jc w:val="both"/>
              <w:rPr>
                <w:rFonts w:ascii="Times New Roman" w:eastAsia="Arial" w:hAnsi="Times New Roman" w:cs="Times New Roman"/>
              </w:rPr>
            </w:pPr>
          </w:p>
          <w:p w:rsidR="007826EE" w:rsidRDefault="00D276BF">
            <w:pPr>
              <w:widowControl w:val="0"/>
              <w:spacing w:after="0" w:line="240" w:lineRule="auto"/>
              <w:jc w:val="both"/>
              <w:rPr>
                <w:rFonts w:ascii="Times New Roman" w:eastAsia="Yu Mincho" w:hAnsi="Times New Roman" w:cs="Times New Roman"/>
              </w:rPr>
            </w:pPr>
            <w:r>
              <w:rPr>
                <w:rFonts w:ascii="Times New Roman" w:eastAsia="Arial" w:hAnsi="Times New Roman" w:cs="Times New Roman"/>
              </w:rPr>
              <w:t>EBVPD III dalies B1 ir B2 punktai</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rsidR="007826EE" w:rsidRDefault="00D276BF">
            <w:pPr>
              <w:widowControl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1) Dėl įsipareigojimų, susijusių su mokesčių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numPr>
                <w:ilvl w:val="0"/>
                <w:numId w:val="18"/>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išrašo iš teismo sprendimo (jei toks yra) </w:t>
            </w:r>
          </w:p>
          <w:p w:rsidR="007826EE" w:rsidRDefault="00D276BF">
            <w:pPr>
              <w:widowControl w:val="0"/>
              <w:numPr>
                <w:ilvl w:val="0"/>
                <w:numId w:val="18"/>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arba Valstybinės mokesčių inspekcijos prie Lietuvos Respublikos finansų ministerijos išduoto dokumento,</w:t>
            </w:r>
          </w:p>
          <w:p w:rsidR="007826EE" w:rsidRDefault="00D276BF">
            <w:pPr>
              <w:widowControl w:val="0"/>
              <w:numPr>
                <w:ilvl w:val="0"/>
                <w:numId w:val="17"/>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7826EE" w:rsidRDefault="007826EE">
            <w:pPr>
              <w:widowControl w:val="0"/>
              <w:spacing w:after="0" w:line="240" w:lineRule="auto"/>
              <w:jc w:val="both"/>
              <w:rPr>
                <w:rFonts w:ascii="Times New Roman" w:hAnsi="Times New Roman" w:cs="Times New Roman"/>
                <w:sz w:val="22"/>
                <w:szCs w:val="22"/>
              </w:rPr>
            </w:pPr>
          </w:p>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rsidR="007826EE" w:rsidRDefault="00D276BF">
            <w:pPr>
              <w:widowControl w:val="0"/>
              <w:numPr>
                <w:ilvl w:val="0"/>
                <w:numId w:val="15"/>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Style w:val="Inaosprieraias"/>
                <w:rFonts w:ascii="Times New Roman" w:hAnsi="Times New Roman" w:cs="Times New Roman"/>
                <w:sz w:val="22"/>
                <w:szCs w:val="22"/>
              </w:rPr>
              <w:footnoteReference w:id="3"/>
            </w:r>
            <w:r>
              <w:rPr>
                <w:rFonts w:ascii="Times New Roman" w:hAnsi="Times New Roman" w:cs="Times New Roman"/>
                <w:sz w:val="22"/>
                <w:szCs w:val="22"/>
              </w:rPr>
              <w:t>.</w:t>
            </w:r>
          </w:p>
          <w:p w:rsidR="007826EE" w:rsidRDefault="007826EE">
            <w:pPr>
              <w:widowControl w:val="0"/>
              <w:spacing w:after="0" w:line="240" w:lineRule="auto"/>
              <w:jc w:val="both"/>
              <w:rPr>
                <w:rFonts w:ascii="Times New Roman" w:eastAsia="Yu Mincho" w:hAnsi="Times New Roman" w:cs="Times New Roman"/>
                <w:sz w:val="22"/>
                <w:szCs w:val="22"/>
              </w:rPr>
            </w:pPr>
          </w:p>
          <w:p w:rsidR="007826EE" w:rsidRDefault="00D276BF">
            <w:pPr>
              <w:widowControl w:val="0"/>
              <w:spacing w:after="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7826EE" w:rsidRDefault="007826EE">
            <w:pPr>
              <w:widowControl w:val="0"/>
              <w:spacing w:after="0" w:line="240" w:lineRule="auto"/>
              <w:jc w:val="both"/>
              <w:rPr>
                <w:rFonts w:ascii="Times New Roman" w:hAnsi="Times New Roman" w:cs="Times New Roman"/>
                <w:i/>
                <w:iCs/>
                <w:sz w:val="22"/>
                <w:szCs w:val="22"/>
              </w:rPr>
            </w:pPr>
          </w:p>
          <w:p w:rsidR="007826EE" w:rsidRDefault="00D276BF">
            <w:pPr>
              <w:widowControl w:val="0"/>
              <w:spacing w:after="0" w:line="240" w:lineRule="auto"/>
              <w:jc w:val="both"/>
              <w:rPr>
                <w:rFonts w:ascii="Times New Roman" w:hAnsi="Times New Roman" w:cs="Times New Roman"/>
                <w:b/>
                <w:bCs/>
                <w:sz w:val="22"/>
                <w:szCs w:val="22"/>
              </w:rPr>
            </w:pPr>
            <w:r>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Pr>
                <w:rFonts w:ascii="Times New Roman" w:hAnsi="Times New Roman" w:cs="Times New Roman"/>
                <w:bCs/>
                <w:sz w:val="22"/>
                <w:szCs w:val="22"/>
              </w:rPr>
              <w:lastRenderedPageBreak/>
              <w:t>dokumentas jo galiojimo laikotarpiu yra priimtinas.</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spacing w:after="0" w:line="240" w:lineRule="auto"/>
              <w:jc w:val="both"/>
              <w:rPr>
                <w:rFonts w:ascii="Times New Roman" w:hAnsi="Times New Roman" w:cs="Times New Roman"/>
                <w:b/>
                <w:bCs/>
                <w:sz w:val="22"/>
                <w:szCs w:val="22"/>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rsidR="007826EE" w:rsidRDefault="00D276BF">
            <w:pPr>
              <w:widowControl w:val="0"/>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Pr>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rsidR="007826EE" w:rsidRDefault="00D276BF">
            <w:pPr>
              <w:widowControl w:val="0"/>
              <w:numPr>
                <w:ilvl w:val="0"/>
                <w:numId w:val="15"/>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kompetentingos institucijos dokumento</w:t>
            </w:r>
            <w:r>
              <w:rPr>
                <w:rStyle w:val="Inaosprieraias"/>
                <w:rFonts w:ascii="Times New Roman" w:hAnsi="Times New Roman" w:cs="Times New Roman"/>
                <w:sz w:val="22"/>
                <w:szCs w:val="22"/>
              </w:rPr>
              <w:footnoteReference w:id="4"/>
            </w:r>
            <w:r>
              <w:rPr>
                <w:rFonts w:ascii="Times New Roman" w:hAnsi="Times New Roman" w:cs="Times New Roman"/>
                <w:sz w:val="22"/>
                <w:szCs w:val="22"/>
              </w:rPr>
              <w:t>.</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spacing w:after="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lastRenderedPageBreak/>
              <w:t>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7826EE" w:rsidRDefault="007826EE">
            <w:pPr>
              <w:widowControl w:val="0"/>
              <w:spacing w:after="0" w:line="240" w:lineRule="auto"/>
              <w:jc w:val="both"/>
              <w:rPr>
                <w:rFonts w:ascii="Times New Roman" w:hAnsi="Times New Roman" w:cs="Times New Roman"/>
                <w:b/>
                <w:bCs/>
                <w:sz w:val="22"/>
                <w:szCs w:val="22"/>
              </w:rPr>
            </w:pPr>
          </w:p>
          <w:p w:rsidR="007826EE" w:rsidRDefault="00D276BF">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t>VPĮ 46 straipsnio 4 dalies 1 punktas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rPr>
              <w:t>EBVPD III dalies C10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Cs/>
                <w:iCs/>
                <w:lang w:eastAsia="en-US"/>
              </w:rPr>
            </w:pPr>
          </w:p>
          <w:p w:rsidR="007826EE" w:rsidRDefault="007826EE">
            <w:pPr>
              <w:widowControl w:val="0"/>
              <w:spacing w:after="0" w:line="240" w:lineRule="auto"/>
              <w:jc w:val="both"/>
              <w:rPr>
                <w:rFonts w:ascii="Times New Roman" w:hAnsi="Times New Roman" w:cs="Times New Roman"/>
                <w:b/>
                <w:bCs/>
                <w:iCs/>
                <w:lang w:eastAsia="en-US"/>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 xml:space="preserve">Tiekėjas pirkimo metu pateko į interesų konflikto situaciją, kaip apibrėžta VPĮ 21 straipsnyje, ir atitinkamos padėties negalima ištaisyti. </w:t>
            </w:r>
          </w:p>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t>VPĮ 46 straipsnio 4 dalies 2 punktas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rPr>
            </w:pPr>
            <w:r>
              <w:rPr>
                <w:rFonts w:ascii="Times New Roman" w:eastAsia="Yu Mincho" w:hAnsi="Times New Roman" w:cs="Times New Roman"/>
              </w:rPr>
              <w:t>EBVPD III dalies C12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Cs/>
                <w:iCs/>
                <w:lang w:eastAsia="en-US"/>
              </w:rPr>
            </w:pPr>
          </w:p>
          <w:p w:rsidR="007826EE" w:rsidRDefault="007826EE">
            <w:pPr>
              <w:widowControl w:val="0"/>
              <w:spacing w:after="0" w:line="240" w:lineRule="auto"/>
              <w:jc w:val="both"/>
              <w:rPr>
                <w:rFonts w:ascii="Times New Roman" w:hAnsi="Times New Roman" w:cs="Times New Roman"/>
                <w:b/>
                <w:bCs/>
                <w:iCs/>
                <w:lang w:eastAsia="en-US"/>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Pažeista konkurencija, kaip nustatyta VPĮ 27 straipsnio 3 ir 4 dalyse, ir atitinkamos padėties negalima ištaisyti.</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t>VPĮ 46 straipsnio 4 dalies 3 punktas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rPr>
              <w:t>EBVPD III dalies C13 punktas</w:t>
            </w:r>
            <w:r>
              <w:rPr>
                <w:rFonts w:ascii="Times New Roman" w:eastAsia="Yu Mincho" w:hAnsi="Times New Roman" w:cs="Times New Roman"/>
                <w:lang w:eastAsia="en-US"/>
              </w:rPr>
              <w:t xml:space="preserve"> </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
                <w:bCs/>
                <w:iCs/>
                <w:lang w:eastAsia="en-US"/>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Pr>
                <w:rFonts w:ascii="Times New Roman" w:hAnsi="Times New Roman" w:cs="Times New Roman"/>
              </w:rPr>
              <w:lastRenderedPageBreak/>
              <w:t xml:space="preserve">patvirtinančių dokumentų, reikalaujamų pagal VPĮ 50 straipsnį. </w:t>
            </w:r>
          </w:p>
          <w:p w:rsidR="007826EE" w:rsidRDefault="00D276BF">
            <w:pPr>
              <w:widowControl w:val="0"/>
              <w:spacing w:after="0" w:line="240" w:lineRule="auto"/>
              <w:jc w:val="both"/>
              <w:rPr>
                <w:rFonts w:ascii="Times New Roman" w:hAnsi="Times New Roman" w:cs="Times New Roman"/>
                <w:bCs/>
              </w:rPr>
            </w:pPr>
            <w:r>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826EE" w:rsidRDefault="00D276BF">
            <w:pPr>
              <w:widowControl w:val="0"/>
              <w:spacing w:after="0" w:line="240" w:lineRule="auto"/>
              <w:jc w:val="both"/>
              <w:rPr>
                <w:rFonts w:ascii="Times New Roman" w:hAnsi="Times New Roman" w:cs="Times New Roman"/>
                <w:bCs/>
              </w:rPr>
            </w:pPr>
            <w:r>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4 dalies 4 punktas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rPr>
              <w:t>EBVPD III dalies C15 punktas</w:t>
            </w:r>
            <w:r>
              <w:rPr>
                <w:rFonts w:ascii="Times New Roman" w:eastAsia="Yu Mincho" w:hAnsi="Times New Roman" w:cs="Times New Roman"/>
                <w:lang w:eastAsia="en-US"/>
              </w:rPr>
              <w:t xml:space="preserve"> </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Cs/>
                <w:iCs/>
                <w:lang w:eastAsia="en-US"/>
              </w:rPr>
            </w:pPr>
          </w:p>
          <w:p w:rsidR="007826EE" w:rsidRDefault="007826EE">
            <w:pPr>
              <w:widowControl w:val="0"/>
              <w:spacing w:after="0" w:line="240" w:lineRule="auto"/>
              <w:jc w:val="both"/>
              <w:rPr>
                <w:rFonts w:ascii="Times New Roman" w:hAnsi="Times New Roman" w:cs="Times New Roman"/>
                <w:bCs/>
                <w:iCs/>
                <w:lang w:eastAsia="en-US"/>
              </w:rPr>
            </w:pPr>
          </w:p>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rsidR="007826EE" w:rsidRDefault="005750A2">
            <w:pPr>
              <w:widowControl w:val="0"/>
              <w:spacing w:after="0" w:line="240" w:lineRule="auto"/>
              <w:jc w:val="both"/>
              <w:rPr>
                <w:rFonts w:ascii="Times New Roman" w:hAnsi="Times New Roman" w:cs="Times New Roman"/>
              </w:rPr>
            </w:pPr>
            <w:hyperlink r:id="rId20">
              <w:r w:rsidR="00D276BF">
                <w:rPr>
                  <w:rFonts w:ascii="Times New Roman" w:hAnsi="Times New Roman" w:cs="Times New Roman"/>
                </w:rPr>
                <w:t>https://vpt.lrv.lt/lt/nuorodos/kiti-</w:t>
              </w:r>
              <w:r w:rsidR="00D276BF">
                <w:rPr>
                  <w:rFonts w:ascii="Times New Roman" w:hAnsi="Times New Roman" w:cs="Times New Roman"/>
                </w:rPr>
                <w:lastRenderedPageBreak/>
                <w:t>duomenys/powerbi/melaginga-informacija-pateikusiu-tiekeju-sarasas-3/</w:t>
              </w:r>
            </w:hyperlink>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Pr>
                <w:rFonts w:ascii="Times New Roman" w:hAnsi="Times New Roman" w:cs="Times New Roman"/>
              </w:rPr>
              <w:lastRenderedPageBreak/>
              <w:t>kvalifikacijos vertinimo, laimėtojo nustatymo, ir perkančioji organizacija gali tai įrodyti bet kokiomis teisėtomis priemonėmis.</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4 dalies 5 punktas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rPr>
            </w:pPr>
            <w:r>
              <w:rPr>
                <w:rFonts w:ascii="Times New Roman" w:eastAsia="Yu Mincho" w:hAnsi="Times New Roman" w:cs="Times New Roman"/>
              </w:rPr>
              <w:t>EBVPD</w:t>
            </w:r>
            <w:r>
              <w:rPr>
                <w:rFonts w:ascii="Times New Roman" w:eastAsia="Arial" w:hAnsi="Times New Roman" w:cs="Times New Roman"/>
              </w:rPr>
              <w:t xml:space="preserve"> III dalies C15 punktas</w:t>
            </w:r>
          </w:p>
          <w:p w:rsidR="007826EE" w:rsidRDefault="007826EE">
            <w:pPr>
              <w:widowControl w:val="0"/>
              <w:spacing w:after="0" w:line="240" w:lineRule="auto"/>
              <w:jc w:val="both"/>
              <w:rPr>
                <w:rFonts w:ascii="Times New Roman" w:eastAsia="Yu Mincho" w:hAnsi="Times New Roman" w:cs="Times New Roman"/>
                <w:lang w:eastAsia="en-US"/>
              </w:rPr>
            </w:pPr>
          </w:p>
          <w:p w:rsidR="007826EE" w:rsidRDefault="007826EE">
            <w:pPr>
              <w:widowControl w:val="0"/>
              <w:spacing w:after="0" w:line="240" w:lineRule="auto"/>
              <w:jc w:val="both"/>
              <w:rPr>
                <w:rFonts w:ascii="Times New Roman" w:eastAsia="Yu Mincho" w:hAnsi="Times New Roman" w:cs="Times New Roman"/>
                <w:lang w:eastAsia="en-US"/>
              </w:rPr>
            </w:pP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
                <w:bCs/>
                <w:iCs/>
                <w:lang w:eastAsia="en-US"/>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b/>
                <w:bCs/>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Pr>
                <w:rFonts w:ascii="Times New Roman" w:hAnsi="Times New Roman" w:cs="Times New Roman"/>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4 dalies 6 punktas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rPr>
            </w:pPr>
            <w:r>
              <w:rPr>
                <w:rFonts w:ascii="Times New Roman" w:eastAsia="Yu Mincho" w:hAnsi="Times New Roman" w:cs="Times New Roman"/>
              </w:rPr>
              <w:t>EBVPD</w:t>
            </w:r>
            <w:r>
              <w:rPr>
                <w:rFonts w:ascii="Times New Roman" w:eastAsia="Arial" w:hAnsi="Times New Roman" w:cs="Times New Roman"/>
              </w:rPr>
              <w:t xml:space="preserve"> III dalies C14 punktas</w:t>
            </w:r>
          </w:p>
          <w:p w:rsidR="007826EE" w:rsidRDefault="007826EE">
            <w:pPr>
              <w:widowControl w:val="0"/>
              <w:spacing w:after="0" w:line="240" w:lineRule="auto"/>
              <w:jc w:val="both"/>
              <w:rPr>
                <w:rFonts w:ascii="Times New Roman" w:eastAsia="Yu Mincho" w:hAnsi="Times New Roman" w:cs="Times New Roman"/>
                <w:lang w:eastAsia="en-US"/>
              </w:rPr>
            </w:pPr>
          </w:p>
          <w:p w:rsidR="007826EE" w:rsidRDefault="007826EE">
            <w:pPr>
              <w:widowControl w:val="0"/>
              <w:spacing w:after="0" w:line="240" w:lineRule="auto"/>
              <w:jc w:val="both"/>
              <w:rPr>
                <w:rFonts w:ascii="Times New Roman" w:eastAsia="Yu Mincho" w:hAnsi="Times New Roman" w:cs="Times New Roman"/>
                <w:lang w:eastAsia="en-US"/>
              </w:rPr>
            </w:pP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Cs/>
                <w:iCs/>
                <w:lang w:eastAsia="en-US"/>
              </w:rPr>
            </w:pPr>
          </w:p>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rsidR="007826EE" w:rsidRDefault="007826EE">
            <w:pPr>
              <w:widowControl w:val="0"/>
              <w:spacing w:after="0" w:line="240" w:lineRule="auto"/>
              <w:jc w:val="both"/>
              <w:rPr>
                <w:rFonts w:ascii="Times New Roman" w:hAnsi="Times New Roman" w:cs="Times New Roman"/>
              </w:rPr>
            </w:pPr>
          </w:p>
          <w:p w:rsidR="007826EE" w:rsidRDefault="005750A2">
            <w:pPr>
              <w:widowControl w:val="0"/>
              <w:spacing w:after="0" w:line="240" w:lineRule="auto"/>
              <w:jc w:val="both"/>
              <w:rPr>
                <w:rFonts w:ascii="Times New Roman" w:hAnsi="Times New Roman" w:cs="Times New Roman"/>
              </w:rPr>
            </w:pPr>
            <w:hyperlink r:id="rId21">
              <w:r w:rsidR="00D276BF">
                <w:rPr>
                  <w:rFonts w:ascii="Times New Roman" w:hAnsi="Times New Roman" w:cs="Times New Roman"/>
                </w:rPr>
                <w:t>https://vpt.lrv.lt/lt/nuorodos/kiti-duomenys/powerbi/nepatikimi-tiekejai-1/</w:t>
              </w:r>
            </w:hyperlink>
          </w:p>
          <w:p w:rsidR="007826EE" w:rsidRDefault="007826EE">
            <w:pPr>
              <w:widowControl w:val="0"/>
              <w:spacing w:after="0" w:line="240" w:lineRule="auto"/>
              <w:jc w:val="both"/>
              <w:rPr>
                <w:rFonts w:ascii="Times New Roman" w:hAnsi="Times New Roman" w:cs="Times New Roman"/>
              </w:rPr>
            </w:pPr>
          </w:p>
          <w:p w:rsidR="007826EE" w:rsidRDefault="005750A2">
            <w:pPr>
              <w:widowControl w:val="0"/>
              <w:spacing w:after="0" w:line="240" w:lineRule="auto"/>
              <w:jc w:val="both"/>
              <w:rPr>
                <w:rFonts w:ascii="Times New Roman" w:hAnsi="Times New Roman" w:cs="Times New Roman"/>
              </w:rPr>
            </w:pPr>
            <w:hyperlink r:id="rId22">
              <w:r w:rsidR="00D276BF">
                <w:rPr>
                  <w:rFonts w:ascii="Times New Roman" w:hAnsi="Times New Roman" w:cs="Times New Roman"/>
                </w:rPr>
                <w:t>https://vpt.lrv.lt/lt/pasalinimo-pagrindai-1/nepatikimu-koncesininku-sarasas-1/nepatikimu-koncesininku-sarasas/</w:t>
              </w:r>
            </w:hyperlink>
          </w:p>
          <w:p w:rsidR="007826EE" w:rsidRDefault="007826EE">
            <w:pPr>
              <w:widowControl w:val="0"/>
              <w:spacing w:after="0" w:line="240" w:lineRule="auto"/>
              <w:jc w:val="both"/>
              <w:rPr>
                <w:rFonts w:ascii="Times New Roman" w:hAnsi="Times New Roman" w:cs="Times New Roman"/>
                <w:bCs/>
              </w:rPr>
            </w:pPr>
          </w:p>
          <w:p w:rsidR="007826EE" w:rsidRDefault="007826EE">
            <w:pPr>
              <w:widowControl w:val="0"/>
              <w:spacing w:after="0" w:line="240" w:lineRule="auto"/>
              <w:jc w:val="both"/>
              <w:rPr>
                <w:rFonts w:ascii="Times New Roman" w:hAnsi="Times New Roman" w:cs="Times New Roman"/>
                <w:b/>
                <w:bCs/>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rPr>
            </w:pPr>
          </w:p>
          <w:p w:rsidR="007826EE" w:rsidRDefault="007826EE">
            <w:pPr>
              <w:widowControl w:val="0"/>
              <w:spacing w:after="0" w:line="240" w:lineRule="auto"/>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rPr>
              <w:t xml:space="preserve"> yra padaręs finansinės atskaitomybės ir audito teisės aktų pažeidimą ir nuo jo padarymo dienos praėjo mažiau kaip vieni metai.</w:t>
            </w:r>
          </w:p>
          <w:p w:rsidR="007826EE" w:rsidRDefault="007826EE">
            <w:pPr>
              <w:widowControl w:val="0"/>
              <w:spacing w:after="0" w:line="240" w:lineRule="auto"/>
              <w:jc w:val="both"/>
              <w:rPr>
                <w:rFonts w:ascii="Times New Roman" w:hAnsi="Times New Roman" w:cs="Times New Roman"/>
                <w:b/>
              </w:rPr>
            </w:pP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t>VPĮ 46 straipsnio 4 dalies 7 punkto a papunktis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rPr>
            </w:pPr>
            <w:r>
              <w:rPr>
                <w:rFonts w:ascii="Times New Roman" w:eastAsia="Yu Mincho" w:hAnsi="Times New Roman" w:cs="Times New Roman"/>
              </w:rPr>
              <w:t>EBVPD III dalies C11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lang w:eastAsia="en-US"/>
              </w:rPr>
              <w:t xml:space="preserve">Iš Lietuvoje įsteigtų subjektų įrodančių dokumentų nereikalaujama. Užtenka pateikto EBVPD. </w:t>
            </w:r>
            <w:r>
              <w:rPr>
                <w:rFonts w:ascii="Times New Roman" w:hAnsi="Times New Roman" w:cs="Times New Roman"/>
              </w:rPr>
              <w:t>Priimant sprendimus dėl tiekėjo pašalinimo iš pirkimo procedūros šiame punkte nurodytu pašalinimo pagrindu, be kita ko, atsižvelgiama į</w:t>
            </w:r>
            <w:r>
              <w:rPr>
                <w:rFonts w:ascii="Times New Roman" w:hAnsi="Times New Roman" w:cs="Times New Roman"/>
                <w:b/>
                <w:bCs/>
              </w:rPr>
              <w:t xml:space="preserve"> </w:t>
            </w:r>
            <w:r>
              <w:rPr>
                <w:rFonts w:ascii="Times New Roman" w:hAnsi="Times New Roman" w:cs="Times New Roman"/>
              </w:rPr>
              <w:t xml:space="preserve">nacionalinėje duomenų bazėje adresu: </w:t>
            </w:r>
            <w:hyperlink r:id="rId23">
              <w:r>
                <w:rPr>
                  <w:rFonts w:ascii="Times New Roman" w:hAnsi="Times New Roman" w:cs="Times New Roman"/>
                  <w:u w:val="single"/>
                </w:rPr>
                <w:t>https://www.registrucentras.lt/jar/p/index.php</w:t>
              </w:r>
            </w:hyperlink>
          </w:p>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rPr>
              <w:t>paskelbtą informaciją, taip pat į šiame informaciniame pranešime pateiktą informaciją:</w:t>
            </w:r>
          </w:p>
          <w:p w:rsidR="007826EE" w:rsidRDefault="005750A2">
            <w:pPr>
              <w:widowControl w:val="0"/>
              <w:spacing w:after="0" w:line="240" w:lineRule="auto"/>
              <w:jc w:val="both"/>
              <w:rPr>
                <w:rFonts w:ascii="Times New Roman" w:hAnsi="Times New Roman" w:cs="Times New Roman"/>
              </w:rPr>
            </w:pPr>
            <w:hyperlink r:id="rId24">
              <w:r w:rsidR="00D276BF">
                <w:rPr>
                  <w:rFonts w:ascii="Times New Roman" w:hAnsi="Times New Roman" w:cs="Times New Roman"/>
                </w:rPr>
                <w:t>https://vpt.lrv.lt/lt/naujienos-3/finansiniu-ataskaitu-nepateikimas-gali-tapti-kliutimi-dalyvauti-viesuosiuose-pirkimuose/</w:t>
              </w:r>
            </w:hyperlink>
          </w:p>
          <w:p w:rsidR="007826EE" w:rsidRDefault="007826EE">
            <w:pPr>
              <w:widowControl w:val="0"/>
              <w:spacing w:after="0" w:line="240" w:lineRule="auto"/>
              <w:jc w:val="both"/>
              <w:rPr>
                <w:rFonts w:ascii="Times New Roman" w:hAnsi="Times New Roman" w:cs="Times New Roman"/>
                <w:b/>
                <w:bCs/>
                <w:iCs/>
              </w:rPr>
            </w:pP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 xml:space="preserve">Tiekėjas yra padaręs rimtą profesinį pažeidimą, dėl kurio perkančioji organizacija abejoja tiekėjo sąžiningumu, </w:t>
            </w:r>
            <w:r>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straipsnio 1 dalyje.</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t>VPĮ 46 straipsnio 4 dalies 7 punkto b papunktis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rPr>
              <w:t>EBVPD III dalies C11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
                <w:bCs/>
                <w:iCs/>
                <w:lang w:eastAsia="en-US"/>
              </w:rPr>
            </w:pPr>
          </w:p>
          <w:p w:rsidR="007826EE" w:rsidRDefault="00D276BF">
            <w:pPr>
              <w:widowControl w:val="0"/>
              <w:spacing w:after="0" w:line="240" w:lineRule="auto"/>
              <w:jc w:val="both"/>
              <w:rPr>
                <w:rFonts w:ascii="Times New Roman" w:hAnsi="Times New Roman" w:cs="Times New Roman"/>
                <w:b/>
                <w:bCs/>
              </w:rPr>
            </w:pPr>
            <w:r>
              <w:rPr>
                <w:rFonts w:ascii="Times New Roman" w:hAnsi="Times New Roman" w:cs="Times New Roman"/>
              </w:rPr>
              <w:t>Priimant sprendimus dėl tiekėjo pašalinimo iš pirkimo procedūros šiame punkte nurodytu pašalinimo pagrindu, be kita ko, atsižvelgiama į</w:t>
            </w:r>
            <w:r>
              <w:rPr>
                <w:rFonts w:ascii="Times New Roman" w:hAnsi="Times New Roman" w:cs="Times New Roman"/>
                <w:b/>
                <w:bCs/>
              </w:rPr>
              <w:t xml:space="preserve"> </w:t>
            </w:r>
            <w:r>
              <w:rPr>
                <w:rFonts w:ascii="Times New Roman" w:hAnsi="Times New Roman" w:cs="Times New Roman"/>
              </w:rPr>
              <w:t xml:space="preserve">nacionalinėje duomenų bazėje adresu </w:t>
            </w:r>
            <w:hyperlink r:id="rId25">
              <w:r>
                <w:rPr>
                  <w:rFonts w:ascii="Times New Roman" w:hAnsi="Times New Roman" w:cs="Times New Roman"/>
                  <w:u w:val="single"/>
                </w:rPr>
                <w:t>https://www.vmi.lt/evmi/mokesciu-moketoju-informacija</w:t>
              </w:r>
            </w:hyperlink>
            <w:r>
              <w:rPr>
                <w:rFonts w:ascii="Times New Roman" w:hAnsi="Times New Roman" w:cs="Times New Roman"/>
              </w:rPr>
              <w:t xml:space="preserve"> skelbiamą informaciją.</w:t>
            </w:r>
          </w:p>
        </w:tc>
      </w:tr>
      <w:tr w:rsidR="007826EE">
        <w:tc>
          <w:tcPr>
            <w:tcW w:w="557" w:type="dxa"/>
            <w:tcBorders>
              <w:top w:val="single" w:sz="4" w:space="0" w:color="000000"/>
              <w:left w:val="single" w:sz="4" w:space="0" w:color="000000"/>
              <w:bottom w:val="single" w:sz="4" w:space="0" w:color="000000"/>
              <w:right w:val="single" w:sz="4" w:space="0" w:color="000000"/>
            </w:tcBorders>
          </w:tcPr>
          <w:p w:rsidR="007826EE" w:rsidRDefault="007826EE">
            <w:pPr>
              <w:widowControl w:val="0"/>
              <w:numPr>
                <w:ilvl w:val="0"/>
                <w:numId w:val="13"/>
              </w:numPr>
              <w:spacing w:after="0" w:line="240" w:lineRule="auto"/>
              <w:rPr>
                <w:rFonts w:ascii="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rPr>
            </w:pPr>
            <w:r>
              <w:rPr>
                <w:rFonts w:ascii="Times New Roman" w:hAnsi="Times New Roman" w:cs="Times New Roman"/>
              </w:rPr>
              <w:t>Tiekėjas yra padaręs rimtą profesinį pažeidimą, dėl kurio perkančioji organizacija abejoja tiekėjo sąžiningumu,</w:t>
            </w:r>
            <w:r>
              <w:rPr>
                <w:rFonts w:ascii="Times New Roman" w:eastAsia="Times New Roman" w:hAnsi="Times New Roman" w:cs="Times New Roman"/>
              </w:rPr>
              <w:t xml:space="preserve"> kai jis </w:t>
            </w:r>
            <w:r>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5"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eastAsia="Yu Mincho" w:hAnsi="Times New Roman" w:cs="Times New Roman"/>
                <w:b/>
                <w:bCs/>
              </w:rPr>
            </w:pPr>
            <w:r>
              <w:rPr>
                <w:rFonts w:ascii="Times New Roman" w:eastAsia="Yu Mincho" w:hAnsi="Times New Roman" w:cs="Times New Roman"/>
                <w:b/>
                <w:bCs/>
              </w:rPr>
              <w:t>VPĮ 46 straipsnio 4 dalies 7 punkto c papunktis</w:t>
            </w:r>
          </w:p>
          <w:p w:rsidR="007826EE" w:rsidRDefault="007826EE">
            <w:pPr>
              <w:widowControl w:val="0"/>
              <w:spacing w:after="0" w:line="240" w:lineRule="auto"/>
              <w:jc w:val="both"/>
              <w:rPr>
                <w:rFonts w:ascii="Times New Roman" w:eastAsia="Yu Mincho" w:hAnsi="Times New Roman" w:cs="Times New Roman"/>
              </w:rPr>
            </w:pPr>
          </w:p>
          <w:p w:rsidR="007826EE" w:rsidRDefault="00D276BF">
            <w:pPr>
              <w:widowControl w:val="0"/>
              <w:spacing w:after="0" w:line="240" w:lineRule="auto"/>
              <w:jc w:val="both"/>
              <w:rPr>
                <w:rFonts w:ascii="Times New Roman" w:eastAsia="Yu Mincho" w:hAnsi="Times New Roman" w:cs="Times New Roman"/>
                <w:lang w:eastAsia="en-US"/>
              </w:rPr>
            </w:pPr>
            <w:r>
              <w:rPr>
                <w:rFonts w:ascii="Times New Roman" w:eastAsia="Yu Mincho" w:hAnsi="Times New Roman" w:cs="Times New Roman"/>
              </w:rPr>
              <w:t>EBVPD III dalies C11 punktas</w:t>
            </w:r>
          </w:p>
        </w:tc>
        <w:tc>
          <w:tcPr>
            <w:tcW w:w="4862" w:type="dxa"/>
            <w:tcBorders>
              <w:top w:val="single" w:sz="4" w:space="0" w:color="000000"/>
              <w:left w:val="single" w:sz="4" w:space="0" w:color="000000"/>
              <w:bottom w:val="single" w:sz="4" w:space="0" w:color="000000"/>
              <w:right w:val="single" w:sz="4" w:space="0" w:color="000000"/>
            </w:tcBorders>
          </w:tcPr>
          <w:p w:rsidR="007826EE" w:rsidRDefault="00D276BF">
            <w:pPr>
              <w:widowControl w:val="0"/>
              <w:spacing w:after="0" w:line="240"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rsidR="007826EE" w:rsidRDefault="007826EE">
            <w:pPr>
              <w:widowControl w:val="0"/>
              <w:spacing w:after="0" w:line="240" w:lineRule="auto"/>
              <w:jc w:val="both"/>
              <w:rPr>
                <w:rFonts w:ascii="Times New Roman" w:hAnsi="Times New Roman" w:cs="Times New Roman"/>
                <w:bCs/>
                <w:iCs/>
                <w:lang w:eastAsia="en-US"/>
              </w:rPr>
            </w:pPr>
          </w:p>
          <w:p w:rsidR="007826EE" w:rsidRDefault="00D276BF">
            <w:pPr>
              <w:widowControl w:val="0"/>
              <w:rPr>
                <w:rFonts w:ascii="Times New Roman" w:hAnsi="Times New Roman" w:cs="Times New Roman"/>
                <w:b/>
                <w:bCs/>
              </w:rPr>
            </w:pPr>
            <w:r>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7826EE" w:rsidRDefault="005750A2">
            <w:pPr>
              <w:widowControl w:val="0"/>
              <w:rPr>
                <w:rFonts w:ascii="Times New Roman" w:hAnsi="Times New Roman" w:cs="Times New Roman"/>
                <w:bCs/>
                <w:iCs/>
                <w:lang w:eastAsia="en-US"/>
              </w:rPr>
            </w:pPr>
            <w:hyperlink r:id="rId26">
              <w:r w:rsidR="00D276BF">
                <w:rPr>
                  <w:rFonts w:ascii="Times New Roman" w:hAnsi="Times New Roman" w:cs="Times New Roman"/>
                  <w:u w:val="single"/>
                </w:rPr>
                <w:t>https://kt.gov.lt/lt/atviri-duomenys/diskvalifikavimas-is-viesuju-pirkimu</w:t>
              </w:r>
            </w:hyperlink>
            <w:r w:rsidR="00D276BF">
              <w:rPr>
                <w:rFonts w:ascii="Times New Roman" w:hAnsi="Times New Roman" w:cs="Times New Roman"/>
              </w:rPr>
              <w:t xml:space="preserve"> skelbiamą informaciją. </w:t>
            </w:r>
          </w:p>
        </w:tc>
      </w:tr>
    </w:tbl>
    <w:p w:rsidR="007826EE" w:rsidRDefault="00D276BF">
      <w:pPr>
        <w:jc w:val="center"/>
        <w:rPr>
          <w:rFonts w:cstheme="minorHAnsi"/>
          <w:b/>
          <w:bCs/>
          <w:smallCaps/>
          <w:sz w:val="22"/>
          <w:szCs w:val="22"/>
        </w:rPr>
      </w:pPr>
      <w:r>
        <w:rPr>
          <w:rFonts w:cstheme="minorHAnsi"/>
          <w:smallCaps/>
          <w:sz w:val="22"/>
          <w:szCs w:val="22"/>
        </w:rPr>
        <w:t>__________</w:t>
      </w:r>
      <w:r>
        <w:br w:type="page"/>
      </w:r>
    </w:p>
    <w:p w:rsidR="007826EE" w:rsidRDefault="00D276BF">
      <w:pPr>
        <w:pStyle w:val="Heading2"/>
        <w:ind w:left="5103"/>
        <w:rPr>
          <w:rFonts w:ascii="Times New Roman" w:eastAsia="Calibri" w:hAnsi="Times New Roman" w:cs="Times New Roman"/>
          <w:color w:val="auto"/>
          <w:sz w:val="22"/>
          <w:szCs w:val="22"/>
        </w:rPr>
      </w:pPr>
      <w:bookmarkStart w:id="52" w:name="_Toc126333942"/>
      <w:bookmarkStart w:id="53" w:name="_Ref38533412"/>
      <w:bookmarkStart w:id="54" w:name="_Ref38291334"/>
      <w:bookmarkStart w:id="55" w:name="_Ref38291223"/>
      <w:r>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52"/>
      <w:bookmarkEnd w:id="53"/>
      <w:bookmarkEnd w:id="54"/>
      <w:bookmarkEnd w:id="55"/>
    </w:p>
    <w:p w:rsidR="007826EE" w:rsidRDefault="007826EE">
      <w:pPr>
        <w:rPr>
          <w:rFonts w:cstheme="minorHAnsi"/>
          <w:b/>
          <w:bCs/>
          <w:smallCaps/>
          <w:sz w:val="22"/>
          <w:szCs w:val="22"/>
        </w:rPr>
      </w:pPr>
    </w:p>
    <w:p w:rsidR="007826EE" w:rsidRDefault="00D276BF">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rsidR="007826EE" w:rsidRDefault="00D276BF">
      <w:pPr>
        <w:numPr>
          <w:ilvl w:val="0"/>
          <w:numId w:val="14"/>
        </w:numPr>
        <w:tabs>
          <w:tab w:val="left" w:pos="851"/>
        </w:tabs>
        <w:spacing w:after="0" w:line="20" w:lineRule="atLeast"/>
        <w:ind w:left="0" w:firstLine="567"/>
        <w:contextualSpacing/>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iCs/>
          <w:color w:val="000000" w:themeColor="text1"/>
          <w:sz w:val="24"/>
          <w:szCs w:val="24"/>
          <w:lang w:eastAsia="en-US"/>
        </w:rPr>
        <w:t xml:space="preserve">Reikalavimai tiekėjo kvalifikacijai nėra nustatomi. </w:t>
      </w:r>
    </w:p>
    <w:p w:rsidR="007826EE" w:rsidRDefault="00D276BF">
      <w:pPr>
        <w:numPr>
          <w:ilvl w:val="0"/>
          <w:numId w:val="14"/>
        </w:numPr>
        <w:tabs>
          <w:tab w:val="left" w:pos="851"/>
        </w:tabs>
        <w:spacing w:after="0" w:line="20" w:lineRule="atLeast"/>
        <w:ind w:left="0" w:firstLine="567"/>
        <w:contextualSpacing/>
        <w:jc w:val="both"/>
        <w:rPr>
          <w:rFonts w:ascii="Times New Roman" w:eastAsiaTheme="minorHAns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en-US"/>
        </w:rPr>
        <w:t>Perkančioji organizacija nereikalauja, kad tiekėjai laikytųsi k</w:t>
      </w:r>
      <w:r>
        <w:rPr>
          <w:rFonts w:ascii="Times New Roman" w:eastAsia="Calibri" w:hAnsi="Times New Roman" w:cs="Times New Roman"/>
          <w:iCs/>
          <w:color w:val="000000" w:themeColor="text1"/>
          <w:sz w:val="24"/>
          <w:szCs w:val="24"/>
          <w:lang w:eastAsia="en-US"/>
        </w:rPr>
        <w:t>okybės vadybos sistemos ir (arba) aplinkos apsaugos vadybos sistemos standartų.</w:t>
      </w:r>
    </w:p>
    <w:p w:rsidR="007826EE" w:rsidRDefault="00D276BF">
      <w:pPr>
        <w:tabs>
          <w:tab w:val="left" w:pos="1960"/>
        </w:tabs>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tabs>
          <w:tab w:val="left" w:pos="2046"/>
        </w:tabs>
        <w:rPr>
          <w:rFonts w:ascii="Times New Roman" w:eastAsiaTheme="minorHAnsi" w:hAnsi="Times New Roman" w:cs="Times New Roman"/>
          <w:sz w:val="24"/>
          <w:szCs w:val="24"/>
        </w:rPr>
      </w:pPr>
    </w:p>
    <w:p w:rsidR="007826EE" w:rsidRDefault="00D276BF">
      <w:pPr>
        <w:tabs>
          <w:tab w:val="left" w:pos="2046"/>
        </w:tabs>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rPr>
          <w:rFonts w:ascii="Times New Roman" w:eastAsiaTheme="minorHAnsi" w:hAnsi="Times New Roman" w:cs="Times New Roman"/>
          <w:sz w:val="24"/>
          <w:szCs w:val="24"/>
        </w:rPr>
      </w:pPr>
    </w:p>
    <w:p w:rsidR="007826EE" w:rsidRDefault="007826EE">
      <w:pPr>
        <w:tabs>
          <w:tab w:val="left" w:pos="5960"/>
        </w:tabs>
        <w:rPr>
          <w:rFonts w:ascii="Times New Roman" w:eastAsiaTheme="minorHAnsi" w:hAnsi="Times New Roman" w:cs="Times New Roman"/>
          <w:sz w:val="24"/>
          <w:szCs w:val="24"/>
        </w:rPr>
        <w:sectPr w:rsidR="007826EE">
          <w:headerReference w:type="default" r:id="rId27"/>
          <w:footerReference w:type="default" r:id="rId28"/>
          <w:footerReference w:type="first" r:id="rId29"/>
          <w:pgSz w:w="12240" w:h="15840"/>
          <w:pgMar w:top="1134" w:right="567" w:bottom="1134" w:left="1701" w:header="720" w:footer="720" w:gutter="0"/>
          <w:pgNumType w:start="13"/>
          <w:cols w:space="1296"/>
          <w:formProt w:val="0"/>
          <w:titlePg/>
          <w:docGrid w:linePitch="360" w:charSpace="12082"/>
        </w:sectPr>
      </w:pPr>
    </w:p>
    <w:p w:rsidR="007826EE" w:rsidRDefault="00D276BF">
      <w:pPr>
        <w:pStyle w:val="Heading2"/>
        <w:ind w:left="5103"/>
        <w:rPr>
          <w:rFonts w:ascii="Times New Roman" w:hAnsi="Times New Roman" w:cs="Times New Roman"/>
          <w:color w:val="auto"/>
          <w:sz w:val="22"/>
          <w:szCs w:val="22"/>
        </w:rPr>
      </w:pPr>
      <w:bookmarkStart w:id="56" w:name="_Toc126333943"/>
      <w:bookmarkStart w:id="57" w:name="_Ref38898251"/>
      <w:bookmarkStart w:id="58" w:name="_Ref38291394"/>
      <w:bookmarkStart w:id="59" w:name="_Ref38291379"/>
      <w:r>
        <w:rPr>
          <w:rFonts w:ascii="Times New Roman" w:eastAsia="Calibri" w:hAnsi="Times New Roman" w:cs="Times New Roman"/>
          <w:color w:val="auto"/>
          <w:sz w:val="22"/>
          <w:szCs w:val="22"/>
        </w:rPr>
        <w:lastRenderedPageBreak/>
        <w:t xml:space="preserve">Pirkimo sąlygų 5 priedas „EBVPD“ </w:t>
      </w:r>
      <w:r>
        <w:rPr>
          <w:rFonts w:ascii="Times New Roman" w:hAnsi="Times New Roman" w:cs="Times New Roman"/>
          <w:color w:val="auto"/>
          <w:sz w:val="22"/>
          <w:szCs w:val="22"/>
        </w:rPr>
        <w:t>(XML formatu)</w:t>
      </w:r>
      <w:bookmarkEnd w:id="56"/>
      <w:bookmarkEnd w:id="57"/>
      <w:bookmarkEnd w:id="58"/>
      <w:bookmarkEnd w:id="59"/>
    </w:p>
    <w:p w:rsidR="007826EE" w:rsidRDefault="007826EE">
      <w:pPr>
        <w:rPr>
          <w:rFonts w:cstheme="minorHAnsi"/>
          <w:b/>
          <w:bCs/>
          <w:smallCaps/>
          <w:sz w:val="22"/>
          <w:szCs w:val="22"/>
        </w:rPr>
      </w:pPr>
    </w:p>
    <w:p w:rsidR="007826EE" w:rsidRDefault="00D276BF">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rsidR="007826EE" w:rsidRDefault="00D276BF">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.xml formatu.</w:t>
      </w:r>
    </w:p>
    <w:p w:rsidR="007826EE" w:rsidRDefault="00D276BF">
      <w:pPr>
        <w:jc w:val="center"/>
        <w:rPr>
          <w:rFonts w:cstheme="minorHAnsi"/>
          <w:smallCaps/>
          <w:sz w:val="22"/>
          <w:szCs w:val="22"/>
        </w:rPr>
      </w:pPr>
      <w:r>
        <w:rPr>
          <w:rFonts w:cstheme="minorHAnsi"/>
          <w:smallCaps/>
          <w:sz w:val="22"/>
          <w:szCs w:val="22"/>
        </w:rPr>
        <w:t>__________</w:t>
      </w:r>
    </w:p>
    <w:p w:rsidR="007826EE" w:rsidRDefault="00D276BF">
      <w:pPr>
        <w:rPr>
          <w:rFonts w:cstheme="minorHAnsi"/>
          <w:b/>
          <w:bCs/>
          <w:smallCaps/>
          <w:sz w:val="22"/>
          <w:szCs w:val="22"/>
        </w:rPr>
      </w:pPr>
      <w:r>
        <w:br w:type="page"/>
      </w:r>
    </w:p>
    <w:p w:rsidR="007826EE" w:rsidRDefault="00D276BF">
      <w:pPr>
        <w:pStyle w:val="Heading2"/>
        <w:ind w:left="5103"/>
        <w:rPr>
          <w:rFonts w:ascii="Times New Roman" w:eastAsia="Calibri" w:hAnsi="Times New Roman" w:cs="Times New Roman"/>
          <w:color w:val="auto"/>
          <w:sz w:val="22"/>
          <w:szCs w:val="22"/>
        </w:rPr>
      </w:pPr>
      <w:bookmarkStart w:id="60" w:name="_Toc126333944"/>
      <w:bookmarkStart w:id="61" w:name="_Ref38901392"/>
      <w:bookmarkStart w:id="62" w:name="_Ref38898051"/>
      <w:bookmarkStart w:id="63" w:name="_Ref38540913"/>
      <w:r>
        <w:rPr>
          <w:rFonts w:ascii="Times New Roman" w:eastAsia="Calibri" w:hAnsi="Times New Roman" w:cs="Times New Roman"/>
          <w:color w:val="auto"/>
          <w:sz w:val="22"/>
          <w:szCs w:val="22"/>
        </w:rPr>
        <w:lastRenderedPageBreak/>
        <w:t>Pirkimo sąlygų 6 priedas „Pasiūlymo forma“</w:t>
      </w:r>
      <w:bookmarkEnd w:id="60"/>
      <w:bookmarkEnd w:id="61"/>
      <w:bookmarkEnd w:id="62"/>
      <w:bookmarkEnd w:id="63"/>
    </w:p>
    <w:p w:rsidR="007826EE" w:rsidRDefault="007826EE">
      <w:pPr>
        <w:rPr>
          <w:rFonts w:ascii="Times New Roman" w:hAnsi="Times New Roman" w:cs="Times New Roman"/>
          <w:sz w:val="22"/>
          <w:szCs w:val="22"/>
        </w:rPr>
      </w:pPr>
    </w:p>
    <w:p w:rsidR="007826EE" w:rsidRDefault="00D276BF">
      <w:pPr>
        <w:jc w:val="both"/>
        <w:rPr>
          <w:rFonts w:ascii="Times New Roman" w:hAnsi="Times New Roman" w:cs="Times New Roman"/>
          <w:b/>
          <w:bCs/>
          <w:smallCaps/>
          <w:sz w:val="22"/>
          <w:szCs w:val="22"/>
        </w:rPr>
      </w:pPr>
      <w:r>
        <w:rPr>
          <w:rFonts w:ascii="Times New Roman" w:eastAsia="Calibri" w:hAnsi="Times New Roman" w:cs="Times New Roman"/>
          <w:iCs/>
          <w:color w:val="000000" w:themeColor="text1"/>
        </w:rPr>
        <w:t>Pasiūlymo forma pridedama atskiru dokumentu.</w:t>
      </w:r>
    </w:p>
    <w:p w:rsidR="007826EE" w:rsidRDefault="00D276BF">
      <w:pPr>
        <w:jc w:val="center"/>
        <w:rPr>
          <w:rFonts w:cstheme="minorHAnsi"/>
          <w:color w:val="7030A0"/>
        </w:rPr>
      </w:pPr>
      <w:r>
        <w:rPr>
          <w:rFonts w:cstheme="minorHAnsi"/>
        </w:rPr>
        <w:t>__________</w:t>
      </w:r>
    </w:p>
    <w:p w:rsidR="007826EE" w:rsidRDefault="00D276BF">
      <w:pPr>
        <w:rPr>
          <w:rFonts w:cstheme="minorHAnsi"/>
          <w:color w:val="7030A0"/>
        </w:rPr>
      </w:pPr>
      <w:r>
        <w:br w:type="page"/>
      </w:r>
    </w:p>
    <w:p w:rsidR="007826EE" w:rsidRDefault="00D276BF">
      <w:pPr>
        <w:keepNext/>
        <w:keepLines/>
        <w:spacing w:before="120" w:after="0" w:line="240" w:lineRule="auto"/>
        <w:ind w:left="5103"/>
        <w:outlineLvl w:val="1"/>
        <w:rPr>
          <w:rFonts w:ascii="Times New Roman" w:eastAsiaTheme="majorEastAsia" w:hAnsi="Times New Roman" w:cs="Times New Roman"/>
          <w:sz w:val="22"/>
          <w:szCs w:val="22"/>
        </w:rPr>
      </w:pPr>
      <w:bookmarkStart w:id="64" w:name="_Toc222474777"/>
      <w:r>
        <w:rPr>
          <w:rFonts w:ascii="Times New Roman" w:eastAsiaTheme="majorEastAsia" w:hAnsi="Times New Roman" w:cs="Times New Roman"/>
          <w:sz w:val="22"/>
          <w:szCs w:val="22"/>
        </w:rPr>
        <w:lastRenderedPageBreak/>
        <w:t>Pirkimo sąlygų 7 priedas „Pasiūlymų vertinimo kriterijai ir sąlygos“</w:t>
      </w:r>
      <w:bookmarkEnd w:id="64"/>
    </w:p>
    <w:p w:rsidR="007826EE" w:rsidRDefault="007826EE">
      <w:pPr>
        <w:spacing w:after="0" w:line="240" w:lineRule="auto"/>
        <w:ind w:left="7314"/>
        <w:jc w:val="both"/>
        <w:rPr>
          <w:rFonts w:ascii="Times New Roman" w:hAnsi="Times New Roman" w:cs="Times New Roman"/>
          <w:sz w:val="22"/>
          <w:szCs w:val="22"/>
        </w:rPr>
      </w:pPr>
    </w:p>
    <w:p w:rsidR="007826EE" w:rsidRDefault="007826EE">
      <w:pPr>
        <w:spacing w:after="0" w:line="240" w:lineRule="auto"/>
        <w:ind w:left="7314"/>
        <w:jc w:val="both"/>
        <w:rPr>
          <w:rFonts w:ascii="Times New Roman" w:hAnsi="Times New Roman" w:cs="Times New Roman"/>
          <w:sz w:val="22"/>
          <w:szCs w:val="22"/>
        </w:rPr>
      </w:pPr>
    </w:p>
    <w:p w:rsidR="007826EE" w:rsidRDefault="007826EE">
      <w:pPr>
        <w:spacing w:after="0" w:line="240" w:lineRule="auto"/>
        <w:ind w:left="7314"/>
        <w:jc w:val="both"/>
        <w:rPr>
          <w:rFonts w:ascii="Times New Roman" w:hAnsi="Times New Roman" w:cs="Times New Roman"/>
          <w:sz w:val="22"/>
          <w:szCs w:val="22"/>
        </w:rPr>
      </w:pPr>
    </w:p>
    <w:p w:rsidR="007826EE" w:rsidRDefault="00D276BF">
      <w:pPr>
        <w:pStyle w:val="Heading2"/>
        <w:rPr>
          <w:rFonts w:ascii="Times New Roman" w:hAnsi="Times New Roman" w:cs="Times New Roman"/>
          <w:color w:val="auto"/>
          <w:sz w:val="22"/>
          <w:szCs w:val="22"/>
        </w:rPr>
      </w:pPr>
      <w:r>
        <w:rPr>
          <w:rFonts w:ascii="Times New Roman" w:eastAsiaTheme="minorEastAsia" w:hAnsi="Times New Roman" w:cs="Times New Roman"/>
          <w:color w:val="auto"/>
          <w:sz w:val="22"/>
          <w:szCs w:val="22"/>
        </w:rPr>
        <w:t>Perkančioji organizacija ekonomiškai naudingiausią pasiūlymą  išrenka pagal tiekėjo pasiūlytą kainą.</w:t>
      </w:r>
    </w:p>
    <w:p w:rsidR="007826EE" w:rsidRDefault="007826EE">
      <w:pPr>
        <w:pStyle w:val="Heading2"/>
        <w:ind w:left="5103"/>
        <w:rPr>
          <w:rFonts w:ascii="Times New Roman" w:hAnsi="Times New Roman" w:cs="Times New Roman"/>
          <w:color w:val="auto"/>
          <w:sz w:val="22"/>
          <w:szCs w:val="22"/>
        </w:rPr>
      </w:pPr>
    </w:p>
    <w:p w:rsidR="007826EE" w:rsidRDefault="007826EE">
      <w:pPr>
        <w:pStyle w:val="Heading2"/>
        <w:ind w:left="5103"/>
        <w:rPr>
          <w:rFonts w:ascii="Times New Roman" w:hAnsi="Times New Roman" w:cs="Times New Roman"/>
          <w:color w:val="auto"/>
          <w:sz w:val="22"/>
          <w:szCs w:val="22"/>
        </w:rPr>
      </w:pPr>
    </w:p>
    <w:p w:rsidR="007826EE" w:rsidRDefault="007826EE">
      <w:pPr>
        <w:pStyle w:val="Heading2"/>
        <w:ind w:left="5103"/>
        <w:rPr>
          <w:rFonts w:ascii="Times New Roman" w:hAnsi="Times New Roman" w:cs="Times New Roman"/>
          <w:color w:val="auto"/>
          <w:sz w:val="22"/>
          <w:szCs w:val="22"/>
        </w:rPr>
      </w:pPr>
    </w:p>
    <w:p w:rsidR="007826EE" w:rsidRDefault="007826EE">
      <w:pPr>
        <w:pStyle w:val="Heading2"/>
        <w:ind w:left="5103"/>
        <w:rPr>
          <w:rFonts w:ascii="Times New Roman" w:hAnsi="Times New Roman" w:cs="Times New Roman"/>
          <w:color w:val="auto"/>
          <w:sz w:val="22"/>
          <w:szCs w:val="22"/>
        </w:rPr>
      </w:pPr>
    </w:p>
    <w:p w:rsidR="007826EE" w:rsidRDefault="00D276BF">
      <w:pPr>
        <w:rPr>
          <w:rFonts w:ascii="Times New Roman" w:eastAsiaTheme="majorEastAsia" w:hAnsi="Times New Roman" w:cs="Times New Roman"/>
          <w:sz w:val="22"/>
          <w:szCs w:val="22"/>
        </w:rPr>
      </w:pPr>
      <w:r>
        <w:br w:type="page"/>
      </w:r>
    </w:p>
    <w:p w:rsidR="007826EE" w:rsidRDefault="00D276BF">
      <w:pPr>
        <w:pStyle w:val="Heading2"/>
        <w:ind w:left="5103"/>
        <w:rPr>
          <w:rFonts w:ascii="Times New Roman" w:hAnsi="Times New Roman" w:cs="Times New Roman"/>
          <w:color w:val="auto"/>
          <w:sz w:val="22"/>
          <w:szCs w:val="22"/>
        </w:rPr>
      </w:pPr>
      <w:bookmarkStart w:id="65" w:name="_Toc126333948"/>
      <w:bookmarkStart w:id="66" w:name="_Ref39674283"/>
      <w:bookmarkStart w:id="67" w:name="_Ref39673580"/>
      <w:bookmarkStart w:id="68" w:name="_Ref39586171"/>
      <w:r>
        <w:rPr>
          <w:rFonts w:ascii="Times New Roman" w:hAnsi="Times New Roman" w:cs="Times New Roman"/>
          <w:color w:val="auto"/>
          <w:sz w:val="22"/>
          <w:szCs w:val="22"/>
        </w:rPr>
        <w:lastRenderedPageBreak/>
        <w:t>Pirkimo sąlygų 8 priedas „Sutarties projektas“</w:t>
      </w:r>
      <w:bookmarkEnd w:id="65"/>
      <w:bookmarkEnd w:id="66"/>
      <w:bookmarkEnd w:id="67"/>
      <w:bookmarkEnd w:id="68"/>
    </w:p>
    <w:p w:rsidR="007826EE" w:rsidRDefault="007826EE">
      <w:pPr>
        <w:rPr>
          <w:rFonts w:ascii="Times New Roman" w:eastAsiaTheme="minorHAnsi" w:hAnsi="Times New Roman" w:cs="Times New Roman"/>
          <w:sz w:val="24"/>
          <w:szCs w:val="24"/>
        </w:rPr>
      </w:pPr>
    </w:p>
    <w:p w:rsidR="007826EE" w:rsidRDefault="00D276BF">
      <w:pPr>
        <w:jc w:val="both"/>
        <w:rPr>
          <w:rFonts w:ascii="Times New Roman" w:hAnsi="Times New Roman" w:cs="Times New Roman"/>
          <w:b/>
          <w:bCs/>
          <w:smallCaps/>
          <w:sz w:val="22"/>
          <w:szCs w:val="22"/>
        </w:rPr>
      </w:pPr>
      <w:r>
        <w:rPr>
          <w:rFonts w:ascii="Times New Roman" w:eastAsia="Calibri" w:hAnsi="Times New Roman" w:cs="Times New Roman"/>
          <w:iCs/>
          <w:color w:val="000000" w:themeColor="text1"/>
        </w:rPr>
        <w:t>Sutarties projektas pridedamas atskiru dokumentu.</w:t>
      </w:r>
    </w:p>
    <w:p w:rsidR="007826EE" w:rsidRDefault="007826EE">
      <w:pPr>
        <w:jc w:val="both"/>
        <w:rPr>
          <w:rFonts w:cstheme="minorHAnsi"/>
          <w:b/>
          <w:bCs/>
          <w:smallCaps/>
          <w:sz w:val="22"/>
          <w:szCs w:val="22"/>
        </w:rPr>
      </w:pPr>
    </w:p>
    <w:sectPr w:rsidR="007826EE">
      <w:headerReference w:type="default" r:id="rId30"/>
      <w:footerReference w:type="default" r:id="rId31"/>
      <w:footerReference w:type="first" r:id="rId32"/>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A2" w:rsidRDefault="005750A2">
      <w:pPr>
        <w:spacing w:after="0" w:line="240" w:lineRule="auto"/>
      </w:pPr>
      <w:r>
        <w:separator/>
      </w:r>
    </w:p>
  </w:endnote>
  <w:endnote w:type="continuationSeparator" w:id="0">
    <w:p w:rsidR="005750A2" w:rsidRDefault="0057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ont304">
    <w:charset w:val="BA"/>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29271"/>
      <w:docPartObj>
        <w:docPartGallery w:val="Page Numbers (Bottom of Page)"/>
        <w:docPartUnique/>
      </w:docPartObj>
    </w:sdtPr>
    <w:sdtEndPr/>
    <w:sdtContent>
      <w:p w:rsidR="007826EE" w:rsidRDefault="00D276BF">
        <w:pPr>
          <w:pStyle w:val="Footer"/>
          <w:jc w:val="right"/>
        </w:pPr>
        <w:r>
          <w:fldChar w:fldCharType="begin"/>
        </w:r>
        <w:r>
          <w:instrText>PAGE</w:instrText>
        </w:r>
        <w:r>
          <w:fldChar w:fldCharType="separate"/>
        </w:r>
        <w:r w:rsidR="001E0A6B">
          <w:rPr>
            <w:noProof/>
          </w:rPr>
          <w:t>7</w:t>
        </w:r>
        <w:r>
          <w:fldChar w:fldCharType="end"/>
        </w:r>
      </w:p>
    </w:sdtContent>
  </w:sdt>
  <w:p w:rsidR="007826EE" w:rsidRDefault="00782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Footer"/>
      <w:jc w:val="right"/>
    </w:pPr>
  </w:p>
  <w:p w:rsidR="007826EE" w:rsidRDefault="00782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048103"/>
      <w:docPartObj>
        <w:docPartGallery w:val="Page Numbers (Bottom of Page)"/>
        <w:docPartUnique/>
      </w:docPartObj>
    </w:sdtPr>
    <w:sdtEndPr/>
    <w:sdtContent>
      <w:p w:rsidR="007826EE" w:rsidRDefault="005750A2">
        <w:pPr>
          <w:pStyle w:val="Footer"/>
        </w:pPr>
      </w:p>
    </w:sdtContent>
  </w:sdt>
  <w:p w:rsidR="007826EE" w:rsidRDefault="007826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Footer"/>
      <w:jc w:val="right"/>
    </w:pPr>
  </w:p>
  <w:p w:rsidR="007826EE" w:rsidRDefault="00782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A2" w:rsidRDefault="005750A2">
      <w:pPr>
        <w:rPr>
          <w:sz w:val="12"/>
        </w:rPr>
      </w:pPr>
      <w:r>
        <w:separator/>
      </w:r>
    </w:p>
  </w:footnote>
  <w:footnote w:type="continuationSeparator" w:id="0">
    <w:p w:rsidR="005750A2" w:rsidRDefault="005750A2">
      <w:pPr>
        <w:rPr>
          <w:sz w:val="12"/>
        </w:rPr>
      </w:pPr>
      <w:r>
        <w:continuationSeparator/>
      </w:r>
    </w:p>
  </w:footnote>
  <w:footnote w:id="1">
    <w:p w:rsidR="007826EE" w:rsidRDefault="00D276BF">
      <w:pPr>
        <w:pStyle w:val="FootnoteText"/>
      </w:pPr>
      <w:r>
        <w:rPr>
          <w:rStyle w:val="Inaosramenys"/>
        </w:rPr>
        <w:footnoteRef/>
      </w:r>
      <w:r>
        <w:t xml:space="preserve"> Kontroliuojančio asmens sąvoka apibrėžta VPĮ 2 str. 15</w:t>
      </w:r>
      <w:r>
        <w:rPr>
          <w:vertAlign w:val="superscript"/>
        </w:rPr>
        <w:t>1</w:t>
      </w:r>
      <w:r>
        <w:t xml:space="preserve"> punkte.</w:t>
      </w:r>
    </w:p>
  </w:footnote>
  <w:footnote w:id="2">
    <w:p w:rsidR="007826EE" w:rsidRDefault="00D276BF">
      <w:pPr>
        <w:pStyle w:val="FootnoteText"/>
        <w:widowControl w:val="0"/>
        <w:jc w:val="both"/>
        <w:rPr>
          <w:i/>
          <w:iCs/>
        </w:rPr>
      </w:pPr>
      <w:r>
        <w:rPr>
          <w:rStyle w:val="Inaosramenys"/>
        </w:rPr>
        <w:footnoteRef/>
      </w:r>
      <w:r>
        <w:rPr>
          <w:rFonts w:eastAsia="Yu Mincho" w:cs="Arial"/>
          <w:i/>
          <w:iCs/>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826EE" w:rsidRDefault="00D276BF">
      <w:pPr>
        <w:pStyle w:val="FootnoteText"/>
        <w:widowControl w:val="0"/>
        <w:numPr>
          <w:ilvl w:val="0"/>
          <w:numId w:val="16"/>
        </w:numPr>
        <w:spacing w:after="0" w:line="240" w:lineRule="auto"/>
        <w:jc w:val="both"/>
        <w:rPr>
          <w:rFonts w:ascii="Calibri" w:eastAsia="Yu Mincho" w:hAnsi="Calibri" w:cs="Arial"/>
          <w:i/>
          <w:iCs/>
        </w:rPr>
      </w:pPr>
      <w:r>
        <w:rPr>
          <w:rFonts w:eastAsia="Yu Mincho" w:cs="Arial"/>
          <w:i/>
          <w:iCs/>
        </w:rPr>
        <w:t xml:space="preserve">priesaikos deklaracija; </w:t>
      </w:r>
    </w:p>
    <w:p w:rsidR="007826EE" w:rsidRDefault="00D276BF">
      <w:pPr>
        <w:pStyle w:val="FootnoteText"/>
        <w:widowControl w:val="0"/>
        <w:numPr>
          <w:ilvl w:val="0"/>
          <w:numId w:val="16"/>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826EE" w:rsidRDefault="00D276BF">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826EE" w:rsidRDefault="00D276BF">
      <w:pPr>
        <w:pStyle w:val="FootnoteText"/>
        <w:widowControl w:val="0"/>
        <w:numPr>
          <w:ilvl w:val="0"/>
          <w:numId w:val="19"/>
        </w:numPr>
        <w:spacing w:after="0" w:line="240" w:lineRule="auto"/>
        <w:jc w:val="both"/>
        <w:rPr>
          <w:rFonts w:ascii="Calibri" w:eastAsia="Yu Mincho" w:hAnsi="Calibri" w:cs="Arial"/>
          <w:i/>
          <w:iCs/>
        </w:rPr>
      </w:pPr>
      <w:r>
        <w:rPr>
          <w:rFonts w:eastAsia="Yu Mincho" w:cs="Arial"/>
          <w:i/>
          <w:iCs/>
        </w:rPr>
        <w:t xml:space="preserve">priesaikos deklaracija; </w:t>
      </w:r>
    </w:p>
    <w:p w:rsidR="007826EE" w:rsidRDefault="00D276BF">
      <w:pPr>
        <w:pStyle w:val="FootnoteText"/>
        <w:widowControl w:val="0"/>
        <w:numPr>
          <w:ilvl w:val="0"/>
          <w:numId w:val="19"/>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826EE" w:rsidRDefault="00D276BF">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826EE" w:rsidRDefault="00D276BF">
      <w:pPr>
        <w:pStyle w:val="FootnoteText"/>
        <w:widowControl w:val="0"/>
        <w:numPr>
          <w:ilvl w:val="0"/>
          <w:numId w:val="20"/>
        </w:numPr>
        <w:spacing w:after="0" w:line="240" w:lineRule="auto"/>
        <w:jc w:val="both"/>
        <w:rPr>
          <w:rFonts w:ascii="Calibri" w:eastAsia="Yu Mincho" w:hAnsi="Calibri" w:cs="Arial"/>
          <w:i/>
          <w:iCs/>
        </w:rPr>
      </w:pPr>
      <w:r>
        <w:rPr>
          <w:rFonts w:eastAsia="Yu Mincho" w:cs="Arial"/>
          <w:i/>
          <w:iCs/>
        </w:rPr>
        <w:t xml:space="preserve">priesaikos deklaracija; </w:t>
      </w:r>
    </w:p>
    <w:p w:rsidR="007826EE" w:rsidRDefault="00D276BF">
      <w:pPr>
        <w:pStyle w:val="FootnoteText"/>
        <w:widowControl w:val="0"/>
        <w:numPr>
          <w:ilvl w:val="0"/>
          <w:numId w:val="20"/>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Header"/>
      <w:jc w:val="right"/>
    </w:pPr>
  </w:p>
  <w:p w:rsidR="007826EE" w:rsidRDefault="00782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Header"/>
      <w:jc w:val="right"/>
    </w:pPr>
  </w:p>
  <w:p w:rsidR="007826EE" w:rsidRDefault="00782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EE" w:rsidRDefault="007826EE">
    <w:pPr>
      <w:pStyle w:val="Header"/>
      <w:jc w:val="right"/>
    </w:pPr>
  </w:p>
  <w:p w:rsidR="007826EE" w:rsidRDefault="00782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36890"/>
    <w:multiLevelType w:val="multilevel"/>
    <w:tmpl w:val="5C5A62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382AD6"/>
    <w:multiLevelType w:val="multilevel"/>
    <w:tmpl w:val="2F5A1FC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22CA4B5C"/>
    <w:multiLevelType w:val="multilevel"/>
    <w:tmpl w:val="90AC96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BE94A3C"/>
    <w:multiLevelType w:val="multilevel"/>
    <w:tmpl w:val="607AB650"/>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3AF732E"/>
    <w:multiLevelType w:val="multilevel"/>
    <w:tmpl w:val="F2DA3174"/>
    <w:lvl w:ilvl="0">
      <w:start w:val="2"/>
      <w:numFmt w:val="decimal"/>
      <w:lvlText w:val="%1"/>
      <w:lvlJc w:val="left"/>
      <w:pPr>
        <w:tabs>
          <w:tab w:val="num" w:pos="0"/>
        </w:tabs>
        <w:ind w:left="360" w:hanging="360"/>
      </w:pPr>
      <w:rPr>
        <w:rFonts w:eastAsia="Calibri"/>
        <w:color w:val="000000"/>
      </w:rPr>
    </w:lvl>
    <w:lvl w:ilvl="1">
      <w:start w:val="1"/>
      <w:numFmt w:val="decimal"/>
      <w:lvlText w:val="%1.%2"/>
      <w:lvlJc w:val="left"/>
      <w:pPr>
        <w:tabs>
          <w:tab w:val="num" w:pos="0"/>
        </w:tabs>
        <w:ind w:left="1211" w:hanging="360"/>
      </w:pPr>
      <w:rPr>
        <w:rFonts w:eastAsia="Calibri"/>
        <w:color w:val="000000"/>
      </w:rPr>
    </w:lvl>
    <w:lvl w:ilvl="2">
      <w:start w:val="1"/>
      <w:numFmt w:val="decimal"/>
      <w:lvlText w:val="%1.%2.%3"/>
      <w:lvlJc w:val="left"/>
      <w:pPr>
        <w:tabs>
          <w:tab w:val="num" w:pos="0"/>
        </w:tabs>
        <w:ind w:left="720" w:hanging="720"/>
      </w:pPr>
      <w:rPr>
        <w:rFonts w:eastAsia="Calibri"/>
        <w:color w:val="000000"/>
      </w:rPr>
    </w:lvl>
    <w:lvl w:ilvl="3">
      <w:start w:val="1"/>
      <w:numFmt w:val="decimal"/>
      <w:lvlText w:val="%1.%2.%3.%4"/>
      <w:lvlJc w:val="left"/>
      <w:pPr>
        <w:tabs>
          <w:tab w:val="num" w:pos="0"/>
        </w:tabs>
        <w:ind w:left="720" w:hanging="720"/>
      </w:pPr>
      <w:rPr>
        <w:rFonts w:eastAsia="Calibri"/>
        <w:color w:val="000000"/>
      </w:rPr>
    </w:lvl>
    <w:lvl w:ilvl="4">
      <w:start w:val="1"/>
      <w:numFmt w:val="decimal"/>
      <w:lvlText w:val="%1.%2.%3.%4.%5"/>
      <w:lvlJc w:val="left"/>
      <w:pPr>
        <w:tabs>
          <w:tab w:val="num" w:pos="0"/>
        </w:tabs>
        <w:ind w:left="1080" w:hanging="1080"/>
      </w:pPr>
      <w:rPr>
        <w:rFonts w:eastAsia="Calibri"/>
        <w:color w:val="000000"/>
      </w:rPr>
    </w:lvl>
    <w:lvl w:ilvl="5">
      <w:start w:val="1"/>
      <w:numFmt w:val="decimal"/>
      <w:lvlText w:val="%1.%2.%3.%4.%5.%6"/>
      <w:lvlJc w:val="left"/>
      <w:pPr>
        <w:tabs>
          <w:tab w:val="num" w:pos="0"/>
        </w:tabs>
        <w:ind w:left="1080" w:hanging="1080"/>
      </w:pPr>
      <w:rPr>
        <w:rFonts w:eastAsia="Calibri"/>
        <w:color w:val="000000"/>
      </w:rPr>
    </w:lvl>
    <w:lvl w:ilvl="6">
      <w:start w:val="1"/>
      <w:numFmt w:val="decimal"/>
      <w:lvlText w:val="%1.%2.%3.%4.%5.%6.%7"/>
      <w:lvlJc w:val="left"/>
      <w:pPr>
        <w:tabs>
          <w:tab w:val="num" w:pos="0"/>
        </w:tabs>
        <w:ind w:left="1080" w:hanging="1080"/>
      </w:pPr>
      <w:rPr>
        <w:rFonts w:eastAsia="Calibri"/>
        <w:color w:val="000000"/>
      </w:rPr>
    </w:lvl>
    <w:lvl w:ilvl="7">
      <w:start w:val="1"/>
      <w:numFmt w:val="decimal"/>
      <w:lvlText w:val="%1.%2.%3.%4.%5.%6.%7.%8"/>
      <w:lvlJc w:val="left"/>
      <w:pPr>
        <w:tabs>
          <w:tab w:val="num" w:pos="0"/>
        </w:tabs>
        <w:ind w:left="1440" w:hanging="1440"/>
      </w:pPr>
      <w:rPr>
        <w:rFonts w:eastAsia="Calibri"/>
        <w:color w:val="000000"/>
      </w:rPr>
    </w:lvl>
    <w:lvl w:ilvl="8">
      <w:start w:val="1"/>
      <w:numFmt w:val="decimal"/>
      <w:lvlText w:val="%1.%2.%3.%4.%5.%6.%7.%8.%9"/>
      <w:lvlJc w:val="left"/>
      <w:pPr>
        <w:tabs>
          <w:tab w:val="num" w:pos="0"/>
        </w:tabs>
        <w:ind w:left="1440" w:hanging="1440"/>
      </w:pPr>
      <w:rPr>
        <w:rFonts w:eastAsia="Calibri"/>
        <w:color w:val="000000"/>
      </w:rPr>
    </w:lvl>
  </w:abstractNum>
  <w:abstractNum w:abstractNumId="5" w15:restartNumberingAfterBreak="0">
    <w:nsid w:val="3ACF489A"/>
    <w:multiLevelType w:val="multilevel"/>
    <w:tmpl w:val="E4508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CF1934"/>
    <w:multiLevelType w:val="multilevel"/>
    <w:tmpl w:val="33129E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E561EB4"/>
    <w:multiLevelType w:val="multilevel"/>
    <w:tmpl w:val="19A2C82C"/>
    <w:lvl w:ilvl="0">
      <w:start w:val="7"/>
      <w:numFmt w:val="decimal"/>
      <w:lvlText w:val="%1."/>
      <w:lvlJc w:val="left"/>
      <w:pPr>
        <w:tabs>
          <w:tab w:val="num" w:pos="0"/>
        </w:tabs>
        <w:ind w:left="720" w:hanging="360"/>
      </w:pPr>
    </w:lvl>
    <w:lvl w:ilvl="1">
      <w:start w:val="2"/>
      <w:numFmt w:val="decimal"/>
      <w:lvlText w:val="%1.%2."/>
      <w:lvlJc w:val="left"/>
      <w:pPr>
        <w:tabs>
          <w:tab w:val="num" w:pos="0"/>
        </w:tabs>
        <w:ind w:left="1070" w:hanging="360"/>
      </w:pPr>
    </w:lvl>
    <w:lvl w:ilvl="2">
      <w:start w:val="1"/>
      <w:numFmt w:val="decimal"/>
      <w:lvlText w:val="%1.%2.%3."/>
      <w:lvlJc w:val="left"/>
      <w:pPr>
        <w:tabs>
          <w:tab w:val="num" w:pos="0"/>
        </w:tabs>
        <w:ind w:left="1780" w:hanging="720"/>
      </w:pPr>
    </w:lvl>
    <w:lvl w:ilvl="3">
      <w:start w:val="1"/>
      <w:numFmt w:val="decimal"/>
      <w:lvlText w:val="%1.%2.%3.%4."/>
      <w:lvlJc w:val="left"/>
      <w:pPr>
        <w:tabs>
          <w:tab w:val="num" w:pos="0"/>
        </w:tabs>
        <w:ind w:left="2130" w:hanging="720"/>
      </w:pPr>
    </w:lvl>
    <w:lvl w:ilvl="4">
      <w:start w:val="1"/>
      <w:numFmt w:val="decimal"/>
      <w:lvlText w:val="%1.%2.%3.%4.%5."/>
      <w:lvlJc w:val="left"/>
      <w:pPr>
        <w:tabs>
          <w:tab w:val="num" w:pos="0"/>
        </w:tabs>
        <w:ind w:left="2840" w:hanging="1080"/>
      </w:pPr>
    </w:lvl>
    <w:lvl w:ilvl="5">
      <w:start w:val="1"/>
      <w:numFmt w:val="decimal"/>
      <w:lvlText w:val="%1.%2.%3.%4.%5.%6."/>
      <w:lvlJc w:val="left"/>
      <w:pPr>
        <w:tabs>
          <w:tab w:val="num" w:pos="0"/>
        </w:tabs>
        <w:ind w:left="3190" w:hanging="1080"/>
      </w:pPr>
    </w:lvl>
    <w:lvl w:ilvl="6">
      <w:start w:val="1"/>
      <w:numFmt w:val="decimal"/>
      <w:lvlText w:val="%1.%2.%3.%4.%5.%6.%7."/>
      <w:lvlJc w:val="left"/>
      <w:pPr>
        <w:tabs>
          <w:tab w:val="num" w:pos="0"/>
        </w:tabs>
        <w:ind w:left="3900" w:hanging="1440"/>
      </w:pPr>
    </w:lvl>
    <w:lvl w:ilvl="7">
      <w:start w:val="1"/>
      <w:numFmt w:val="decimal"/>
      <w:lvlText w:val="%1.%2.%3.%4.%5.%6.%7.%8."/>
      <w:lvlJc w:val="left"/>
      <w:pPr>
        <w:tabs>
          <w:tab w:val="num" w:pos="0"/>
        </w:tabs>
        <w:ind w:left="4250" w:hanging="1440"/>
      </w:pPr>
    </w:lvl>
    <w:lvl w:ilvl="8">
      <w:start w:val="1"/>
      <w:numFmt w:val="decimal"/>
      <w:lvlText w:val="%1.%2.%3.%4.%5.%6.%7.%8.%9."/>
      <w:lvlJc w:val="left"/>
      <w:pPr>
        <w:tabs>
          <w:tab w:val="num" w:pos="0"/>
        </w:tabs>
        <w:ind w:left="4960" w:hanging="1800"/>
      </w:pPr>
    </w:lvl>
  </w:abstractNum>
  <w:abstractNum w:abstractNumId="8" w15:restartNumberingAfterBreak="0">
    <w:nsid w:val="3F155B6A"/>
    <w:multiLevelType w:val="multilevel"/>
    <w:tmpl w:val="525ABC0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0DF64EA"/>
    <w:multiLevelType w:val="multilevel"/>
    <w:tmpl w:val="586474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5BD284F"/>
    <w:multiLevelType w:val="multilevel"/>
    <w:tmpl w:val="4DF65F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6056DD3"/>
    <w:multiLevelType w:val="multilevel"/>
    <w:tmpl w:val="E7D2ED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6F85CAE"/>
    <w:multiLevelType w:val="multilevel"/>
    <w:tmpl w:val="83E2F3A6"/>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3" w15:restartNumberingAfterBreak="0">
    <w:nsid w:val="4FFE07C6"/>
    <w:multiLevelType w:val="multilevel"/>
    <w:tmpl w:val="CD864B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30811F1"/>
    <w:multiLevelType w:val="multilevel"/>
    <w:tmpl w:val="1B3290EE"/>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D9608D"/>
    <w:multiLevelType w:val="multilevel"/>
    <w:tmpl w:val="AC5CDA3E"/>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4"/>
        <w:szCs w:val="24"/>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6" w15:restartNumberingAfterBreak="0">
    <w:nsid w:val="58EF0C7E"/>
    <w:multiLevelType w:val="multilevel"/>
    <w:tmpl w:val="F970E4D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A286F45"/>
    <w:multiLevelType w:val="multilevel"/>
    <w:tmpl w:val="0CFEE3D2"/>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142"/>
        </w:tabs>
        <w:ind w:left="586"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61B93231"/>
    <w:multiLevelType w:val="multilevel"/>
    <w:tmpl w:val="57F8568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D4B7BF7"/>
    <w:multiLevelType w:val="multilevel"/>
    <w:tmpl w:val="F624873E"/>
    <w:lvl w:ilvl="0">
      <w:start w:val="1"/>
      <w:numFmt w:val="decimal"/>
      <w:suff w:val="space"/>
      <w:lvlText w:val="%1."/>
      <w:lvlJc w:val="left"/>
      <w:pPr>
        <w:tabs>
          <w:tab w:val="num" w:pos="0"/>
        </w:tabs>
        <w:ind w:left="0" w:firstLine="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20" w15:restartNumberingAfterBreak="0">
    <w:nsid w:val="7DD825B9"/>
    <w:multiLevelType w:val="multilevel"/>
    <w:tmpl w:val="AD80A188"/>
    <w:lvl w:ilvl="0">
      <w:start w:val="3"/>
      <w:numFmt w:val="decimal"/>
      <w:lvlText w:val="%1."/>
      <w:lvlJc w:val="left"/>
      <w:pPr>
        <w:tabs>
          <w:tab w:val="num" w:pos="0"/>
        </w:tabs>
        <w:ind w:left="360" w:hanging="360"/>
      </w:pPr>
      <w:rPr>
        <w:rFonts w:eastAsia="Calibri"/>
        <w:color w:val="00B050"/>
      </w:rPr>
    </w:lvl>
    <w:lvl w:ilvl="1">
      <w:start w:val="1"/>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num w:numId="1">
    <w:abstractNumId w:val="3"/>
  </w:num>
  <w:num w:numId="2">
    <w:abstractNumId w:val="14"/>
  </w:num>
  <w:num w:numId="3">
    <w:abstractNumId w:val="4"/>
  </w:num>
  <w:num w:numId="4">
    <w:abstractNumId w:val="12"/>
  </w:num>
  <w:num w:numId="5">
    <w:abstractNumId w:val="15"/>
  </w:num>
  <w:num w:numId="6">
    <w:abstractNumId w:val="20"/>
  </w:num>
  <w:num w:numId="7">
    <w:abstractNumId w:val="7"/>
  </w:num>
  <w:num w:numId="8">
    <w:abstractNumId w:val="17"/>
  </w:num>
  <w:num w:numId="9">
    <w:abstractNumId w:val="8"/>
  </w:num>
  <w:num w:numId="10">
    <w:abstractNumId w:val="5"/>
  </w:num>
  <w:num w:numId="11">
    <w:abstractNumId w:val="16"/>
  </w:num>
  <w:num w:numId="12">
    <w:abstractNumId w:val="1"/>
  </w:num>
  <w:num w:numId="13">
    <w:abstractNumId w:val="19"/>
  </w:num>
  <w:num w:numId="14">
    <w:abstractNumId w:val="18"/>
  </w:num>
  <w:num w:numId="15">
    <w:abstractNumId w:val="13"/>
  </w:num>
  <w:num w:numId="16">
    <w:abstractNumId w:val="0"/>
  </w:num>
  <w:num w:numId="17">
    <w:abstractNumId w:val="10"/>
  </w:num>
  <w:num w:numId="18">
    <w:abstractNumId w:val="6"/>
  </w:num>
  <w:num w:numId="19">
    <w:abstractNumId w:val="11"/>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EE"/>
    <w:rsid w:val="00020248"/>
    <w:rsid w:val="001E0A6B"/>
    <w:rsid w:val="005750A2"/>
    <w:rsid w:val="007826EE"/>
    <w:rsid w:val="00D276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E526B-01C6-476E-8003-A771811F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99"/>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customStyle="1" w:styleId="Iskyrimas">
    <w:name w:val="Išskyrima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aosramenys">
    <w:name w:val="Išnašos rašmenys"/>
    <w:qFormat/>
    <w:rsid w:val="00A96E61"/>
  </w:style>
  <w:style w:type="character" w:customStyle="1" w:styleId="Rodyklssaitas">
    <w:name w:val="Rodyklės saitas"/>
    <w:qFormat/>
  </w:style>
  <w:style w:type="character" w:customStyle="1" w:styleId="Galinsinaosramenys">
    <w:name w:val="Galinės išnašos rašmenys"/>
    <w:qFormat/>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pPr>
      <w:suppressLineNumbers/>
    </w:pPr>
    <w:rPr>
      <w:rFonts w:cs="Lucida San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Kadroturinys">
    <w:name w:val="Kadro turinys"/>
    <w:basedOn w:val="Normal"/>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17" Type="http://schemas.openxmlformats.org/officeDocument/2006/relationships/hyperlink" Target="http://www.windowsservercatalog.com/"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redhat.com/hardware"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078EF-4069-4796-B0F5-07E82A50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38783</Words>
  <Characters>22107</Characters>
  <Application>Microsoft Office Word</Application>
  <DocSecurity>0</DocSecurity>
  <Lines>184</Lines>
  <Paragraphs>121</Paragraphs>
  <ScaleCrop>false</ScaleCrop>
  <Company/>
  <LinksUpToDate>false</LinksUpToDate>
  <CharactersWithSpaces>60769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Lolita Dobilienė</cp:lastModifiedBy>
  <cp:revision>3</cp:revision>
  <dcterms:created xsi:type="dcterms:W3CDTF">2026-05-29T06:37:00Z</dcterms:created>
  <dcterms:modified xsi:type="dcterms:W3CDTF">2026-06-10T12:25:00Z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