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8" w:type="dxa"/>
        <w:tblLook w:val="04A0" w:firstRow="1" w:lastRow="0" w:firstColumn="1" w:lastColumn="0" w:noHBand="0" w:noVBand="1"/>
      </w:tblPr>
      <w:tblGrid>
        <w:gridCol w:w="5665"/>
        <w:gridCol w:w="5103"/>
      </w:tblGrid>
      <w:tr w:rsidR="00B64441" w:rsidRPr="005B6B87" w14:paraId="2D2C9A33" w14:textId="77777777" w:rsidTr="1766482D">
        <w:trPr>
          <w:trHeight w:val="416"/>
        </w:trPr>
        <w:tc>
          <w:tcPr>
            <w:tcW w:w="5665" w:type="dxa"/>
            <w:shd w:val="clear" w:color="auto" w:fill="D9F2D0" w:themeFill="accent6" w:themeFillTint="33"/>
            <w:vAlign w:val="center"/>
          </w:tcPr>
          <w:p w14:paraId="3C46782B" w14:textId="72163EC4" w:rsidR="00B64441" w:rsidRPr="005B6B87" w:rsidRDefault="00B64441" w:rsidP="00FF052E">
            <w:pPr>
              <w:jc w:val="center"/>
              <w:rPr>
                <w:rFonts w:ascii="Nunito Sans" w:hAnsi="Nunito Sans"/>
                <w:b/>
                <w:bCs/>
                <w:sz w:val="20"/>
                <w:szCs w:val="20"/>
              </w:rPr>
            </w:pPr>
            <w:r w:rsidRPr="005B6B87">
              <w:rPr>
                <w:rFonts w:ascii="Nunito Sans" w:hAnsi="Nunito Sans"/>
                <w:b/>
                <w:bCs/>
                <w:sz w:val="20"/>
                <w:szCs w:val="20"/>
              </w:rPr>
              <w:t>KLAUSIMAS</w:t>
            </w:r>
          </w:p>
        </w:tc>
        <w:tc>
          <w:tcPr>
            <w:tcW w:w="5103" w:type="dxa"/>
            <w:shd w:val="clear" w:color="auto" w:fill="D9F2D0" w:themeFill="accent6" w:themeFillTint="33"/>
            <w:vAlign w:val="center"/>
          </w:tcPr>
          <w:p w14:paraId="767CCF60" w14:textId="5A72E182" w:rsidR="00B64441" w:rsidRPr="005B6B87" w:rsidRDefault="00B64441" w:rsidP="00FF052E">
            <w:pPr>
              <w:jc w:val="center"/>
              <w:rPr>
                <w:rFonts w:ascii="Nunito Sans" w:hAnsi="Nunito Sans"/>
                <w:b/>
                <w:bCs/>
                <w:sz w:val="20"/>
                <w:szCs w:val="20"/>
              </w:rPr>
            </w:pPr>
            <w:r w:rsidRPr="005B6B87">
              <w:rPr>
                <w:rFonts w:ascii="Nunito Sans" w:hAnsi="Nunito Sans"/>
                <w:b/>
                <w:bCs/>
                <w:sz w:val="20"/>
                <w:szCs w:val="20"/>
              </w:rPr>
              <w:t>ATSAKYMAS</w:t>
            </w:r>
          </w:p>
        </w:tc>
      </w:tr>
      <w:tr w:rsidR="00B64441" w:rsidRPr="005B6B87" w14:paraId="41B9D8ED" w14:textId="77777777" w:rsidTr="005B6B87">
        <w:trPr>
          <w:trHeight w:val="1406"/>
        </w:trPr>
        <w:tc>
          <w:tcPr>
            <w:tcW w:w="5665" w:type="dxa"/>
            <w:vAlign w:val="center"/>
          </w:tcPr>
          <w:p w14:paraId="232467FA" w14:textId="277EB811" w:rsidR="00B64441" w:rsidRPr="005B6B87" w:rsidRDefault="5C3AB5AA" w:rsidP="00082441">
            <w:pPr>
              <w:spacing w:before="60" w:after="60"/>
              <w:jc w:val="both"/>
              <w:rPr>
                <w:rFonts w:ascii="Nunito Sans" w:hAnsi="Nunito Sans"/>
                <w:sz w:val="20"/>
                <w:szCs w:val="20"/>
              </w:rPr>
            </w:pPr>
            <w:r w:rsidRPr="005B6B87">
              <w:rPr>
                <w:rFonts w:ascii="Nunito Sans" w:hAnsi="Nunito Sans"/>
                <w:sz w:val="20"/>
                <w:szCs w:val="20"/>
              </w:rPr>
              <w:t xml:space="preserve">1. </w:t>
            </w:r>
            <w:r w:rsidR="186330CD" w:rsidRPr="005B6B87">
              <w:rPr>
                <w:rFonts w:ascii="Nunito Sans" w:hAnsi="Nunito Sans"/>
                <w:sz w:val="20"/>
                <w:szCs w:val="20"/>
              </w:rPr>
              <w:t>Prašome paaiškinti ir detalizuoti ar Rangovas turi vertintis atskirą DN160 dėklo įrengimą po A1 magistraliniu keliu, kuris būtų skirtas TKKS DN40 linijoms? Taip pat prašome pateikti reikalavimus DN160 dėklo medžiagai (plienas, plastmasė, sienelių storis ir kt.).</w:t>
            </w:r>
          </w:p>
        </w:tc>
        <w:tc>
          <w:tcPr>
            <w:tcW w:w="5103" w:type="dxa"/>
            <w:vAlign w:val="center"/>
          </w:tcPr>
          <w:p w14:paraId="162FDEFB" w14:textId="62E41C81" w:rsidR="0039756C" w:rsidRPr="005B6B87" w:rsidRDefault="40CC0FFC" w:rsidP="005B6B87">
            <w:pPr>
              <w:spacing w:before="60" w:after="60"/>
              <w:jc w:val="both"/>
              <w:rPr>
                <w:rFonts w:ascii="Nunito Sans" w:hAnsi="Nunito Sans"/>
                <w:sz w:val="20"/>
                <w:szCs w:val="20"/>
              </w:rPr>
            </w:pPr>
            <w:r w:rsidRPr="005B6B87">
              <w:rPr>
                <w:rFonts w:ascii="Nunito Sans" w:hAnsi="Nunito Sans"/>
                <w:sz w:val="20"/>
                <w:szCs w:val="20"/>
              </w:rPr>
              <w:t>Sankirtose su vandens telkiniais, keliais, geležinkeliais ir kitais objektais turi būti įrengtas papildomas apsauginis aukšto slėgio polietileninis vamzdis, kuriame turi būti patalpinta TKKS. Apsauginio vamzdžio skersmuo turi būti ne mažesnis kaip 160 mm, o jo atsparumas mechaninei apkrovai – ne mažesnis kaip 1250 N / 20 cm, pagal EN 50086-2-4 arba lygiavertį standartą.</w:t>
            </w:r>
            <w:r w:rsidR="4974D925" w:rsidRPr="005B6B87">
              <w:rPr>
                <w:rFonts w:ascii="Nunito Sans" w:hAnsi="Nunito Sans"/>
                <w:sz w:val="20"/>
                <w:szCs w:val="20"/>
              </w:rPr>
              <w:t xml:space="preserve"> TKKS dėklo (d160) sprendiniai turi būti detalizuoti rengiant techninį darbo projektą (TDP)</w:t>
            </w:r>
          </w:p>
          <w:p w14:paraId="46B5A64E" w14:textId="298D57CD" w:rsidR="0039756C" w:rsidRPr="005B6B87" w:rsidRDefault="40CC0FFC" w:rsidP="005B6B87">
            <w:pPr>
              <w:spacing w:before="60" w:after="60"/>
              <w:jc w:val="both"/>
              <w:rPr>
                <w:rFonts w:ascii="Nunito Sans" w:hAnsi="Nunito Sans"/>
                <w:sz w:val="20"/>
                <w:szCs w:val="20"/>
              </w:rPr>
            </w:pPr>
            <w:r w:rsidRPr="005B6B87">
              <w:rPr>
                <w:rFonts w:ascii="Nunito Sans" w:hAnsi="Nunito Sans"/>
                <w:sz w:val="20"/>
                <w:szCs w:val="20"/>
              </w:rPr>
              <w:t xml:space="preserve">(žr. </w:t>
            </w:r>
            <w:r w:rsidR="33E5C062" w:rsidRPr="005B6B87">
              <w:rPr>
                <w:rFonts w:ascii="Nunito Sans" w:hAnsi="Nunito Sans"/>
                <w:sz w:val="20"/>
                <w:szCs w:val="20"/>
              </w:rPr>
              <w:t>TECHNINĖ SPECIFIKACIJA, 16.1.15 punktas. 1_2024-60-XX-PP-BD.pdf, priedas „</w:t>
            </w:r>
            <w:proofErr w:type="spellStart"/>
            <w:r w:rsidR="33E5C062" w:rsidRPr="005B6B87">
              <w:rPr>
                <w:rFonts w:ascii="Nunito Sans" w:hAnsi="Nunito Sans"/>
                <w:sz w:val="20"/>
                <w:szCs w:val="20"/>
              </w:rPr>
              <w:t>Telesignalizacijos</w:t>
            </w:r>
            <w:proofErr w:type="spellEnd"/>
            <w:r w:rsidR="33E5C062" w:rsidRPr="005B6B87">
              <w:rPr>
                <w:rFonts w:ascii="Nunito Sans" w:hAnsi="Nunito Sans"/>
                <w:sz w:val="20"/>
                <w:szCs w:val="20"/>
              </w:rPr>
              <w:t xml:space="preserve"> kanalų kabelių sistemos (TKKS) įrengimo reikalavimai“, 2 skyriaus 15 punktas.)</w:t>
            </w:r>
          </w:p>
        </w:tc>
      </w:tr>
      <w:tr w:rsidR="152824C2" w:rsidRPr="005B6B87" w14:paraId="1D9FB768" w14:textId="77777777" w:rsidTr="005B6B87">
        <w:trPr>
          <w:trHeight w:val="1406"/>
        </w:trPr>
        <w:tc>
          <w:tcPr>
            <w:tcW w:w="5665" w:type="dxa"/>
            <w:vAlign w:val="center"/>
          </w:tcPr>
          <w:p w14:paraId="560D8EE1" w14:textId="1427E7C7" w:rsidR="496940CB" w:rsidRPr="005B6B87" w:rsidRDefault="37EB1BC1" w:rsidP="152824C2">
            <w:pPr>
              <w:jc w:val="both"/>
              <w:rPr>
                <w:rFonts w:ascii="Nunito Sans" w:eastAsia="Nunito Sans" w:hAnsi="Nunito Sans" w:cs="Nunito Sans"/>
                <w:sz w:val="20"/>
                <w:szCs w:val="20"/>
              </w:rPr>
            </w:pPr>
            <w:r w:rsidRPr="005B6B87">
              <w:rPr>
                <w:rFonts w:ascii="Nunito Sans" w:eastAsia="Nunito Sans" w:hAnsi="Nunito Sans" w:cs="Nunito Sans"/>
                <w:sz w:val="20"/>
                <w:szCs w:val="20"/>
              </w:rPr>
              <w:t xml:space="preserve">2. </w:t>
            </w:r>
            <w:r w:rsidR="47805713" w:rsidRPr="005B6B87">
              <w:rPr>
                <w:rFonts w:ascii="Nunito Sans" w:eastAsia="Nunito Sans" w:hAnsi="Nunito Sans" w:cs="Nunito Sans"/>
                <w:sz w:val="20"/>
                <w:szCs w:val="20"/>
              </w:rPr>
              <w:t>Vadovaujantis techninės specifikacijos 17.1 p., prašome detalizuoti kas bus atsakingas už melioracijos statinių statybos techninę priežiūros samdymą ir apmokėjimą</w:t>
            </w:r>
          </w:p>
        </w:tc>
        <w:tc>
          <w:tcPr>
            <w:tcW w:w="5103" w:type="dxa"/>
            <w:vAlign w:val="center"/>
          </w:tcPr>
          <w:p w14:paraId="53E198D1" w14:textId="67EAD8F2" w:rsidR="496940CB" w:rsidRPr="005B6B87" w:rsidRDefault="496940CB" w:rsidP="005B6B87">
            <w:pPr>
              <w:jc w:val="both"/>
              <w:rPr>
                <w:rFonts w:ascii="Nunito Sans" w:hAnsi="Nunito Sans"/>
                <w:sz w:val="20"/>
                <w:szCs w:val="20"/>
              </w:rPr>
            </w:pPr>
            <w:r w:rsidRPr="005B6B87">
              <w:rPr>
                <w:rFonts w:ascii="Nunito Sans" w:hAnsi="Nunito Sans"/>
                <w:sz w:val="20"/>
                <w:szCs w:val="20"/>
              </w:rPr>
              <w:t>Tiekėjas privalo savo lėšomis įsivertinti ir pasamdyti atestuotą melioracijos sistemų techninės priežiūros specialistą, kuris vykdytų melioracijos projekto sprendinių įgyvendinimo priežiūrą bei pasirašytų statybos darbų žurnale.</w:t>
            </w:r>
          </w:p>
          <w:p w14:paraId="4F4E13CE" w14:textId="7DE8BB3A" w:rsidR="496940CB" w:rsidRPr="005B6B87" w:rsidRDefault="496940CB" w:rsidP="005B6B87">
            <w:pPr>
              <w:jc w:val="both"/>
              <w:rPr>
                <w:rFonts w:ascii="Nunito Sans" w:hAnsi="Nunito Sans"/>
                <w:sz w:val="20"/>
                <w:szCs w:val="20"/>
              </w:rPr>
            </w:pPr>
            <w:r w:rsidRPr="005B6B87">
              <w:rPr>
                <w:rFonts w:ascii="Nunito Sans" w:hAnsi="Nunito Sans"/>
                <w:sz w:val="20"/>
                <w:szCs w:val="20"/>
              </w:rPr>
              <w:t>Šis specialistas privalo turėti Žemės ūkio ministerijos išduotą arba pripažintą kvalifikacijos atestatą, suteikiantį teisę verstis melioracijos darbų technine priežiūra</w:t>
            </w:r>
          </w:p>
          <w:p w14:paraId="65119BD2" w14:textId="2E6E1795" w:rsidR="152824C2" w:rsidRPr="005B6B87" w:rsidRDefault="496940CB" w:rsidP="005B6B87">
            <w:pPr>
              <w:jc w:val="both"/>
              <w:rPr>
                <w:rFonts w:ascii="Nunito Sans" w:hAnsi="Nunito Sans"/>
                <w:sz w:val="20"/>
                <w:szCs w:val="20"/>
              </w:rPr>
            </w:pPr>
            <w:r w:rsidRPr="005B6B87">
              <w:rPr>
                <w:rFonts w:ascii="Nunito Sans" w:hAnsi="Nunito Sans"/>
                <w:sz w:val="20"/>
                <w:szCs w:val="20"/>
              </w:rPr>
              <w:t xml:space="preserve">(žr. TECHNINĖ SPECIFIKACIJA, 17.1 </w:t>
            </w:r>
            <w:r w:rsidR="009E0487" w:rsidRPr="005B6B87">
              <w:rPr>
                <w:rFonts w:ascii="Nunito Sans" w:hAnsi="Nunito Sans"/>
                <w:sz w:val="20"/>
                <w:szCs w:val="20"/>
              </w:rPr>
              <w:t>ir 17.6 p.</w:t>
            </w:r>
            <w:r w:rsidR="009E0487" w:rsidRPr="005B6B87">
              <w:rPr>
                <w:rFonts w:ascii="Nunito Sans" w:hAnsi="Nunito Sans"/>
                <w:sz w:val="20"/>
                <w:szCs w:val="20"/>
                <w:lang w:val="en-US"/>
              </w:rPr>
              <w:t>)</w:t>
            </w:r>
          </w:p>
        </w:tc>
      </w:tr>
      <w:tr w:rsidR="65C3658A" w:rsidRPr="005B6B87" w14:paraId="66551497" w14:textId="77777777" w:rsidTr="005B6B87">
        <w:trPr>
          <w:trHeight w:val="1406"/>
        </w:trPr>
        <w:tc>
          <w:tcPr>
            <w:tcW w:w="5665" w:type="dxa"/>
            <w:vAlign w:val="center"/>
          </w:tcPr>
          <w:p w14:paraId="702B8226" w14:textId="4C2C2CC9" w:rsidR="111AAF0A" w:rsidRPr="005B6B87" w:rsidRDefault="60FADBBD" w:rsidP="1766482D">
            <w:pPr>
              <w:jc w:val="both"/>
              <w:rPr>
                <w:rFonts w:ascii="Nunito Sans" w:eastAsia="Nunito Sans" w:hAnsi="Nunito Sans" w:cs="Nunito Sans"/>
                <w:sz w:val="20"/>
                <w:szCs w:val="20"/>
              </w:rPr>
            </w:pPr>
            <w:r w:rsidRPr="005B6B87">
              <w:rPr>
                <w:rFonts w:ascii="Nunito Sans" w:eastAsia="Nunito Sans" w:hAnsi="Nunito Sans" w:cs="Nunito Sans"/>
                <w:sz w:val="20"/>
                <w:szCs w:val="20"/>
              </w:rPr>
              <w:t>3. Prašome patvirtinti, kad Statytojo sutartyje su Projektinių pasiūlymų (PP) autoriumi numatyta, kad PP autorius sutinka, kad techninį darbo projektą (TDP) rengtų kitas projektuotojas.</w:t>
            </w:r>
          </w:p>
        </w:tc>
        <w:tc>
          <w:tcPr>
            <w:tcW w:w="5103" w:type="dxa"/>
            <w:vAlign w:val="center"/>
          </w:tcPr>
          <w:p w14:paraId="07F6ED73" w14:textId="1970A054" w:rsidR="65C3658A" w:rsidRPr="005B6B87" w:rsidRDefault="55563116" w:rsidP="005B6B87">
            <w:pPr>
              <w:jc w:val="both"/>
              <w:rPr>
                <w:rFonts w:ascii="Nunito Sans" w:eastAsia="Nunito Sans" w:hAnsi="Nunito Sans" w:cs="Nunito Sans"/>
                <w:sz w:val="20"/>
                <w:szCs w:val="20"/>
              </w:rPr>
            </w:pPr>
            <w:r w:rsidRPr="005B6B87">
              <w:rPr>
                <w:rFonts w:ascii="Nunito Sans" w:hAnsi="Nunito Sans"/>
                <w:sz w:val="20"/>
                <w:szCs w:val="20"/>
              </w:rPr>
              <w:t>Statytojas iki sutarties pasirašymo gaus sutikimą iš PP autoriaus</w:t>
            </w:r>
            <w:r w:rsidR="15B797C0" w:rsidRPr="005B6B87">
              <w:rPr>
                <w:rFonts w:ascii="Nunito Sans" w:hAnsi="Nunito Sans"/>
                <w:sz w:val="20"/>
                <w:szCs w:val="20"/>
              </w:rPr>
              <w:t xml:space="preserve">, </w:t>
            </w:r>
            <w:r w:rsidR="15B797C0" w:rsidRPr="005B6B87">
              <w:rPr>
                <w:rFonts w:ascii="Nunito Sans" w:eastAsia="Nunito Sans" w:hAnsi="Nunito Sans" w:cs="Nunito Sans"/>
                <w:sz w:val="20"/>
                <w:szCs w:val="20"/>
              </w:rPr>
              <w:t>kad techninį darbo projektą (TDP) rengtų kitas projektuotojas.</w:t>
            </w:r>
          </w:p>
        </w:tc>
      </w:tr>
      <w:tr w:rsidR="65C3658A" w:rsidRPr="005B6B87" w14:paraId="0BB968B4" w14:textId="77777777" w:rsidTr="005B6B87">
        <w:trPr>
          <w:trHeight w:val="1406"/>
        </w:trPr>
        <w:tc>
          <w:tcPr>
            <w:tcW w:w="5665" w:type="dxa"/>
            <w:vAlign w:val="center"/>
          </w:tcPr>
          <w:p w14:paraId="18971C8A" w14:textId="4C026EC7" w:rsidR="3933B19F" w:rsidRPr="005B6B87" w:rsidRDefault="3933B19F" w:rsidP="65C3658A">
            <w:pPr>
              <w:jc w:val="both"/>
              <w:rPr>
                <w:rFonts w:ascii="Nunito Sans" w:hAnsi="Nunito Sans"/>
                <w:sz w:val="20"/>
                <w:szCs w:val="20"/>
              </w:rPr>
            </w:pPr>
            <w:r w:rsidRPr="005B6B87">
              <w:rPr>
                <w:rFonts w:ascii="Nunito Sans" w:eastAsia="Nunito Sans" w:hAnsi="Nunito Sans" w:cs="Nunito Sans"/>
                <w:sz w:val="20"/>
                <w:szCs w:val="20"/>
              </w:rPr>
              <w:t>4. Prašome patvirtinti, kad projekto vykdymo priežiūra yra numatyta Statytojo sutartyje su PP autoriumi ir kainos skaičiavime nereikia Rangovui vertinti projekto vykdymo priežiūros išlaidų.</w:t>
            </w:r>
          </w:p>
        </w:tc>
        <w:tc>
          <w:tcPr>
            <w:tcW w:w="5103" w:type="dxa"/>
            <w:vAlign w:val="center"/>
          </w:tcPr>
          <w:p w14:paraId="613F1655" w14:textId="5854D25C" w:rsidR="47FF8D08" w:rsidRPr="005B6B87" w:rsidRDefault="47FF8D08" w:rsidP="005B6B87">
            <w:pPr>
              <w:jc w:val="both"/>
              <w:rPr>
                <w:rFonts w:ascii="Nunito Sans" w:hAnsi="Nunito Sans"/>
                <w:sz w:val="20"/>
                <w:szCs w:val="20"/>
              </w:rPr>
            </w:pPr>
            <w:r w:rsidRPr="005B6B87">
              <w:rPr>
                <w:rFonts w:ascii="Nunito Sans" w:hAnsi="Nunito Sans"/>
                <w:sz w:val="20"/>
                <w:szCs w:val="20"/>
              </w:rPr>
              <w:t>Projekto vykdymo priežiūros (PVP) paslaugos yra tiesioginė Rangovo atsakomybė ir įeina į šio pirkimo apimtį. Specialiosiose sutarties sąlygose aiškiai nurodyta, kad su PVP susijusios Rangovo sąnaudos ir apmokėjimas už šias veiklas laikomas įtrauktu į statybos rangos Darbų kainą. Techninėje specifikacijoje taip pat pabrėžiama, kad Tiekėjas yra pilnai atsakingas už visus įgyvendinimo etapus, įskaitant Projekto vykdymo priežiūrą statybos metu</w:t>
            </w:r>
          </w:p>
          <w:p w14:paraId="4C631D4E" w14:textId="03E575FA" w:rsidR="47FF8D08" w:rsidRPr="005B6B87" w:rsidRDefault="47FF8D08" w:rsidP="005B6B87">
            <w:pPr>
              <w:jc w:val="both"/>
              <w:rPr>
                <w:rFonts w:ascii="Nunito Sans" w:eastAsiaTheme="minorEastAsia" w:hAnsi="Nunito Sans"/>
                <w:sz w:val="20"/>
                <w:szCs w:val="20"/>
              </w:rPr>
            </w:pPr>
            <w:r w:rsidRPr="005B6B87">
              <w:rPr>
                <w:rFonts w:ascii="Nunito Sans" w:eastAsiaTheme="minorEastAsia" w:hAnsi="Nunito Sans"/>
                <w:sz w:val="20"/>
                <w:szCs w:val="20"/>
              </w:rPr>
              <w:t xml:space="preserve">(žr. </w:t>
            </w:r>
            <w:r w:rsidR="17D6981F" w:rsidRPr="005B6B87">
              <w:rPr>
                <w:rFonts w:ascii="Nunito Sans" w:eastAsiaTheme="minorEastAsia" w:hAnsi="Nunito Sans"/>
                <w:sz w:val="20"/>
                <w:szCs w:val="20"/>
              </w:rPr>
              <w:t>Sutarties Specialiųjų sąlygų 1.1</w:t>
            </w:r>
            <w:r w:rsidR="1FCB07C9" w:rsidRPr="005B6B87">
              <w:rPr>
                <w:rFonts w:ascii="Nunito Sans" w:eastAsiaTheme="minorEastAsia" w:hAnsi="Nunito Sans"/>
                <w:sz w:val="20"/>
                <w:szCs w:val="20"/>
              </w:rPr>
              <w:t>; 3.3.4.</w:t>
            </w:r>
            <w:r w:rsidR="17D6981F" w:rsidRPr="005B6B87">
              <w:rPr>
                <w:rFonts w:ascii="Nunito Sans" w:eastAsiaTheme="minorEastAsia" w:hAnsi="Nunito Sans"/>
                <w:sz w:val="20"/>
                <w:szCs w:val="20"/>
              </w:rPr>
              <w:t xml:space="preserve"> punkta</w:t>
            </w:r>
            <w:r w:rsidR="4EFAB6EC" w:rsidRPr="005B6B87">
              <w:rPr>
                <w:rFonts w:ascii="Nunito Sans" w:eastAsiaTheme="minorEastAsia" w:hAnsi="Nunito Sans"/>
                <w:sz w:val="20"/>
                <w:szCs w:val="20"/>
              </w:rPr>
              <w:t>i</w:t>
            </w:r>
            <w:r w:rsidR="7EA4CDD3" w:rsidRPr="005B6B87">
              <w:rPr>
                <w:rFonts w:ascii="Nunito Sans" w:eastAsiaTheme="minorEastAsia" w:hAnsi="Nunito Sans"/>
                <w:sz w:val="20"/>
                <w:szCs w:val="20"/>
              </w:rPr>
              <w:t>; TECHNINĖ SPECIFIKACIJA 1.1. punktas</w:t>
            </w:r>
            <w:r w:rsidR="2F63C12D" w:rsidRPr="005B6B87">
              <w:rPr>
                <w:rFonts w:ascii="Nunito Sans" w:eastAsiaTheme="minorEastAsia" w:hAnsi="Nunito Sans"/>
                <w:sz w:val="20"/>
                <w:szCs w:val="20"/>
              </w:rPr>
              <w:t xml:space="preserve"> ir 18 skyrius)</w:t>
            </w:r>
          </w:p>
        </w:tc>
      </w:tr>
      <w:tr w:rsidR="65C3658A" w:rsidRPr="005B6B87" w14:paraId="517CEE79" w14:textId="77777777" w:rsidTr="005B6B87">
        <w:trPr>
          <w:trHeight w:val="1406"/>
        </w:trPr>
        <w:tc>
          <w:tcPr>
            <w:tcW w:w="5665" w:type="dxa"/>
            <w:vAlign w:val="center"/>
          </w:tcPr>
          <w:p w14:paraId="3B9D4CE6" w14:textId="4FB7307F" w:rsidR="3933B19F" w:rsidRPr="005B6B87" w:rsidRDefault="3933B19F" w:rsidP="65C3658A">
            <w:pPr>
              <w:jc w:val="both"/>
              <w:rPr>
                <w:rFonts w:ascii="Nunito Sans" w:hAnsi="Nunito Sans"/>
                <w:sz w:val="20"/>
                <w:szCs w:val="20"/>
              </w:rPr>
            </w:pPr>
            <w:r w:rsidRPr="005B6B87">
              <w:rPr>
                <w:rFonts w:ascii="Nunito Sans" w:eastAsia="Nunito Sans" w:hAnsi="Nunito Sans" w:cs="Nunito Sans"/>
                <w:sz w:val="20"/>
                <w:szCs w:val="20"/>
              </w:rPr>
              <w:t>5. Prašome patvirtinti, kad Statytojas pateiks redaguojamu formatu (</w:t>
            </w:r>
            <w:proofErr w:type="spellStart"/>
            <w:r w:rsidRPr="005B6B87">
              <w:rPr>
                <w:rFonts w:ascii="Nunito Sans" w:eastAsia="Nunito Sans" w:hAnsi="Nunito Sans" w:cs="Nunito Sans"/>
                <w:sz w:val="20"/>
                <w:szCs w:val="20"/>
              </w:rPr>
              <w:t>doc</w:t>
            </w:r>
            <w:proofErr w:type="spellEnd"/>
            <w:r w:rsidRPr="005B6B87">
              <w:rPr>
                <w:rFonts w:ascii="Nunito Sans" w:eastAsia="Nunito Sans" w:hAnsi="Nunito Sans" w:cs="Nunito Sans"/>
                <w:sz w:val="20"/>
                <w:szCs w:val="20"/>
              </w:rPr>
              <w:t xml:space="preserve">, </w:t>
            </w:r>
            <w:proofErr w:type="spellStart"/>
            <w:r w:rsidRPr="005B6B87">
              <w:rPr>
                <w:rFonts w:ascii="Nunito Sans" w:eastAsia="Nunito Sans" w:hAnsi="Nunito Sans" w:cs="Nunito Sans"/>
                <w:sz w:val="20"/>
                <w:szCs w:val="20"/>
              </w:rPr>
              <w:t>dwg</w:t>
            </w:r>
            <w:proofErr w:type="spellEnd"/>
            <w:r w:rsidRPr="005B6B87">
              <w:rPr>
                <w:rFonts w:ascii="Nunito Sans" w:eastAsia="Nunito Sans" w:hAnsi="Nunito Sans" w:cs="Nunito Sans"/>
                <w:sz w:val="20"/>
                <w:szCs w:val="20"/>
              </w:rPr>
              <w:t xml:space="preserve">, </w:t>
            </w:r>
            <w:proofErr w:type="spellStart"/>
            <w:r w:rsidRPr="005B6B87">
              <w:rPr>
                <w:rFonts w:ascii="Nunito Sans" w:eastAsia="Nunito Sans" w:hAnsi="Nunito Sans" w:cs="Nunito Sans"/>
                <w:sz w:val="20"/>
                <w:szCs w:val="20"/>
              </w:rPr>
              <w:t>ifc</w:t>
            </w:r>
            <w:proofErr w:type="spellEnd"/>
            <w:r w:rsidRPr="005B6B87">
              <w:rPr>
                <w:rFonts w:ascii="Nunito Sans" w:eastAsia="Nunito Sans" w:hAnsi="Nunito Sans" w:cs="Nunito Sans"/>
                <w:sz w:val="20"/>
                <w:szCs w:val="20"/>
              </w:rPr>
              <w:t xml:space="preserve"> ir kt.) PP stadijos projekto bylas.</w:t>
            </w:r>
          </w:p>
        </w:tc>
        <w:tc>
          <w:tcPr>
            <w:tcW w:w="5103" w:type="dxa"/>
            <w:vAlign w:val="center"/>
          </w:tcPr>
          <w:p w14:paraId="3F9BE1FF" w14:textId="06EA8BA1" w:rsidR="115BC343" w:rsidRPr="005B6B87" w:rsidRDefault="115BC343" w:rsidP="005B6B87">
            <w:pPr>
              <w:jc w:val="both"/>
              <w:rPr>
                <w:rFonts w:ascii="Nunito Sans" w:hAnsi="Nunito Sans"/>
                <w:sz w:val="20"/>
                <w:szCs w:val="20"/>
              </w:rPr>
            </w:pPr>
            <w:r w:rsidRPr="005B6B87">
              <w:rPr>
                <w:rFonts w:ascii="Nunito Sans" w:hAnsi="Nunito Sans"/>
                <w:sz w:val="20"/>
                <w:szCs w:val="20"/>
              </w:rPr>
              <w:t>Statytojas pateiks turimą PP medžiagą atitinkamais formatais tolimesniam darbui.</w:t>
            </w:r>
          </w:p>
        </w:tc>
      </w:tr>
    </w:tbl>
    <w:p w14:paraId="2FBFBD0B" w14:textId="77777777" w:rsidR="00BB5099" w:rsidRPr="00FF052E" w:rsidRDefault="00BB5099">
      <w:pPr>
        <w:rPr>
          <w:rFonts w:ascii="Nunito Sans" w:hAnsi="Nunito Sans"/>
          <w:sz w:val="19"/>
          <w:szCs w:val="19"/>
        </w:rPr>
      </w:pPr>
    </w:p>
    <w:sectPr w:rsidR="00BB5099" w:rsidRPr="00FF052E" w:rsidSect="00082441">
      <w:pgSz w:w="11906" w:h="16838"/>
      <w:pgMar w:top="1134"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Nunito Sans">
    <w:altName w:val="Nunito Sans"/>
    <w:charset w:val="BA"/>
    <w:family w:val="auto"/>
    <w:pitch w:val="variable"/>
    <w:sig w:usb0="A00002FF" w:usb1="5000204B"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C0483"/>
    <w:multiLevelType w:val="multilevel"/>
    <w:tmpl w:val="84342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8944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41"/>
    <w:rsid w:val="0003102F"/>
    <w:rsid w:val="000333DB"/>
    <w:rsid w:val="000402CB"/>
    <w:rsid w:val="000711E3"/>
    <w:rsid w:val="00082441"/>
    <w:rsid w:val="000943CD"/>
    <w:rsid w:val="000B24A4"/>
    <w:rsid w:val="000C6D85"/>
    <w:rsid w:val="000F2AC4"/>
    <w:rsid w:val="000F7820"/>
    <w:rsid w:val="00155DD5"/>
    <w:rsid w:val="00156904"/>
    <w:rsid w:val="001A399F"/>
    <w:rsid w:val="0021089C"/>
    <w:rsid w:val="00214F6D"/>
    <w:rsid w:val="00282A20"/>
    <w:rsid w:val="00287AB1"/>
    <w:rsid w:val="002D7071"/>
    <w:rsid w:val="002F27C2"/>
    <w:rsid w:val="00317215"/>
    <w:rsid w:val="00372C80"/>
    <w:rsid w:val="0039756C"/>
    <w:rsid w:val="003A33CA"/>
    <w:rsid w:val="003B2A80"/>
    <w:rsid w:val="003E44A1"/>
    <w:rsid w:val="003E5AFF"/>
    <w:rsid w:val="003F5705"/>
    <w:rsid w:val="004014CB"/>
    <w:rsid w:val="0046037C"/>
    <w:rsid w:val="004A1887"/>
    <w:rsid w:val="004C1DE4"/>
    <w:rsid w:val="004C3BBF"/>
    <w:rsid w:val="004C75F4"/>
    <w:rsid w:val="00506DB8"/>
    <w:rsid w:val="00534529"/>
    <w:rsid w:val="00562319"/>
    <w:rsid w:val="00581F52"/>
    <w:rsid w:val="005B6B87"/>
    <w:rsid w:val="005E5468"/>
    <w:rsid w:val="005F57CD"/>
    <w:rsid w:val="00613656"/>
    <w:rsid w:val="00680243"/>
    <w:rsid w:val="006A756A"/>
    <w:rsid w:val="006B754E"/>
    <w:rsid w:val="006C17D7"/>
    <w:rsid w:val="006C2CDF"/>
    <w:rsid w:val="0071082F"/>
    <w:rsid w:val="00716E74"/>
    <w:rsid w:val="0079664A"/>
    <w:rsid w:val="007A00B4"/>
    <w:rsid w:val="007C2EEC"/>
    <w:rsid w:val="008108EF"/>
    <w:rsid w:val="0086102D"/>
    <w:rsid w:val="00864982"/>
    <w:rsid w:val="008E1145"/>
    <w:rsid w:val="008E6A15"/>
    <w:rsid w:val="009601E3"/>
    <w:rsid w:val="00962502"/>
    <w:rsid w:val="00985E55"/>
    <w:rsid w:val="009E0487"/>
    <w:rsid w:val="00A1756F"/>
    <w:rsid w:val="00A22B63"/>
    <w:rsid w:val="00A746E4"/>
    <w:rsid w:val="00A80FB5"/>
    <w:rsid w:val="00AF1DAB"/>
    <w:rsid w:val="00B05ABC"/>
    <w:rsid w:val="00B224C1"/>
    <w:rsid w:val="00B40222"/>
    <w:rsid w:val="00B6236C"/>
    <w:rsid w:val="00B64441"/>
    <w:rsid w:val="00BA103C"/>
    <w:rsid w:val="00BB5099"/>
    <w:rsid w:val="00C45B56"/>
    <w:rsid w:val="00C66EC2"/>
    <w:rsid w:val="00C70680"/>
    <w:rsid w:val="00CD3388"/>
    <w:rsid w:val="00D35CF3"/>
    <w:rsid w:val="00D36005"/>
    <w:rsid w:val="00D54C35"/>
    <w:rsid w:val="00D97DE6"/>
    <w:rsid w:val="00DA3716"/>
    <w:rsid w:val="00DB48E9"/>
    <w:rsid w:val="00DC3975"/>
    <w:rsid w:val="00DE4E3F"/>
    <w:rsid w:val="00E02F28"/>
    <w:rsid w:val="00E742CC"/>
    <w:rsid w:val="00E7752A"/>
    <w:rsid w:val="00EE0BFC"/>
    <w:rsid w:val="00F05ADA"/>
    <w:rsid w:val="00F2112F"/>
    <w:rsid w:val="00F66806"/>
    <w:rsid w:val="00FF052E"/>
    <w:rsid w:val="04ABD982"/>
    <w:rsid w:val="0674C654"/>
    <w:rsid w:val="081D3B68"/>
    <w:rsid w:val="111AAF0A"/>
    <w:rsid w:val="115BC343"/>
    <w:rsid w:val="11CDF56E"/>
    <w:rsid w:val="152824C2"/>
    <w:rsid w:val="15B797C0"/>
    <w:rsid w:val="15C6803A"/>
    <w:rsid w:val="1766482D"/>
    <w:rsid w:val="17D6981F"/>
    <w:rsid w:val="1810299A"/>
    <w:rsid w:val="186330CD"/>
    <w:rsid w:val="1C3417B1"/>
    <w:rsid w:val="1F3AB177"/>
    <w:rsid w:val="1FCB07C9"/>
    <w:rsid w:val="202CB10F"/>
    <w:rsid w:val="2650181D"/>
    <w:rsid w:val="272C1736"/>
    <w:rsid w:val="2BE73864"/>
    <w:rsid w:val="2C34B3F2"/>
    <w:rsid w:val="2F63C12D"/>
    <w:rsid w:val="3046027D"/>
    <w:rsid w:val="336BA1AD"/>
    <w:rsid w:val="33E5C062"/>
    <w:rsid w:val="358B8174"/>
    <w:rsid w:val="373CC1F4"/>
    <w:rsid w:val="37EB1BC1"/>
    <w:rsid w:val="386372D9"/>
    <w:rsid w:val="3933B19F"/>
    <w:rsid w:val="3DE806B1"/>
    <w:rsid w:val="3E27DEF6"/>
    <w:rsid w:val="40CC0FFC"/>
    <w:rsid w:val="41CC94B0"/>
    <w:rsid w:val="42661AC0"/>
    <w:rsid w:val="43F40564"/>
    <w:rsid w:val="44497F3F"/>
    <w:rsid w:val="453459B3"/>
    <w:rsid w:val="47805713"/>
    <w:rsid w:val="47FF8D08"/>
    <w:rsid w:val="48B6B0D1"/>
    <w:rsid w:val="496940CB"/>
    <w:rsid w:val="4974D925"/>
    <w:rsid w:val="4BC5AF08"/>
    <w:rsid w:val="4E945FCE"/>
    <w:rsid w:val="4EFAB6EC"/>
    <w:rsid w:val="51DED1B9"/>
    <w:rsid w:val="52C1A6EB"/>
    <w:rsid w:val="55563116"/>
    <w:rsid w:val="562A7372"/>
    <w:rsid w:val="5B24629B"/>
    <w:rsid w:val="5C3AB5AA"/>
    <w:rsid w:val="5D2B5668"/>
    <w:rsid w:val="5ED33521"/>
    <w:rsid w:val="60FADBBD"/>
    <w:rsid w:val="6259D800"/>
    <w:rsid w:val="63AF2688"/>
    <w:rsid w:val="646ECD36"/>
    <w:rsid w:val="65C3658A"/>
    <w:rsid w:val="6B208EFA"/>
    <w:rsid w:val="6CA883D3"/>
    <w:rsid w:val="6E41DD82"/>
    <w:rsid w:val="71E6CE3E"/>
    <w:rsid w:val="72183AB2"/>
    <w:rsid w:val="7576644E"/>
    <w:rsid w:val="75DB94CE"/>
    <w:rsid w:val="79C83F64"/>
    <w:rsid w:val="79CD215F"/>
    <w:rsid w:val="7B45C531"/>
    <w:rsid w:val="7CDCE2E0"/>
    <w:rsid w:val="7DB48BBC"/>
    <w:rsid w:val="7DC01C03"/>
    <w:rsid w:val="7EA4CD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321E"/>
  <w15:chartTrackingRefBased/>
  <w15:docId w15:val="{348C203D-57DC-410E-84D6-075600D4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441"/>
    <w:rPr>
      <w:rFonts w:eastAsiaTheme="majorEastAsia" w:cstheme="majorBidi"/>
      <w:color w:val="272727" w:themeColor="text1" w:themeTint="D8"/>
    </w:rPr>
  </w:style>
  <w:style w:type="paragraph" w:styleId="Title">
    <w:name w:val="Title"/>
    <w:basedOn w:val="Normal"/>
    <w:next w:val="Normal"/>
    <w:link w:val="TitleChar"/>
    <w:uiPriority w:val="10"/>
    <w:qFormat/>
    <w:rsid w:val="00B64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441"/>
    <w:pPr>
      <w:spacing w:before="160"/>
      <w:jc w:val="center"/>
    </w:pPr>
    <w:rPr>
      <w:i/>
      <w:iCs/>
      <w:color w:val="404040" w:themeColor="text1" w:themeTint="BF"/>
    </w:rPr>
  </w:style>
  <w:style w:type="character" w:customStyle="1" w:styleId="QuoteChar">
    <w:name w:val="Quote Char"/>
    <w:basedOn w:val="DefaultParagraphFont"/>
    <w:link w:val="Quote"/>
    <w:uiPriority w:val="29"/>
    <w:rsid w:val="00B64441"/>
    <w:rPr>
      <w:i/>
      <w:iCs/>
      <w:color w:val="404040" w:themeColor="text1" w:themeTint="BF"/>
    </w:rPr>
  </w:style>
  <w:style w:type="paragraph" w:styleId="ListParagraph">
    <w:name w:val="List Paragraph"/>
    <w:basedOn w:val="Normal"/>
    <w:uiPriority w:val="34"/>
    <w:qFormat/>
    <w:rsid w:val="00B64441"/>
    <w:pPr>
      <w:ind w:left="720"/>
      <w:contextualSpacing/>
    </w:pPr>
  </w:style>
  <w:style w:type="character" w:styleId="IntenseEmphasis">
    <w:name w:val="Intense Emphasis"/>
    <w:basedOn w:val="DefaultParagraphFont"/>
    <w:uiPriority w:val="21"/>
    <w:qFormat/>
    <w:rsid w:val="00B64441"/>
    <w:rPr>
      <w:i/>
      <w:iCs/>
      <w:color w:val="0F4761" w:themeColor="accent1" w:themeShade="BF"/>
    </w:rPr>
  </w:style>
  <w:style w:type="paragraph" w:styleId="IntenseQuote">
    <w:name w:val="Intense Quote"/>
    <w:basedOn w:val="Normal"/>
    <w:next w:val="Normal"/>
    <w:link w:val="IntenseQuoteChar"/>
    <w:uiPriority w:val="30"/>
    <w:qFormat/>
    <w:rsid w:val="00B64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441"/>
    <w:rPr>
      <w:i/>
      <w:iCs/>
      <w:color w:val="0F4761" w:themeColor="accent1" w:themeShade="BF"/>
    </w:rPr>
  </w:style>
  <w:style w:type="character" w:styleId="IntenseReference">
    <w:name w:val="Intense Reference"/>
    <w:basedOn w:val="DefaultParagraphFont"/>
    <w:uiPriority w:val="32"/>
    <w:qFormat/>
    <w:rsid w:val="00B64441"/>
    <w:rPr>
      <w:b/>
      <w:bCs/>
      <w:smallCaps/>
      <w:color w:val="0F4761" w:themeColor="accent1" w:themeShade="BF"/>
      <w:spacing w:val="5"/>
    </w:rPr>
  </w:style>
  <w:style w:type="table" w:styleId="TableGrid">
    <w:name w:val="Table Grid"/>
    <w:basedOn w:val="TableNormal"/>
    <w:uiPriority w:val="39"/>
    <w:rsid w:val="00B6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ADA"/>
    <w:rPr>
      <w:sz w:val="16"/>
      <w:szCs w:val="16"/>
    </w:rPr>
  </w:style>
  <w:style w:type="paragraph" w:styleId="CommentText">
    <w:name w:val="annotation text"/>
    <w:basedOn w:val="Normal"/>
    <w:link w:val="CommentTextChar"/>
    <w:uiPriority w:val="99"/>
    <w:unhideWhenUsed/>
    <w:rsid w:val="00F05ADA"/>
    <w:pPr>
      <w:spacing w:line="240" w:lineRule="auto"/>
    </w:pPr>
    <w:rPr>
      <w:sz w:val="20"/>
      <w:szCs w:val="20"/>
    </w:rPr>
  </w:style>
  <w:style w:type="character" w:customStyle="1" w:styleId="CommentTextChar">
    <w:name w:val="Comment Text Char"/>
    <w:basedOn w:val="DefaultParagraphFont"/>
    <w:link w:val="CommentText"/>
    <w:uiPriority w:val="99"/>
    <w:rsid w:val="00F05ADA"/>
    <w:rPr>
      <w:sz w:val="20"/>
      <w:szCs w:val="20"/>
    </w:rPr>
  </w:style>
  <w:style w:type="paragraph" w:styleId="CommentSubject">
    <w:name w:val="annotation subject"/>
    <w:basedOn w:val="CommentText"/>
    <w:next w:val="CommentText"/>
    <w:link w:val="CommentSubjectChar"/>
    <w:uiPriority w:val="99"/>
    <w:semiHidden/>
    <w:unhideWhenUsed/>
    <w:rsid w:val="00F05ADA"/>
    <w:rPr>
      <w:b/>
      <w:bCs/>
    </w:rPr>
  </w:style>
  <w:style w:type="character" w:customStyle="1" w:styleId="CommentSubjectChar">
    <w:name w:val="Comment Subject Char"/>
    <w:basedOn w:val="CommentTextChar"/>
    <w:link w:val="CommentSubject"/>
    <w:uiPriority w:val="99"/>
    <w:semiHidden/>
    <w:rsid w:val="00F05A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1782</Words>
  <Characters>1017</Characters>
  <Application>Microsoft Office Word</Application>
  <DocSecurity>0</DocSecurity>
  <Lines>8</Lines>
  <Paragraphs>5</Paragraphs>
  <ScaleCrop>false</ScaleCrop>
  <Company>AB AmberGrid</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Kiseliova</dc:creator>
  <cp:keywords/>
  <dc:description/>
  <cp:lastModifiedBy>Anna Kiseliova</cp:lastModifiedBy>
  <cp:revision>2</cp:revision>
  <dcterms:created xsi:type="dcterms:W3CDTF">2026-06-11T08:26:00Z</dcterms:created>
  <dcterms:modified xsi:type="dcterms:W3CDTF">2026-06-11T08:26:00Z</dcterms:modified>
</cp:coreProperties>
</file>