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CDBD" w14:textId="77777777" w:rsidR="00604CE4" w:rsidRPr="00604CE4" w:rsidRDefault="00604CE4" w:rsidP="00604CE4">
      <w:pPr>
        <w:jc w:val="center"/>
        <w:rPr>
          <w:rFonts w:ascii="Times New Roman" w:hAnsi="Times New Roman" w:cs="Times New Roman"/>
          <w:b/>
          <w:bCs/>
          <w:sz w:val="22"/>
          <w:szCs w:val="22"/>
        </w:rPr>
      </w:pPr>
      <w:bookmarkStart w:id="0" w:name="_Hlk525638108"/>
      <w:r w:rsidRPr="00604CE4">
        <w:rPr>
          <w:rFonts w:ascii="Times New Roman" w:hAnsi="Times New Roman" w:cs="Times New Roman"/>
          <w:b/>
          <w:bCs/>
          <w:sz w:val="22"/>
          <w:szCs w:val="22"/>
        </w:rPr>
        <w:t>KVIETIMAS DALYVAUTI RINKOS KONSULTACIJOJE</w:t>
      </w:r>
    </w:p>
    <w:p w14:paraId="078B96D1" w14:textId="77777777" w:rsidR="00604CE4" w:rsidRPr="00604CE4" w:rsidRDefault="00604CE4" w:rsidP="00604CE4">
      <w:pPr>
        <w:jc w:val="center"/>
        <w:rPr>
          <w:rFonts w:ascii="Times New Roman" w:hAnsi="Times New Roman" w:cs="Times New Roman"/>
          <w:b/>
          <w:bCs/>
          <w:sz w:val="22"/>
          <w:szCs w:val="22"/>
        </w:rPr>
      </w:pPr>
      <w:r w:rsidRPr="00604CE4">
        <w:rPr>
          <w:rFonts w:ascii="Times New Roman" w:hAnsi="Times New Roman" w:cs="Times New Roman"/>
          <w:b/>
          <w:bCs/>
          <w:sz w:val="22"/>
          <w:szCs w:val="22"/>
        </w:rPr>
        <w:t>DĖL</w:t>
      </w:r>
      <w:bookmarkEnd w:id="0"/>
      <w:r w:rsidRPr="00604CE4">
        <w:rPr>
          <w:rFonts w:ascii="Times New Roman" w:hAnsi="Times New Roman" w:cs="Times New Roman"/>
          <w:b/>
          <w:bCs/>
          <w:sz w:val="22"/>
          <w:szCs w:val="22"/>
        </w:rPr>
        <w:t xml:space="preserve"> RENGINIŲ SKIRTŲ LIETUVOS PIRMININKAVIMO EUROPOS SĄJUNGOS TARYBAI ORGANIZAVIMO IR APTARNAVIMO </w:t>
      </w:r>
      <w:r w:rsidRPr="00604CE4">
        <w:rPr>
          <w:rFonts w:ascii="Times New Roman" w:hAnsi="Times New Roman" w:cs="Times New Roman"/>
          <w:b/>
          <w:sz w:val="22"/>
          <w:szCs w:val="22"/>
        </w:rPr>
        <w:t xml:space="preserve">PASLAUGŲ </w:t>
      </w:r>
      <w:r w:rsidRPr="00604CE4">
        <w:rPr>
          <w:rFonts w:ascii="Times New Roman" w:hAnsi="Times New Roman" w:cs="Times New Roman"/>
          <w:b/>
          <w:bCs/>
          <w:sz w:val="22"/>
          <w:szCs w:val="22"/>
        </w:rPr>
        <w:t>VIEŠOJO PIRKIMO</w:t>
      </w:r>
    </w:p>
    <w:p w14:paraId="11258A86" w14:textId="77777777" w:rsidR="00604CE4" w:rsidRPr="00604CE4" w:rsidRDefault="00604CE4" w:rsidP="00604CE4">
      <w:pPr>
        <w:rPr>
          <w:rFonts w:ascii="Times New Roman" w:hAnsi="Times New Roman" w:cs="Times New Roman"/>
          <w:b/>
          <w:sz w:val="22"/>
          <w:szCs w:val="22"/>
        </w:rPr>
      </w:pPr>
    </w:p>
    <w:p w14:paraId="683FEBCD"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Perkančioji organizacija – Lietuvos Respublikos žemės ūkio ministerija (toliau – PO) 2026 m. planuoja vykdyti renginių skirtų Lietuvos pirmininkavimo Europos Sąjungos Tarybai organizavimo ir aptarnavimo paslaugų</w:t>
      </w:r>
      <w:r w:rsidRPr="00604CE4">
        <w:rPr>
          <w:rFonts w:ascii="Times New Roman" w:hAnsi="Times New Roman" w:cs="Times New Roman"/>
          <w:b/>
          <w:bCs/>
          <w:sz w:val="22"/>
          <w:szCs w:val="22"/>
        </w:rPr>
        <w:t xml:space="preserve"> </w:t>
      </w:r>
      <w:r w:rsidRPr="00604CE4">
        <w:rPr>
          <w:rFonts w:ascii="Times New Roman" w:hAnsi="Times New Roman" w:cs="Times New Roman"/>
          <w:sz w:val="22"/>
          <w:szCs w:val="22"/>
        </w:rPr>
        <w:t>viešąjį pirkimą (toliau – Pirkimas).</w:t>
      </w:r>
    </w:p>
    <w:p w14:paraId="77460F5B" w14:textId="77777777" w:rsidR="00604CE4" w:rsidRPr="00604CE4" w:rsidRDefault="00604CE4" w:rsidP="00604CE4">
      <w:pPr>
        <w:ind w:firstLine="851"/>
        <w:jc w:val="both"/>
        <w:rPr>
          <w:rFonts w:ascii="Times New Roman" w:hAnsi="Times New Roman" w:cs="Times New Roman"/>
          <w:b/>
          <w:bCs/>
          <w:sz w:val="22"/>
          <w:szCs w:val="22"/>
        </w:rPr>
      </w:pPr>
      <w:r w:rsidRPr="00604CE4">
        <w:rPr>
          <w:rFonts w:ascii="Times New Roman" w:hAnsi="Times New Roman" w:cs="Times New Roman"/>
          <w:b/>
          <w:bCs/>
          <w:sz w:val="22"/>
          <w:szCs w:val="22"/>
        </w:rPr>
        <w:t>Rinkos konsultacijos</w:t>
      </w:r>
      <w:r w:rsidRPr="00604CE4">
        <w:rPr>
          <w:rFonts w:ascii="Times New Roman" w:hAnsi="Times New Roman" w:cs="Times New Roman"/>
          <w:sz w:val="22"/>
          <w:szCs w:val="22"/>
        </w:rPr>
        <w:t xml:space="preserve"> </w:t>
      </w:r>
      <w:r w:rsidRPr="00604CE4">
        <w:rPr>
          <w:rFonts w:ascii="Times New Roman" w:hAnsi="Times New Roman" w:cs="Times New Roman"/>
          <w:b/>
          <w:bCs/>
          <w:sz w:val="22"/>
          <w:szCs w:val="22"/>
        </w:rPr>
        <w:t xml:space="preserve">tikslas </w:t>
      </w:r>
      <w:r w:rsidRPr="00604CE4">
        <w:rPr>
          <w:rFonts w:ascii="Times New Roman" w:hAnsi="Times New Roman" w:cs="Times New Roman"/>
          <w:sz w:val="22"/>
          <w:szCs w:val="22"/>
        </w:rPr>
        <w:t>– išanalizuoti rinką, išsiaiškinti įvairius su Pirkimo objektu susijusius klausimus bei informuoti rinkos dalyvius apie ketinimą vykdyti Pirkimą, bei jam keliamus reikalavimus.</w:t>
      </w:r>
    </w:p>
    <w:p w14:paraId="55C807E0"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 xml:space="preserve">Vadovaudamiesi Lietuvos Respublikos viešųjų pirkimų įstatymo (toliau – VPĮ) 27 str. 1 d. bei siekiant užtikrinti konkurenciją ir įsigyti PO poreikius atitinkančias prekes ir paslaugas, PO kviečia dalyvauti Pirkimo rinkos konsultacijoje (toliau – Konsultacija), kuri vykdoma Centrinės viešųjų pirkimų sistemos (toliau – CVP IS) priemonėmis ir pasiūlymus pateikti iki skelbime nurodytos dienos, t. y. iki </w:t>
      </w:r>
      <w:r w:rsidRPr="00604CE4">
        <w:rPr>
          <w:rFonts w:ascii="Times New Roman" w:hAnsi="Times New Roman" w:cs="Times New Roman"/>
          <w:b/>
          <w:iCs/>
          <w:sz w:val="22"/>
          <w:szCs w:val="22"/>
        </w:rPr>
        <w:t>2026 m. birželio 19 d. 16.00 val.</w:t>
      </w:r>
    </w:p>
    <w:p w14:paraId="75E2F2EA"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Pateikiame klausimų sąrašą (priedas Nr. 5) dėl Pirkimo objekto, įskaitant techninės specifikacijos projektą (priedas Nr. 1), kvalifikacijos reikalavimų projektą (priedas Nr. 2), Sutarties sąlygų projektą (priedas Nr. 3) bei Pasiūlymų vertinimo kriterijus ir metodiką (Priedas Nr. 4). Rinkos dalyviai iki CVP IS nurodyto termino pabaigos kviečiami pateikti atsakymus į klausimyne pateiktus klausimus, teikti savo siūlymus, rekomendacijas bei įžvalgas. Informaciją prašome pateikti naudojantis CVP IS susirašinėjimo funkcija (atsiųsti pranešimą, prisegant klausimyną su atsakymais, ir, jei reikalinga, kitais dokumentais).</w:t>
      </w:r>
    </w:p>
    <w:p w14:paraId="1E8DF358"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Rinkos dalyviai iki CVP IS nurodyto termino pabaigos kviečiami pateikti klausimus, teikti savo siūlymus, rekomendacijas bei įžvalgas. Informaciją prašome pateikti naudojantis CVP IS susirašinėjimo funkcija (atsiųsti pranešimą, prisegant klausimus / siūlymus, ir, jei reikalinga, kitais dokumentais).</w:t>
      </w:r>
    </w:p>
    <w:p w14:paraId="46BD4605"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w:t>
      </w:r>
    </w:p>
    <w:p w14:paraId="6633F97E"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72F74225"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Pateikti pasiūlymai bus vertinami konfidencialiai, PO, gavusi pastabas ir pasiūlymus dėl paskelbtos rinkos konsultacijos, juos išnagrinės bei įvertins pateiktų pastabų ir pasiūlymų svarbą bei atitiktį PO poreikiams ir apibendrintą informaciją (išskyrus informaciją apie kainas) skelbs CVP IS prie skelbimo apie šią rinkos konsultaciją.</w:t>
      </w:r>
    </w:p>
    <w:p w14:paraId="12B16A73"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PO, skelbdama Pirkimą, neįsipareigoja atsižvelgti į visus pateiktus dalyvių siūlymus, pastabas ir įžvalgas.</w:t>
      </w:r>
    </w:p>
    <w:p w14:paraId="3B4D6B8F"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Klausimai, rekomendacijos ar siūlymai, gauti pasibaigus aukščiau nurodytam terminui gali būti nenagrinėjami.</w:t>
      </w:r>
    </w:p>
    <w:p w14:paraId="2424261E"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Susitikimai su dalyviais nebus organizuojami.</w:t>
      </w:r>
    </w:p>
    <w:p w14:paraId="19D70639" w14:textId="77777777" w:rsidR="00604CE4" w:rsidRPr="00604CE4" w:rsidRDefault="00604CE4" w:rsidP="00604CE4">
      <w:pPr>
        <w:ind w:firstLine="851"/>
        <w:jc w:val="both"/>
        <w:rPr>
          <w:rFonts w:ascii="Times New Roman" w:hAnsi="Times New Roman" w:cs="Times New Roman"/>
          <w:sz w:val="22"/>
          <w:szCs w:val="22"/>
        </w:rPr>
      </w:pPr>
    </w:p>
    <w:p w14:paraId="69166A75"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lastRenderedPageBreak/>
        <w:t>PRIEDAI:</w:t>
      </w:r>
    </w:p>
    <w:p w14:paraId="1BFEFBB9"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1. Priedas Nr. 1 – Techninės specifikacijos projektas.</w:t>
      </w:r>
    </w:p>
    <w:p w14:paraId="200BAD4B"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lang w:val="pt-BR"/>
        </w:rPr>
        <w:t>2</w:t>
      </w:r>
      <w:r w:rsidRPr="00604CE4">
        <w:rPr>
          <w:rFonts w:ascii="Times New Roman" w:hAnsi="Times New Roman" w:cs="Times New Roman"/>
          <w:sz w:val="22"/>
          <w:szCs w:val="22"/>
        </w:rPr>
        <w:t xml:space="preserve">. Priedas Nr. </w:t>
      </w:r>
      <w:r w:rsidRPr="00604CE4">
        <w:rPr>
          <w:rFonts w:ascii="Times New Roman" w:hAnsi="Times New Roman" w:cs="Times New Roman"/>
          <w:sz w:val="22"/>
          <w:szCs w:val="22"/>
          <w:lang w:val="pt-BR"/>
        </w:rPr>
        <w:t>2</w:t>
      </w:r>
      <w:r w:rsidRPr="00604CE4">
        <w:rPr>
          <w:rFonts w:ascii="Times New Roman" w:hAnsi="Times New Roman" w:cs="Times New Roman"/>
          <w:sz w:val="22"/>
          <w:szCs w:val="22"/>
        </w:rPr>
        <w:t xml:space="preserve"> – Kvalifikacijos reikalavimų projektas.</w:t>
      </w:r>
    </w:p>
    <w:p w14:paraId="7B03DBDA"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3. Priedas Nr. 3 – Sutarties sąlygų projektas.</w:t>
      </w:r>
    </w:p>
    <w:p w14:paraId="5E163095" w14:textId="77777777" w:rsidR="00604CE4"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rPr>
        <w:t>4. Priedas Nr. 4 – Pasiūlymų vertinimo kriterijai ir metodika.</w:t>
      </w:r>
    </w:p>
    <w:p w14:paraId="449BB6C0" w14:textId="481C5911" w:rsidR="003738BA" w:rsidRPr="00604CE4" w:rsidRDefault="00604CE4" w:rsidP="00604CE4">
      <w:pPr>
        <w:ind w:firstLine="851"/>
        <w:jc w:val="both"/>
        <w:rPr>
          <w:rFonts w:ascii="Times New Roman" w:hAnsi="Times New Roman" w:cs="Times New Roman"/>
          <w:sz w:val="22"/>
          <w:szCs w:val="22"/>
        </w:rPr>
      </w:pPr>
      <w:r w:rsidRPr="00604CE4">
        <w:rPr>
          <w:rFonts w:ascii="Times New Roman" w:hAnsi="Times New Roman" w:cs="Times New Roman"/>
          <w:sz w:val="22"/>
          <w:szCs w:val="22"/>
          <w:lang w:val="pt-BR"/>
        </w:rPr>
        <w:t>5. Priedas Nr. 5 – Rinkos k</w:t>
      </w:r>
      <w:r w:rsidRPr="00604CE4">
        <w:rPr>
          <w:rFonts w:ascii="Times New Roman" w:hAnsi="Times New Roman" w:cs="Times New Roman"/>
          <w:sz w:val="22"/>
          <w:szCs w:val="22"/>
          <w:lang w:val="pt-BR"/>
        </w:rPr>
        <w:t>onsultacijos klausimynas.</w:t>
      </w:r>
    </w:p>
    <w:sectPr w:rsidR="003738BA" w:rsidRPr="00604CE4"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2DF7" w14:textId="77777777" w:rsidR="006144E5" w:rsidRDefault="006144E5" w:rsidP="00C31CCB">
      <w:pPr>
        <w:spacing w:after="0" w:line="240" w:lineRule="auto"/>
      </w:pPr>
      <w:r>
        <w:separator/>
      </w:r>
    </w:p>
  </w:endnote>
  <w:endnote w:type="continuationSeparator" w:id="0">
    <w:p w14:paraId="04613CF2" w14:textId="77777777" w:rsidR="006144E5" w:rsidRDefault="006144E5"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BB9E" w14:textId="77777777" w:rsidR="006144E5" w:rsidRDefault="006144E5" w:rsidP="00C31CCB">
      <w:pPr>
        <w:spacing w:after="0" w:line="240" w:lineRule="auto"/>
      </w:pPr>
      <w:r>
        <w:separator/>
      </w:r>
    </w:p>
  </w:footnote>
  <w:footnote w:type="continuationSeparator" w:id="0">
    <w:p w14:paraId="592C0280" w14:textId="77777777" w:rsidR="006144E5" w:rsidRDefault="006144E5" w:rsidP="00C3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0192E23"/>
    <w:multiLevelType w:val="hybridMultilevel"/>
    <w:tmpl w:val="271CC120"/>
    <w:lvl w:ilvl="0" w:tplc="FFFFFFFF">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hint="default"/>
      </w:rPr>
    </w:lvl>
    <w:lvl w:ilvl="8" w:tplc="FFFFFFFF">
      <w:start w:val="1"/>
      <w:numFmt w:val="bullet"/>
      <w:lvlText w:val=""/>
      <w:lvlJc w:val="left"/>
      <w:pPr>
        <w:ind w:left="6528" w:hanging="360"/>
      </w:pPr>
      <w:rPr>
        <w:rFonts w:ascii="Wingdings" w:hAnsi="Wingdings" w:hint="default"/>
      </w:rPr>
    </w:lvl>
  </w:abstractNum>
  <w:abstractNum w:abstractNumId="2"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7388437">
    <w:abstractNumId w:val="3"/>
  </w:num>
  <w:num w:numId="2" w16cid:durableId="650598100">
    <w:abstractNumId w:val="2"/>
  </w:num>
  <w:num w:numId="3" w16cid:durableId="1047534678">
    <w:abstractNumId w:val="0"/>
  </w:num>
  <w:num w:numId="4" w16cid:durableId="1528367431">
    <w:abstractNumId w:val="4"/>
  </w:num>
  <w:num w:numId="5" w16cid:durableId="10155781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001A9"/>
    <w:rsid w:val="000759F3"/>
    <w:rsid w:val="000A3F2A"/>
    <w:rsid w:val="000D7ED6"/>
    <w:rsid w:val="00140F71"/>
    <w:rsid w:val="001430D4"/>
    <w:rsid w:val="00152230"/>
    <w:rsid w:val="0018102F"/>
    <w:rsid w:val="00181354"/>
    <w:rsid w:val="001949A5"/>
    <w:rsid w:val="001E371D"/>
    <w:rsid w:val="0024036B"/>
    <w:rsid w:val="00245992"/>
    <w:rsid w:val="002572AF"/>
    <w:rsid w:val="002749DE"/>
    <w:rsid w:val="00277623"/>
    <w:rsid w:val="002B4320"/>
    <w:rsid w:val="002E74D1"/>
    <w:rsid w:val="00326148"/>
    <w:rsid w:val="00367F6E"/>
    <w:rsid w:val="003738BA"/>
    <w:rsid w:val="00380F71"/>
    <w:rsid w:val="00394B15"/>
    <w:rsid w:val="003A4FC0"/>
    <w:rsid w:val="003B2685"/>
    <w:rsid w:val="003F372A"/>
    <w:rsid w:val="00430694"/>
    <w:rsid w:val="00497BA9"/>
    <w:rsid w:val="004B3DAF"/>
    <w:rsid w:val="004C5E50"/>
    <w:rsid w:val="004E7F2D"/>
    <w:rsid w:val="005402D5"/>
    <w:rsid w:val="00553BB3"/>
    <w:rsid w:val="00571322"/>
    <w:rsid w:val="005B5109"/>
    <w:rsid w:val="005C5117"/>
    <w:rsid w:val="005D69F6"/>
    <w:rsid w:val="005F583B"/>
    <w:rsid w:val="00604CE4"/>
    <w:rsid w:val="006144E5"/>
    <w:rsid w:val="00644535"/>
    <w:rsid w:val="00644750"/>
    <w:rsid w:val="00657C2F"/>
    <w:rsid w:val="00670188"/>
    <w:rsid w:val="00690FB1"/>
    <w:rsid w:val="006971C2"/>
    <w:rsid w:val="006A296C"/>
    <w:rsid w:val="006E6B53"/>
    <w:rsid w:val="00700A28"/>
    <w:rsid w:val="00766B58"/>
    <w:rsid w:val="0078375E"/>
    <w:rsid w:val="00791012"/>
    <w:rsid w:val="007A7230"/>
    <w:rsid w:val="007F71B7"/>
    <w:rsid w:val="00803467"/>
    <w:rsid w:val="00893366"/>
    <w:rsid w:val="008A32A5"/>
    <w:rsid w:val="008B35D3"/>
    <w:rsid w:val="00901655"/>
    <w:rsid w:val="00914E73"/>
    <w:rsid w:val="00951668"/>
    <w:rsid w:val="009832A5"/>
    <w:rsid w:val="009A0954"/>
    <w:rsid w:val="009D0120"/>
    <w:rsid w:val="009E001F"/>
    <w:rsid w:val="00A0066B"/>
    <w:rsid w:val="00A3189A"/>
    <w:rsid w:val="00A46F10"/>
    <w:rsid w:val="00A6377B"/>
    <w:rsid w:val="00A818DA"/>
    <w:rsid w:val="00A87913"/>
    <w:rsid w:val="00AA53F9"/>
    <w:rsid w:val="00AD2EBD"/>
    <w:rsid w:val="00B106C6"/>
    <w:rsid w:val="00B52BD7"/>
    <w:rsid w:val="00B54AFE"/>
    <w:rsid w:val="00BA63D7"/>
    <w:rsid w:val="00C31CCB"/>
    <w:rsid w:val="00C877AA"/>
    <w:rsid w:val="00C926DF"/>
    <w:rsid w:val="00C95C1A"/>
    <w:rsid w:val="00C96DCF"/>
    <w:rsid w:val="00D020E3"/>
    <w:rsid w:val="00D4296E"/>
    <w:rsid w:val="00D64630"/>
    <w:rsid w:val="00D650C8"/>
    <w:rsid w:val="00DD0D32"/>
    <w:rsid w:val="00DE48A2"/>
    <w:rsid w:val="00E24423"/>
    <w:rsid w:val="00E420A2"/>
    <w:rsid w:val="00E43AE5"/>
    <w:rsid w:val="00E806E0"/>
    <w:rsid w:val="00E900EB"/>
    <w:rsid w:val="00F179FD"/>
    <w:rsid w:val="00F467A5"/>
    <w:rsid w:val="0356DCD8"/>
    <w:rsid w:val="0892F4E4"/>
    <w:rsid w:val="103047C2"/>
    <w:rsid w:val="118569C7"/>
    <w:rsid w:val="122A29FB"/>
    <w:rsid w:val="18A2BC01"/>
    <w:rsid w:val="1EEEFE6F"/>
    <w:rsid w:val="1F855DA9"/>
    <w:rsid w:val="21024852"/>
    <w:rsid w:val="269569D7"/>
    <w:rsid w:val="2A41099F"/>
    <w:rsid w:val="2A7655D6"/>
    <w:rsid w:val="2C0FE2BF"/>
    <w:rsid w:val="2F378815"/>
    <w:rsid w:val="34CDC6ED"/>
    <w:rsid w:val="34FA9D25"/>
    <w:rsid w:val="354181EB"/>
    <w:rsid w:val="35A2BD41"/>
    <w:rsid w:val="35EECF67"/>
    <w:rsid w:val="36739113"/>
    <w:rsid w:val="379462AE"/>
    <w:rsid w:val="3C7901E4"/>
    <w:rsid w:val="3DD23753"/>
    <w:rsid w:val="3DD7046F"/>
    <w:rsid w:val="406AD15A"/>
    <w:rsid w:val="408D3B81"/>
    <w:rsid w:val="437AF145"/>
    <w:rsid w:val="44067D92"/>
    <w:rsid w:val="4418D1C1"/>
    <w:rsid w:val="45CC91EB"/>
    <w:rsid w:val="463DDD28"/>
    <w:rsid w:val="47DB788E"/>
    <w:rsid w:val="4913CFA9"/>
    <w:rsid w:val="4C5BB387"/>
    <w:rsid w:val="522978DB"/>
    <w:rsid w:val="54A2B843"/>
    <w:rsid w:val="56EE6B52"/>
    <w:rsid w:val="58AEA5E3"/>
    <w:rsid w:val="5E749433"/>
    <w:rsid w:val="60191AEF"/>
    <w:rsid w:val="63301914"/>
    <w:rsid w:val="6361AAFB"/>
    <w:rsid w:val="654A4526"/>
    <w:rsid w:val="697FD139"/>
    <w:rsid w:val="6B588B9D"/>
    <w:rsid w:val="70B6A1AF"/>
    <w:rsid w:val="73B15A34"/>
    <w:rsid w:val="750C590E"/>
    <w:rsid w:val="771D835D"/>
    <w:rsid w:val="77B33AED"/>
    <w:rsid w:val="783D905C"/>
    <w:rsid w:val="7DF6C0E0"/>
    <w:rsid w:val="7F732C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
      </w:numPr>
    </w:pPr>
  </w:style>
  <w:style w:type="numbering" w:customStyle="1" w:styleId="Stilius2">
    <w:name w:val="Stilius2"/>
    <w:uiPriority w:val="99"/>
    <w:rsid w:val="00C31CCB"/>
    <w:pPr>
      <w:numPr>
        <w:numId w:val="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 w:type="paragraph" w:customStyle="1" w:styleId="tin">
    <w:name w:val="tin"/>
    <w:basedOn w:val="prastasis"/>
    <w:rsid w:val="008A32A5"/>
    <w:pPr>
      <w:spacing w:after="150"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5578">
      <w:bodyDiv w:val="1"/>
      <w:marLeft w:val="0"/>
      <w:marRight w:val="0"/>
      <w:marTop w:val="0"/>
      <w:marBottom w:val="0"/>
      <w:divBdr>
        <w:top w:val="none" w:sz="0" w:space="0" w:color="auto"/>
        <w:left w:val="none" w:sz="0" w:space="0" w:color="auto"/>
        <w:bottom w:val="none" w:sz="0" w:space="0" w:color="auto"/>
        <w:right w:val="none" w:sz="0" w:space="0" w:color="auto"/>
      </w:divBdr>
      <w:divsChild>
        <w:div w:id="1879464060">
          <w:marLeft w:val="0"/>
          <w:marRight w:val="0"/>
          <w:marTop w:val="0"/>
          <w:marBottom w:val="0"/>
          <w:divBdr>
            <w:top w:val="none" w:sz="0" w:space="0" w:color="auto"/>
            <w:left w:val="none" w:sz="0" w:space="0" w:color="auto"/>
            <w:bottom w:val="none" w:sz="0" w:space="0" w:color="auto"/>
            <w:right w:val="none" w:sz="0" w:space="0" w:color="auto"/>
          </w:divBdr>
        </w:div>
        <w:div w:id="840313209">
          <w:marLeft w:val="0"/>
          <w:marRight w:val="0"/>
          <w:marTop w:val="0"/>
          <w:marBottom w:val="0"/>
          <w:divBdr>
            <w:top w:val="none" w:sz="0" w:space="0" w:color="auto"/>
            <w:left w:val="none" w:sz="0" w:space="0" w:color="auto"/>
            <w:bottom w:val="none" w:sz="0" w:space="0" w:color="auto"/>
            <w:right w:val="none" w:sz="0" w:space="0" w:color="auto"/>
          </w:divBdr>
        </w:div>
        <w:div w:id="341249581">
          <w:marLeft w:val="0"/>
          <w:marRight w:val="0"/>
          <w:marTop w:val="0"/>
          <w:marBottom w:val="0"/>
          <w:divBdr>
            <w:top w:val="none" w:sz="0" w:space="0" w:color="auto"/>
            <w:left w:val="none" w:sz="0" w:space="0" w:color="auto"/>
            <w:bottom w:val="none" w:sz="0" w:space="0" w:color="auto"/>
            <w:right w:val="none" w:sz="0" w:space="0" w:color="auto"/>
          </w:divBdr>
        </w:div>
        <w:div w:id="1503664990">
          <w:marLeft w:val="0"/>
          <w:marRight w:val="0"/>
          <w:marTop w:val="0"/>
          <w:marBottom w:val="0"/>
          <w:divBdr>
            <w:top w:val="none" w:sz="0" w:space="0" w:color="auto"/>
            <w:left w:val="none" w:sz="0" w:space="0" w:color="auto"/>
            <w:bottom w:val="none" w:sz="0" w:space="0" w:color="auto"/>
            <w:right w:val="none" w:sz="0" w:space="0" w:color="auto"/>
          </w:divBdr>
        </w:div>
        <w:div w:id="66152197">
          <w:marLeft w:val="0"/>
          <w:marRight w:val="0"/>
          <w:marTop w:val="0"/>
          <w:marBottom w:val="0"/>
          <w:divBdr>
            <w:top w:val="none" w:sz="0" w:space="0" w:color="auto"/>
            <w:left w:val="none" w:sz="0" w:space="0" w:color="auto"/>
            <w:bottom w:val="none" w:sz="0" w:space="0" w:color="auto"/>
            <w:right w:val="none" w:sz="0" w:space="0" w:color="auto"/>
          </w:divBdr>
        </w:div>
        <w:div w:id="1047144755">
          <w:marLeft w:val="0"/>
          <w:marRight w:val="0"/>
          <w:marTop w:val="0"/>
          <w:marBottom w:val="0"/>
          <w:divBdr>
            <w:top w:val="none" w:sz="0" w:space="0" w:color="auto"/>
            <w:left w:val="none" w:sz="0" w:space="0" w:color="auto"/>
            <w:bottom w:val="none" w:sz="0" w:space="0" w:color="auto"/>
            <w:right w:val="none" w:sz="0" w:space="0" w:color="auto"/>
          </w:divBdr>
        </w:div>
      </w:divsChild>
    </w:div>
    <w:div w:id="680206189">
      <w:bodyDiv w:val="1"/>
      <w:marLeft w:val="0"/>
      <w:marRight w:val="0"/>
      <w:marTop w:val="0"/>
      <w:marBottom w:val="0"/>
      <w:divBdr>
        <w:top w:val="none" w:sz="0" w:space="0" w:color="auto"/>
        <w:left w:val="none" w:sz="0" w:space="0" w:color="auto"/>
        <w:bottom w:val="none" w:sz="0" w:space="0" w:color="auto"/>
        <w:right w:val="none" w:sz="0" w:space="0" w:color="auto"/>
      </w:divBdr>
      <w:divsChild>
        <w:div w:id="1145203717">
          <w:marLeft w:val="0"/>
          <w:marRight w:val="0"/>
          <w:marTop w:val="0"/>
          <w:marBottom w:val="0"/>
          <w:divBdr>
            <w:top w:val="none" w:sz="0" w:space="0" w:color="auto"/>
            <w:left w:val="none" w:sz="0" w:space="0" w:color="auto"/>
            <w:bottom w:val="none" w:sz="0" w:space="0" w:color="auto"/>
            <w:right w:val="none" w:sz="0" w:space="0" w:color="auto"/>
          </w:divBdr>
        </w:div>
        <w:div w:id="899901740">
          <w:marLeft w:val="0"/>
          <w:marRight w:val="0"/>
          <w:marTop w:val="0"/>
          <w:marBottom w:val="0"/>
          <w:divBdr>
            <w:top w:val="none" w:sz="0" w:space="0" w:color="auto"/>
            <w:left w:val="none" w:sz="0" w:space="0" w:color="auto"/>
            <w:bottom w:val="none" w:sz="0" w:space="0" w:color="auto"/>
            <w:right w:val="none" w:sz="0" w:space="0" w:color="auto"/>
          </w:divBdr>
        </w:div>
        <w:div w:id="1806774827">
          <w:marLeft w:val="0"/>
          <w:marRight w:val="0"/>
          <w:marTop w:val="0"/>
          <w:marBottom w:val="0"/>
          <w:divBdr>
            <w:top w:val="none" w:sz="0" w:space="0" w:color="auto"/>
            <w:left w:val="none" w:sz="0" w:space="0" w:color="auto"/>
            <w:bottom w:val="none" w:sz="0" w:space="0" w:color="auto"/>
            <w:right w:val="none" w:sz="0" w:space="0" w:color="auto"/>
          </w:divBdr>
        </w:div>
        <w:div w:id="1102646769">
          <w:marLeft w:val="0"/>
          <w:marRight w:val="0"/>
          <w:marTop w:val="0"/>
          <w:marBottom w:val="0"/>
          <w:divBdr>
            <w:top w:val="none" w:sz="0" w:space="0" w:color="auto"/>
            <w:left w:val="none" w:sz="0" w:space="0" w:color="auto"/>
            <w:bottom w:val="none" w:sz="0" w:space="0" w:color="auto"/>
            <w:right w:val="none" w:sz="0" w:space="0" w:color="auto"/>
          </w:divBdr>
        </w:div>
        <w:div w:id="1411390901">
          <w:marLeft w:val="0"/>
          <w:marRight w:val="0"/>
          <w:marTop w:val="0"/>
          <w:marBottom w:val="0"/>
          <w:divBdr>
            <w:top w:val="none" w:sz="0" w:space="0" w:color="auto"/>
            <w:left w:val="none" w:sz="0" w:space="0" w:color="auto"/>
            <w:bottom w:val="none" w:sz="0" w:space="0" w:color="auto"/>
            <w:right w:val="none" w:sz="0" w:space="0" w:color="auto"/>
          </w:divBdr>
        </w:div>
        <w:div w:id="1251814284">
          <w:marLeft w:val="0"/>
          <w:marRight w:val="0"/>
          <w:marTop w:val="0"/>
          <w:marBottom w:val="0"/>
          <w:divBdr>
            <w:top w:val="none" w:sz="0" w:space="0" w:color="auto"/>
            <w:left w:val="none" w:sz="0" w:space="0" w:color="auto"/>
            <w:bottom w:val="none" w:sz="0" w:space="0" w:color="auto"/>
            <w:right w:val="none" w:sz="0" w:space="0" w:color="auto"/>
          </w:divBdr>
        </w:div>
      </w:divsChild>
    </w:div>
    <w:div w:id="748425773">
      <w:bodyDiv w:val="1"/>
      <w:marLeft w:val="0"/>
      <w:marRight w:val="0"/>
      <w:marTop w:val="0"/>
      <w:marBottom w:val="0"/>
      <w:divBdr>
        <w:top w:val="none" w:sz="0" w:space="0" w:color="auto"/>
        <w:left w:val="none" w:sz="0" w:space="0" w:color="auto"/>
        <w:bottom w:val="none" w:sz="0" w:space="0" w:color="auto"/>
        <w:right w:val="none" w:sz="0" w:space="0" w:color="auto"/>
      </w:divBdr>
      <w:divsChild>
        <w:div w:id="262498800">
          <w:marLeft w:val="0"/>
          <w:marRight w:val="0"/>
          <w:marTop w:val="0"/>
          <w:marBottom w:val="0"/>
          <w:divBdr>
            <w:top w:val="none" w:sz="0" w:space="0" w:color="auto"/>
            <w:left w:val="none" w:sz="0" w:space="0" w:color="auto"/>
            <w:bottom w:val="none" w:sz="0" w:space="0" w:color="auto"/>
            <w:right w:val="none" w:sz="0" w:space="0" w:color="auto"/>
          </w:divBdr>
        </w:div>
        <w:div w:id="1098284808">
          <w:marLeft w:val="0"/>
          <w:marRight w:val="0"/>
          <w:marTop w:val="0"/>
          <w:marBottom w:val="0"/>
          <w:divBdr>
            <w:top w:val="none" w:sz="0" w:space="0" w:color="auto"/>
            <w:left w:val="none" w:sz="0" w:space="0" w:color="auto"/>
            <w:bottom w:val="none" w:sz="0" w:space="0" w:color="auto"/>
            <w:right w:val="none" w:sz="0" w:space="0" w:color="auto"/>
          </w:divBdr>
        </w:div>
        <w:div w:id="1958289048">
          <w:marLeft w:val="0"/>
          <w:marRight w:val="0"/>
          <w:marTop w:val="0"/>
          <w:marBottom w:val="0"/>
          <w:divBdr>
            <w:top w:val="none" w:sz="0" w:space="0" w:color="auto"/>
            <w:left w:val="none" w:sz="0" w:space="0" w:color="auto"/>
            <w:bottom w:val="none" w:sz="0" w:space="0" w:color="auto"/>
            <w:right w:val="none" w:sz="0" w:space="0" w:color="auto"/>
          </w:divBdr>
        </w:div>
      </w:divsChild>
    </w:div>
    <w:div w:id="1012537286">
      <w:bodyDiv w:val="1"/>
      <w:marLeft w:val="0"/>
      <w:marRight w:val="0"/>
      <w:marTop w:val="0"/>
      <w:marBottom w:val="0"/>
      <w:divBdr>
        <w:top w:val="none" w:sz="0" w:space="0" w:color="auto"/>
        <w:left w:val="none" w:sz="0" w:space="0" w:color="auto"/>
        <w:bottom w:val="none" w:sz="0" w:space="0" w:color="auto"/>
        <w:right w:val="none" w:sz="0" w:space="0" w:color="auto"/>
      </w:divBdr>
    </w:div>
    <w:div w:id="17215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17EAC-66CE-4E7D-81E5-9F377270DE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A8D19-6131-4B21-AF1E-F3E05F4E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9D3D7-BAC1-46D5-9F48-03A833303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2353</Words>
  <Characters>1342</Characters>
  <Application>Microsoft Office Word</Application>
  <DocSecurity>0</DocSecurity>
  <Lines>11</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Vaida Šopytė</cp:lastModifiedBy>
  <cp:revision>4</cp:revision>
  <dcterms:created xsi:type="dcterms:W3CDTF">2026-06-10T17:56:00Z</dcterms:created>
  <dcterms:modified xsi:type="dcterms:W3CDTF">2026-06-11T11:38:00Z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