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DF3F" w14:textId="77777777" w:rsidR="001958E2" w:rsidRPr="001958E2" w:rsidRDefault="001958E2" w:rsidP="001958E2">
      <w:pPr>
        <w:spacing w:after="0" w:line="240" w:lineRule="auto"/>
        <w:rPr>
          <w:rFonts w:ascii="Times New Roman" w:hAnsi="Times New Roman" w:cs="Calibri"/>
          <w:b/>
          <w:bCs/>
          <w:sz w:val="24"/>
          <w:szCs w:val="24"/>
        </w:rPr>
      </w:pPr>
    </w:p>
    <w:p w14:paraId="1EA26495" w14:textId="77777777" w:rsidR="001958E2" w:rsidRPr="001958E2" w:rsidRDefault="001958E2" w:rsidP="001958E2">
      <w:pPr>
        <w:tabs>
          <w:tab w:val="center" w:pos="4819"/>
          <w:tab w:val="right" w:pos="9638"/>
        </w:tabs>
        <w:spacing w:after="0" w:line="240" w:lineRule="auto"/>
        <w:jc w:val="center"/>
        <w:rPr>
          <w:rFonts w:ascii="Times New Roman" w:eastAsia="Calibri" w:hAnsi="Times New Roman"/>
          <w:b/>
          <w:sz w:val="24"/>
          <w:szCs w:val="24"/>
        </w:rPr>
      </w:pPr>
      <w:r w:rsidRPr="001958E2">
        <w:rPr>
          <w:rFonts w:ascii="Times New Roman" w:eastAsia="Calibri" w:hAnsi="Times New Roman"/>
          <w:b/>
          <w:sz w:val="24"/>
          <w:szCs w:val="24"/>
        </w:rPr>
        <w:t>VŠĮ UKMERGĖS PIRMINĖS SVEIKATOS PRIEŽIŪROS CENTRAS</w:t>
      </w:r>
    </w:p>
    <w:p w14:paraId="56F962CC" w14:textId="77777777" w:rsidR="001958E2" w:rsidRPr="001958E2" w:rsidRDefault="001958E2" w:rsidP="001958E2">
      <w:pPr>
        <w:pBdr>
          <w:bottom w:val="single" w:sz="4" w:space="1" w:color="auto"/>
        </w:pBdr>
        <w:tabs>
          <w:tab w:val="center" w:pos="4819"/>
          <w:tab w:val="right" w:pos="9638"/>
        </w:tabs>
        <w:spacing w:after="0" w:line="259" w:lineRule="auto"/>
        <w:jc w:val="center"/>
        <w:rPr>
          <w:rFonts w:ascii="Times New Roman" w:eastAsia="Calibri" w:hAnsi="Times New Roman"/>
          <w:sz w:val="18"/>
          <w:szCs w:val="18"/>
        </w:rPr>
      </w:pPr>
      <w:r w:rsidRPr="001958E2">
        <w:rPr>
          <w:rFonts w:ascii="Times New Roman" w:eastAsia="Calibri" w:hAnsi="Times New Roman"/>
          <w:sz w:val="18"/>
          <w:szCs w:val="18"/>
        </w:rPr>
        <w:t xml:space="preserve">Vytauto g. 105, Ukmergė, tel. (+370 340) 63690, el. p. </w:t>
      </w:r>
      <w:proofErr w:type="spellStart"/>
      <w:r w:rsidRPr="001958E2">
        <w:rPr>
          <w:rFonts w:ascii="Times New Roman" w:eastAsia="Calibri" w:hAnsi="Times New Roman"/>
          <w:sz w:val="18"/>
          <w:szCs w:val="18"/>
        </w:rPr>
        <w:t>adm@ukmergespspc.lt</w:t>
      </w:r>
      <w:proofErr w:type="spellEnd"/>
      <w:r w:rsidRPr="001958E2">
        <w:rPr>
          <w:rFonts w:ascii="Times New Roman" w:eastAsia="Calibri" w:hAnsi="Times New Roman"/>
          <w:sz w:val="18"/>
          <w:szCs w:val="18"/>
        </w:rPr>
        <w:t>.</w:t>
      </w:r>
    </w:p>
    <w:p w14:paraId="38500E91" w14:textId="77777777" w:rsidR="001958E2" w:rsidRPr="001958E2" w:rsidRDefault="001958E2" w:rsidP="001958E2">
      <w:pPr>
        <w:pBdr>
          <w:bottom w:val="single" w:sz="4" w:space="1" w:color="auto"/>
        </w:pBdr>
        <w:tabs>
          <w:tab w:val="center" w:pos="4819"/>
          <w:tab w:val="right" w:pos="9638"/>
        </w:tabs>
        <w:spacing w:after="0" w:line="259" w:lineRule="auto"/>
        <w:jc w:val="center"/>
        <w:rPr>
          <w:rFonts w:ascii="Times New Roman" w:eastAsia="Calibri" w:hAnsi="Times New Roman"/>
          <w:sz w:val="18"/>
          <w:szCs w:val="18"/>
        </w:rPr>
      </w:pPr>
      <w:r w:rsidRPr="001958E2">
        <w:rPr>
          <w:rFonts w:ascii="Times New Roman" w:eastAsia="Calibri" w:hAnsi="Times New Roman"/>
          <w:sz w:val="18"/>
          <w:szCs w:val="18"/>
        </w:rPr>
        <w:t>Duomenys kaupiami ir saugomi Juridinių asmenų registre, kodas 182934444</w:t>
      </w:r>
    </w:p>
    <w:p w14:paraId="724B9E13" w14:textId="77777777" w:rsidR="001958E2" w:rsidRPr="001958E2" w:rsidRDefault="001958E2" w:rsidP="001958E2">
      <w:pPr>
        <w:tabs>
          <w:tab w:val="center" w:pos="4513"/>
          <w:tab w:val="right" w:pos="9026"/>
        </w:tabs>
        <w:spacing w:after="0" w:line="240" w:lineRule="auto"/>
        <w:rPr>
          <w:rFonts w:ascii="Times New Roman" w:hAnsi="Times New Roman"/>
          <w:sz w:val="20"/>
          <w:szCs w:val="20"/>
        </w:rPr>
      </w:pPr>
    </w:p>
    <w:p w14:paraId="59FC3118" w14:textId="77777777" w:rsidR="001958E2" w:rsidRPr="001958E2" w:rsidRDefault="001958E2" w:rsidP="001958E2">
      <w:pPr>
        <w:spacing w:after="0" w:line="240" w:lineRule="auto"/>
        <w:jc w:val="both"/>
        <w:rPr>
          <w:rFonts w:ascii="Times New Roman" w:eastAsia="Calibri" w:hAnsi="Times New Roman"/>
        </w:rPr>
      </w:pPr>
    </w:p>
    <w:p w14:paraId="3AF438AA" w14:textId="02CF7FA5" w:rsidR="001958E2" w:rsidRPr="001958E2" w:rsidRDefault="001958E2" w:rsidP="001958E2">
      <w:pPr>
        <w:spacing w:after="0" w:line="240" w:lineRule="auto"/>
        <w:jc w:val="both"/>
        <w:rPr>
          <w:rFonts w:ascii="Times New Roman" w:hAnsi="Times New Roman"/>
          <w:sz w:val="24"/>
          <w:szCs w:val="24"/>
        </w:rPr>
      </w:pP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r>
      <w:r w:rsidRPr="001958E2">
        <w:rPr>
          <w:rFonts w:ascii="Times New Roman" w:eastAsia="Calibri" w:hAnsi="Times New Roman"/>
        </w:rPr>
        <w:tab/>
        <w:t xml:space="preserve">                    </w:t>
      </w:r>
    </w:p>
    <w:p w14:paraId="462EAE85" w14:textId="77777777" w:rsidR="001958E2" w:rsidRPr="001958E2" w:rsidRDefault="001958E2" w:rsidP="001958E2">
      <w:pPr>
        <w:spacing w:after="0" w:line="240" w:lineRule="auto"/>
        <w:jc w:val="both"/>
        <w:rPr>
          <w:rFonts w:ascii="Arial" w:eastAsia="Calibri" w:hAnsi="Arial" w:cs="Arial"/>
          <w:b/>
          <w:sz w:val="24"/>
          <w:szCs w:val="24"/>
        </w:rPr>
      </w:pPr>
      <w:r w:rsidRPr="001958E2">
        <w:rPr>
          <w:rFonts w:ascii="Times New Roman" w:hAnsi="Times New Roman"/>
          <w:sz w:val="24"/>
          <w:szCs w:val="24"/>
        </w:rPr>
        <w:tab/>
      </w:r>
    </w:p>
    <w:p w14:paraId="07E9F937" w14:textId="11E46A52" w:rsidR="001958E2" w:rsidRPr="001958E2" w:rsidRDefault="001958E2" w:rsidP="00974D8B">
      <w:pPr>
        <w:spacing w:after="0" w:line="240" w:lineRule="auto"/>
        <w:jc w:val="center"/>
        <w:rPr>
          <w:rFonts w:ascii="Times New Roman" w:eastAsia="Calibri" w:hAnsi="Times New Roman"/>
          <w:b/>
          <w:bCs/>
        </w:rPr>
      </w:pPr>
      <w:r w:rsidRPr="001958E2">
        <w:rPr>
          <w:rFonts w:ascii="Times New Roman" w:eastAsia="Calibri" w:hAnsi="Times New Roman"/>
          <w:b/>
          <w:bCs/>
        </w:rPr>
        <w:t>KVIETIMAS DALYVAUTI RINKOS KONSULTACIJOJE</w:t>
      </w:r>
    </w:p>
    <w:p w14:paraId="360A5EBD" w14:textId="77777777" w:rsidR="001958E2" w:rsidRPr="001958E2" w:rsidRDefault="001958E2" w:rsidP="001958E2">
      <w:pPr>
        <w:keepNext/>
        <w:widowControl w:val="0"/>
        <w:spacing w:after="0" w:line="240" w:lineRule="auto"/>
        <w:ind w:firstLine="567"/>
        <w:jc w:val="both"/>
        <w:outlineLvl w:val="1"/>
        <w:rPr>
          <w:rFonts w:ascii="Times New Roman" w:hAnsi="Times New Roman"/>
        </w:rPr>
      </w:pPr>
    </w:p>
    <w:p w14:paraId="22BA8618" w14:textId="701D5E6E" w:rsidR="00A62906" w:rsidRPr="001958E2" w:rsidRDefault="001958E2" w:rsidP="001958E2">
      <w:pPr>
        <w:numPr>
          <w:ilvl w:val="0"/>
          <w:numId w:val="8"/>
        </w:numPr>
        <w:suppressAutoHyphens/>
        <w:spacing w:after="0" w:line="240" w:lineRule="auto"/>
        <w:ind w:left="0" w:firstLine="567"/>
        <w:jc w:val="both"/>
        <w:rPr>
          <w:rFonts w:ascii="Times New Roman" w:hAnsi="Times New Roman"/>
          <w:sz w:val="24"/>
          <w:szCs w:val="24"/>
        </w:rPr>
      </w:pPr>
      <w:r w:rsidRPr="001958E2">
        <w:rPr>
          <w:rFonts w:ascii="Times New Roman" w:hAnsi="Times New Roman" w:cs="Calibri"/>
        </w:rPr>
        <w:t>Viešoji įstaiga Ukmergės pirminės sveikatos priežiūros centras</w:t>
      </w:r>
      <w:r w:rsidRPr="001958E2">
        <w:rPr>
          <w:rFonts w:ascii="Times New Roman" w:eastAsia="Calibri" w:hAnsi="Times New Roman" w:cs="Calibri"/>
        </w:rPr>
        <w:t>,</w:t>
      </w:r>
      <w:r w:rsidRPr="001958E2">
        <w:rPr>
          <w:rFonts w:ascii="Times New Roman" w:eastAsia="Calibri" w:hAnsi="Times New Roman" w:cs="Calibri"/>
          <w:color w:val="00B050"/>
        </w:rPr>
        <w:t xml:space="preserve"> </w:t>
      </w:r>
      <w:r w:rsidRPr="001958E2">
        <w:rPr>
          <w:rFonts w:ascii="Times New Roman" w:eastAsia="Calibri" w:hAnsi="Times New Roman" w:cs="Calibri"/>
        </w:rPr>
        <w:t xml:space="preserve">juridinio asmens kodas </w:t>
      </w:r>
      <w:r w:rsidRPr="001958E2">
        <w:rPr>
          <w:rFonts w:ascii="Times New Roman" w:hAnsi="Times New Roman" w:cs="Calibri"/>
        </w:rPr>
        <w:t>182934444</w:t>
      </w:r>
      <w:r w:rsidRPr="001958E2">
        <w:rPr>
          <w:rFonts w:ascii="Times New Roman" w:eastAsia="Calibri" w:hAnsi="Times New Roman" w:cs="Calibri"/>
        </w:rPr>
        <w:t>, adresas Vytauto g. 105, Ukmergė</w:t>
      </w:r>
      <w:r w:rsidRPr="001958E2">
        <w:rPr>
          <w:rFonts w:ascii="Times New Roman" w:hAnsi="Times New Roman"/>
        </w:rPr>
        <w:t xml:space="preserve"> (toliau – Perkančioji organizacija)</w:t>
      </w:r>
      <w:r w:rsidR="00A62906" w:rsidRPr="00A62906">
        <w:rPr>
          <w:rFonts w:ascii="Times New Roman" w:hAnsi="Times New Roman"/>
        </w:rPr>
        <w:t>vadovau</w:t>
      </w:r>
      <w:r w:rsidR="00363343">
        <w:rPr>
          <w:rFonts w:ascii="Times New Roman" w:hAnsi="Times New Roman"/>
        </w:rPr>
        <w:t>damasi</w:t>
      </w:r>
      <w:r w:rsidR="00A62906"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00A62906" w:rsidRPr="00A62906">
        <w:rPr>
          <w:rFonts w:ascii="Times New Roman" w:hAnsi="Times New Roman"/>
        </w:rPr>
        <w:t xml:space="preserve"> pasirengti viešajam pirkimui </w:t>
      </w:r>
      <w:r w:rsidR="00A62906" w:rsidRPr="001958E2">
        <w:rPr>
          <w:rFonts w:ascii="Times New Roman" w:hAnsi="Times New Roman"/>
          <w:b/>
        </w:rPr>
        <w:t>„</w:t>
      </w:r>
      <w:r w:rsidRPr="001958E2">
        <w:rPr>
          <w:rFonts w:ascii="Times New Roman" w:hAnsi="Times New Roman"/>
          <w:b/>
        </w:rPr>
        <w:t>R</w:t>
      </w:r>
      <w:r w:rsidRPr="001958E2">
        <w:rPr>
          <w:rFonts w:ascii="Times New Roman" w:hAnsi="Times New Roman"/>
          <w:b/>
          <w:sz w:val="24"/>
          <w:szCs w:val="24"/>
        </w:rPr>
        <w:t>eagentai ir eksploatacinės medžiagos biocheminių ir imunologinių tyrimų atlikimui (toliau – prekės, tyrimai, pirkimo objektas) bei analizatorių įsigijimas panaudos būdu (toliau – įranga).“</w:t>
      </w:r>
      <w:r>
        <w:rPr>
          <w:rFonts w:ascii="Times New Roman" w:hAnsi="Times New Roman"/>
          <w:sz w:val="24"/>
          <w:szCs w:val="24"/>
        </w:rPr>
        <w:t xml:space="preserve"> </w:t>
      </w:r>
      <w:r w:rsidR="00A62906" w:rsidRPr="001958E2">
        <w:rPr>
          <w:rFonts w:ascii="Times New Roman" w:eastAsia="Calibri" w:hAnsi="Times New Roman"/>
        </w:rPr>
        <w:t xml:space="preserve">(toliau – </w:t>
      </w:r>
      <w:r w:rsidR="00A62906" w:rsidRPr="001958E2">
        <w:rPr>
          <w:rFonts w:ascii="Times New Roman" w:eastAsia="Calibri" w:hAnsi="Times New Roman"/>
          <w:bCs/>
        </w:rPr>
        <w:t>Pirkimas</w:t>
      </w:r>
      <w:r w:rsidR="00A62906" w:rsidRPr="001958E2">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737F4FF"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laboratorinių tyrimų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E49DF" w:rsidRPr="00A62906" w14:paraId="5854C1F8" w14:textId="77777777" w:rsidTr="00613DA1">
        <w:trPr>
          <w:trHeight w:val="213"/>
        </w:trPr>
        <w:tc>
          <w:tcPr>
            <w:tcW w:w="349" w:type="pct"/>
          </w:tcPr>
          <w:p w14:paraId="529752CA" w14:textId="77777777" w:rsidR="00AE49DF" w:rsidRPr="00A62906" w:rsidRDefault="00AE49DF"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124FE4E1" w14:textId="2E234639" w:rsidR="00AE49DF" w:rsidRPr="00A62906" w:rsidRDefault="00AE49DF" w:rsidP="00A62906">
            <w:pPr>
              <w:tabs>
                <w:tab w:val="left" w:pos="284"/>
              </w:tabs>
              <w:spacing w:after="0" w:line="240" w:lineRule="auto"/>
              <w:contextualSpacing/>
              <w:jc w:val="both"/>
              <w:rPr>
                <w:rFonts w:ascii="Times New Roman" w:hAnsi="Times New Roman"/>
                <w:color w:val="000000"/>
              </w:rPr>
            </w:pPr>
            <w:r>
              <w:rPr>
                <w:rFonts w:ascii="Times New Roman" w:hAnsi="Times New Roman"/>
                <w:color w:val="000000"/>
              </w:rPr>
              <w:t>Ar turi įtakos kainai sutarties terminas? Jeigu taip prašome argumentuoti koks sutarties terminas būtų racionalus 36 mėn. at 60 m</w:t>
            </w:r>
            <w:r w:rsidR="001958E2">
              <w:rPr>
                <w:rFonts w:ascii="Times New Roman" w:hAnsi="Times New Roman"/>
                <w:color w:val="000000"/>
              </w:rPr>
              <w:t>ė</w:t>
            </w:r>
            <w:r>
              <w:rPr>
                <w:rFonts w:ascii="Times New Roman" w:hAnsi="Times New Roman"/>
                <w:color w:val="000000"/>
              </w:rPr>
              <w:t xml:space="preserve">n.  </w:t>
            </w:r>
            <w:r w:rsidR="00217A3E">
              <w:rPr>
                <w:rFonts w:ascii="Times New Roman" w:hAnsi="Times New Roman"/>
                <w:color w:val="000000"/>
              </w:rPr>
              <w:t xml:space="preserve">kokia kaina būtų jeigu būtų sutartis sudaroma 36 mėn. ir 60 mėn. </w:t>
            </w:r>
          </w:p>
        </w:tc>
        <w:tc>
          <w:tcPr>
            <w:tcW w:w="2171" w:type="pct"/>
          </w:tcPr>
          <w:p w14:paraId="1E0C48E2" w14:textId="77777777" w:rsidR="00AE49DF" w:rsidRPr="00A62906" w:rsidRDefault="00AE49DF" w:rsidP="00A62906">
            <w:pPr>
              <w:tabs>
                <w:tab w:val="left" w:pos="426"/>
              </w:tabs>
              <w:spacing w:after="0" w:line="240" w:lineRule="auto"/>
              <w:contextualSpacing/>
              <w:rPr>
                <w:rFonts w:ascii="Times New Roman" w:eastAsia="Calibri" w:hAnsi="Times New Roman"/>
              </w:rPr>
            </w:pPr>
          </w:p>
        </w:tc>
      </w:tr>
      <w:tr w:rsidR="00217A3E" w:rsidRPr="00A62906" w14:paraId="5BCFCE57" w14:textId="77777777" w:rsidTr="00613DA1">
        <w:trPr>
          <w:trHeight w:val="213"/>
        </w:trPr>
        <w:tc>
          <w:tcPr>
            <w:tcW w:w="349" w:type="pct"/>
          </w:tcPr>
          <w:p w14:paraId="53044BC3" w14:textId="77777777" w:rsidR="00217A3E" w:rsidRPr="00A62906" w:rsidRDefault="00217A3E"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66DB5E1D" w14:textId="55AEFB3B" w:rsidR="00217A3E" w:rsidRDefault="00217A3E" w:rsidP="00A62906">
            <w:pPr>
              <w:tabs>
                <w:tab w:val="left" w:pos="284"/>
              </w:tabs>
              <w:spacing w:after="0" w:line="240" w:lineRule="auto"/>
              <w:contextualSpacing/>
              <w:jc w:val="both"/>
              <w:rPr>
                <w:rFonts w:ascii="Times New Roman" w:hAnsi="Times New Roman"/>
                <w:color w:val="000000"/>
              </w:rPr>
            </w:pPr>
            <w:r>
              <w:rPr>
                <w:rFonts w:ascii="Times New Roman" w:hAnsi="Times New Roman"/>
                <w:color w:val="000000"/>
              </w:rPr>
              <w:t xml:space="preserve">Ar pagrindimas dėl sutarties termino yra pakankamas? Jeigu ne, tai kokią dalį pagrindimo siūlote tikslinti? </w:t>
            </w:r>
          </w:p>
        </w:tc>
        <w:tc>
          <w:tcPr>
            <w:tcW w:w="2171" w:type="pct"/>
          </w:tcPr>
          <w:p w14:paraId="08B67C6B" w14:textId="77777777" w:rsidR="00217A3E" w:rsidRPr="00A62906" w:rsidRDefault="00217A3E"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12B55BFE" w14:textId="3C0EFF91" w:rsidR="00731DA0" w:rsidRPr="00F449DE" w:rsidRDefault="001958E2" w:rsidP="00A62906">
      <w:pPr>
        <w:spacing w:after="0" w:line="240" w:lineRule="auto"/>
        <w:rPr>
          <w:rFonts w:ascii="Times New Roman" w:hAnsi="Times New Roman"/>
          <w:color w:val="000000"/>
        </w:rPr>
      </w:pPr>
      <w:r>
        <w:rPr>
          <w:rFonts w:ascii="Times New Roman" w:hAnsi="Times New Roman"/>
          <w:color w:val="000000"/>
        </w:rPr>
        <w:t xml:space="preserve">Pirkimo dokumentai. </w:t>
      </w:r>
    </w:p>
    <w:sectPr w:rsidR="00731DA0" w:rsidRPr="00F449DE" w:rsidSect="00731DA0">
      <w:footerReference w:type="default" r:id="rId7"/>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7C82" w14:textId="77777777" w:rsidR="00DF2423" w:rsidRDefault="00DF2423" w:rsidP="00890C17">
      <w:pPr>
        <w:spacing w:after="0" w:line="240" w:lineRule="auto"/>
      </w:pPr>
      <w:r>
        <w:separator/>
      </w:r>
    </w:p>
  </w:endnote>
  <w:endnote w:type="continuationSeparator" w:id="0">
    <w:p w14:paraId="2015398A" w14:textId="77777777" w:rsidR="00DF2423" w:rsidRDefault="00DF2423"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9B28" w14:textId="77777777" w:rsidR="00DF2423" w:rsidRDefault="00DF2423" w:rsidP="00890C17">
      <w:pPr>
        <w:spacing w:after="0" w:line="240" w:lineRule="auto"/>
      </w:pPr>
      <w:r>
        <w:separator/>
      </w:r>
    </w:p>
  </w:footnote>
  <w:footnote w:type="continuationSeparator" w:id="0">
    <w:p w14:paraId="7CB05F76" w14:textId="77777777" w:rsidR="00DF2423" w:rsidRDefault="00DF2423"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6"/>
  </w:num>
  <w:num w:numId="2" w16cid:durableId="34279560">
    <w:abstractNumId w:val="3"/>
  </w:num>
  <w:num w:numId="3" w16cid:durableId="369302671">
    <w:abstractNumId w:val="4"/>
  </w:num>
  <w:num w:numId="4" w16cid:durableId="1220289216">
    <w:abstractNumId w:val="2"/>
  </w:num>
  <w:num w:numId="5" w16cid:durableId="1032614721">
    <w:abstractNumId w:val="5"/>
  </w:num>
  <w:num w:numId="6" w16cid:durableId="127994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1"/>
  </w:num>
  <w:num w:numId="8"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66EFC"/>
    <w:rsid w:val="000E3BD5"/>
    <w:rsid w:val="0010558E"/>
    <w:rsid w:val="00106DC9"/>
    <w:rsid w:val="001236E0"/>
    <w:rsid w:val="001460A1"/>
    <w:rsid w:val="00186791"/>
    <w:rsid w:val="001958E2"/>
    <w:rsid w:val="00217A3E"/>
    <w:rsid w:val="00253FD8"/>
    <w:rsid w:val="00261878"/>
    <w:rsid w:val="002647E6"/>
    <w:rsid w:val="002861D7"/>
    <w:rsid w:val="00292A57"/>
    <w:rsid w:val="002C33C1"/>
    <w:rsid w:val="002F10F1"/>
    <w:rsid w:val="00305595"/>
    <w:rsid w:val="0032070C"/>
    <w:rsid w:val="0033446F"/>
    <w:rsid w:val="00347F47"/>
    <w:rsid w:val="00356CD1"/>
    <w:rsid w:val="00363343"/>
    <w:rsid w:val="00385078"/>
    <w:rsid w:val="00386D7F"/>
    <w:rsid w:val="00396981"/>
    <w:rsid w:val="003D3CB1"/>
    <w:rsid w:val="003E1102"/>
    <w:rsid w:val="00417BC8"/>
    <w:rsid w:val="004228BD"/>
    <w:rsid w:val="00435249"/>
    <w:rsid w:val="00484BFA"/>
    <w:rsid w:val="004F61A0"/>
    <w:rsid w:val="00516C33"/>
    <w:rsid w:val="00564BF1"/>
    <w:rsid w:val="005931C0"/>
    <w:rsid w:val="005B08F5"/>
    <w:rsid w:val="005F73D2"/>
    <w:rsid w:val="00605B25"/>
    <w:rsid w:val="00613DA1"/>
    <w:rsid w:val="00660545"/>
    <w:rsid w:val="006645C8"/>
    <w:rsid w:val="00694A75"/>
    <w:rsid w:val="00720A67"/>
    <w:rsid w:val="00724655"/>
    <w:rsid w:val="00731DA0"/>
    <w:rsid w:val="00737AF7"/>
    <w:rsid w:val="007A1BC3"/>
    <w:rsid w:val="008466BE"/>
    <w:rsid w:val="008650E2"/>
    <w:rsid w:val="008756C1"/>
    <w:rsid w:val="0087798F"/>
    <w:rsid w:val="00884634"/>
    <w:rsid w:val="00890C17"/>
    <w:rsid w:val="00974D8B"/>
    <w:rsid w:val="009F1473"/>
    <w:rsid w:val="009F7D10"/>
    <w:rsid w:val="00A4318E"/>
    <w:rsid w:val="00A600B9"/>
    <w:rsid w:val="00A62906"/>
    <w:rsid w:val="00A72857"/>
    <w:rsid w:val="00A9165D"/>
    <w:rsid w:val="00AB24A7"/>
    <w:rsid w:val="00AB36C6"/>
    <w:rsid w:val="00AE49DF"/>
    <w:rsid w:val="00AF42BD"/>
    <w:rsid w:val="00B074FD"/>
    <w:rsid w:val="00B520D9"/>
    <w:rsid w:val="00B612FB"/>
    <w:rsid w:val="00BF04B1"/>
    <w:rsid w:val="00C03600"/>
    <w:rsid w:val="00C27DD3"/>
    <w:rsid w:val="00C357DF"/>
    <w:rsid w:val="00C47775"/>
    <w:rsid w:val="00C955B1"/>
    <w:rsid w:val="00CA40F1"/>
    <w:rsid w:val="00CC732A"/>
    <w:rsid w:val="00CD5B4C"/>
    <w:rsid w:val="00D03342"/>
    <w:rsid w:val="00D30D6C"/>
    <w:rsid w:val="00D3295D"/>
    <w:rsid w:val="00D83FC9"/>
    <w:rsid w:val="00D90E50"/>
    <w:rsid w:val="00D913E9"/>
    <w:rsid w:val="00DF2423"/>
    <w:rsid w:val="00E327E8"/>
    <w:rsid w:val="00EB20E6"/>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2564</Words>
  <Characters>1462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Vaida Baltaduonienė</cp:lastModifiedBy>
  <cp:revision>3</cp:revision>
  <cp:lastPrinted>2021-07-16T11:10:00Z</cp:lastPrinted>
  <dcterms:created xsi:type="dcterms:W3CDTF">2026-06-11T13:17:00Z</dcterms:created>
  <dcterms:modified xsi:type="dcterms:W3CDTF">2026-06-11T13:30:00Z</dcterms:modified>
</cp:coreProperties>
</file>