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9BC4" w14:textId="77777777" w:rsidR="008C0F5F" w:rsidRPr="003C1CDE" w:rsidRDefault="00F85272" w:rsidP="003F187C">
      <w:pPr>
        <w:pStyle w:val="Title"/>
        <w:rPr>
          <w:rFonts w:cs="Calibri"/>
          <w:sz w:val="32"/>
          <w:szCs w:val="32"/>
          <w:lang w:val="en-US"/>
        </w:rPr>
      </w:pPr>
      <w:r w:rsidRPr="003C1CDE">
        <w:rPr>
          <w:rFonts w:cs="Calibri"/>
          <w:noProof/>
          <w:sz w:val="32"/>
          <w:szCs w:val="32"/>
          <w:lang w:val="uk-UA" w:eastAsia="uk-UA"/>
        </w:rPr>
        <mc:AlternateContent>
          <mc:Choice Requires="wps">
            <w:drawing>
              <wp:anchor distT="45720" distB="45720" distL="114300" distR="114300" simplePos="0" relativeHeight="251661312"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3E54CD62" w14:textId="57C0D2B1" w:rsidR="00D801F4" w:rsidRPr="00843E22" w:rsidRDefault="00D801F4" w:rsidP="00FC33AB">
                            <w:pPr>
                              <w:spacing w:after="0" w:line="240" w:lineRule="auto"/>
                              <w:rPr>
                                <w:sz w:val="22"/>
                                <w:szCs w:val="22"/>
                                <w:lang w:val="en-GB"/>
                              </w:rPr>
                            </w:pPr>
                            <w:r w:rsidRPr="00843E22">
                              <w:rPr>
                                <w:sz w:val="22"/>
                                <w:szCs w:val="22"/>
                                <w:lang w:val="en-GB"/>
                              </w:rPr>
                              <w:t xml:space="preserve">Annex </w:t>
                            </w:r>
                            <w:r w:rsidR="00137F01">
                              <w:rPr>
                                <w:sz w:val="22"/>
                                <w:szCs w:val="22"/>
                                <w:lang w:val="en-GB"/>
                              </w:rPr>
                              <w:t>1</w:t>
                            </w:r>
                            <w:r w:rsidRPr="00843E22">
                              <w:rPr>
                                <w:sz w:val="22"/>
                                <w:szCs w:val="22"/>
                                <w:lang w:val="en-GB"/>
                              </w:rPr>
                              <w:t xml:space="preserve"> </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 o:spid="_x0000_s1026" type="#_x0000_t202" style="position:absolute;margin-left:77.8pt;margin-top:-63.2pt;width:129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3E54CD62" w14:textId="57C0D2B1" w:rsidR="00D801F4" w:rsidRPr="00843E22" w:rsidRDefault="00D801F4" w:rsidP="00FC33AB">
                      <w:pPr>
                        <w:spacing w:after="0" w:line="240" w:lineRule="auto"/>
                        <w:rPr>
                          <w:sz w:val="22"/>
                          <w:szCs w:val="22"/>
                          <w:lang w:val="en-GB"/>
                        </w:rPr>
                      </w:pPr>
                      <w:r w:rsidRPr="00843E22">
                        <w:rPr>
                          <w:sz w:val="22"/>
                          <w:szCs w:val="22"/>
                          <w:lang w:val="en-GB"/>
                        </w:rPr>
                        <w:t xml:space="preserve">Annex </w:t>
                      </w:r>
                      <w:r w:rsidR="00137F01">
                        <w:rPr>
                          <w:sz w:val="22"/>
                          <w:szCs w:val="22"/>
                          <w:lang w:val="en-GB"/>
                        </w:rPr>
                        <w:t>1</w:t>
                      </w:r>
                      <w:r w:rsidRPr="00843E22">
                        <w:rPr>
                          <w:sz w:val="22"/>
                          <w:szCs w:val="22"/>
                          <w:lang w:val="en-GB"/>
                        </w:rPr>
                        <w:t xml:space="preserve"> </w:t>
                      </w:r>
                    </w:p>
                    <w:p w14:paraId="0881CE51" w14:textId="701199AE" w:rsidR="000C1BEE" w:rsidRPr="00843E22" w:rsidRDefault="000C1BEE">
                      <w:pPr>
                        <w:rPr>
                          <w:sz w:val="22"/>
                          <w:szCs w:val="22"/>
                          <w:lang w:val="en-GB"/>
                        </w:rPr>
                      </w:pPr>
                    </w:p>
                  </w:txbxContent>
                </v:textbox>
                <w10:wrap anchorx="margin"/>
              </v:shape>
            </w:pict>
          </mc:Fallback>
        </mc:AlternateContent>
      </w:r>
      <w:r w:rsidR="0096518A" w:rsidRPr="003C1CDE">
        <w:rPr>
          <w:rFonts w:cs="Calibri"/>
          <w:noProof/>
          <w:sz w:val="32"/>
          <w:szCs w:val="32"/>
          <w:lang w:val="uk-UA" w:eastAsia="uk-UA"/>
        </w:rPr>
        <w:drawing>
          <wp:anchor distT="0" distB="0" distL="114300" distR="114300" simplePos="0" relativeHeight="251659264"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3C1CDE">
        <w:rPr>
          <w:rFonts w:cs="Calibri"/>
          <w:sz w:val="32"/>
          <w:szCs w:val="32"/>
          <w:lang w:val="en-US"/>
        </w:rPr>
        <w:t>technical specification</w:t>
      </w:r>
    </w:p>
    <w:p w14:paraId="27382DF8" w14:textId="69F19979" w:rsidR="000B5FF2" w:rsidRPr="003C1CDE" w:rsidRDefault="00C05683" w:rsidP="003F187C">
      <w:pPr>
        <w:pStyle w:val="Title"/>
        <w:rPr>
          <w:rFonts w:cs="Calibri"/>
          <w:sz w:val="32"/>
          <w:szCs w:val="32"/>
          <w:lang w:val="en-US"/>
        </w:rPr>
      </w:pPr>
      <w:r>
        <w:rPr>
          <w:rFonts w:cs="Calibri"/>
          <w:sz w:val="32"/>
          <w:szCs w:val="32"/>
          <w:lang w:val="en-US"/>
        </w:rPr>
        <w:t>computed tomography scanner</w:t>
      </w:r>
    </w:p>
    <w:p w14:paraId="15295BBA" w14:textId="77777777" w:rsidR="008C0F5F" w:rsidRPr="003C1CDE" w:rsidRDefault="008C0F5F" w:rsidP="000735CA">
      <w:pPr>
        <w:spacing w:after="120" w:line="240" w:lineRule="auto"/>
        <w:jc w:val="both"/>
        <w:rPr>
          <w:rFonts w:eastAsiaTheme="majorEastAsia" w:cs="Calibri"/>
          <w:b/>
          <w:caps/>
          <w:color w:val="1F4E79" w:themeColor="accent1" w:themeShade="80"/>
          <w:kern w:val="28"/>
          <w:sz w:val="32"/>
          <w:szCs w:val="32"/>
          <w:lang w:val="en-US"/>
        </w:rPr>
      </w:pPr>
    </w:p>
    <w:p w14:paraId="30547E42" w14:textId="75C87660" w:rsidR="00CF5538" w:rsidRPr="003C1CDE" w:rsidRDefault="001F6C64" w:rsidP="000735CA">
      <w:pPr>
        <w:spacing w:after="120" w:line="240" w:lineRule="auto"/>
        <w:jc w:val="both"/>
        <w:rPr>
          <w:rFonts w:cs="Calibri"/>
          <w:color w:val="auto"/>
          <w:sz w:val="22"/>
          <w:szCs w:val="22"/>
          <w:lang w:val="en-US"/>
        </w:rPr>
      </w:pPr>
      <w:r w:rsidRPr="003C1CDE">
        <w:rPr>
          <w:rFonts w:cs="Calibri"/>
          <w:color w:val="auto"/>
          <w:sz w:val="22"/>
          <w:szCs w:val="22"/>
          <w:lang w:val="en-US"/>
        </w:rPr>
        <w:t xml:space="preserve">The </w:t>
      </w:r>
      <w:r w:rsidR="00FC33AB">
        <w:rPr>
          <w:rFonts w:cs="Calibri"/>
          <w:color w:val="auto"/>
          <w:sz w:val="22"/>
          <w:szCs w:val="22"/>
          <w:lang w:val="en-US"/>
        </w:rPr>
        <w:t>equipment</w:t>
      </w:r>
      <w:r w:rsidR="00FC33AB" w:rsidRPr="003C1CDE">
        <w:rPr>
          <w:rFonts w:cs="Calibri"/>
          <w:color w:val="auto"/>
          <w:sz w:val="22"/>
          <w:szCs w:val="22"/>
          <w:lang w:val="en-US"/>
        </w:rPr>
        <w:t xml:space="preserve"> </w:t>
      </w:r>
      <w:r w:rsidRPr="003C1CDE">
        <w:rPr>
          <w:rFonts w:cs="Calibri"/>
          <w:color w:val="auto"/>
          <w:sz w:val="22"/>
          <w:szCs w:val="22"/>
          <w:lang w:val="en-US"/>
        </w:rPr>
        <w:t xml:space="preserve">offered </w:t>
      </w:r>
      <w:r w:rsidR="00AE24F5" w:rsidRPr="003C1CDE">
        <w:rPr>
          <w:rFonts w:cs="Calibri"/>
          <w:color w:val="auto"/>
          <w:sz w:val="22"/>
          <w:szCs w:val="22"/>
          <w:lang w:val="en-US"/>
        </w:rPr>
        <w:t xml:space="preserve">by the supplier </w:t>
      </w:r>
      <w:r w:rsidR="00AE24F5">
        <w:rPr>
          <w:rFonts w:cs="Calibri"/>
          <w:color w:val="auto"/>
          <w:sz w:val="22"/>
          <w:szCs w:val="22"/>
          <w:lang w:val="en-US"/>
        </w:rPr>
        <w:t xml:space="preserve">and works </w:t>
      </w:r>
      <w:r w:rsidRPr="003C1CDE">
        <w:rPr>
          <w:rFonts w:cs="Calibri"/>
          <w:color w:val="auto"/>
          <w:sz w:val="22"/>
          <w:szCs w:val="22"/>
          <w:lang w:val="en-US"/>
        </w:rPr>
        <w:t>shall meet the requirements set out in this Technical Specification.</w:t>
      </w:r>
      <w:r w:rsidRPr="003C1CDE" w:rsidDel="009C160A">
        <w:rPr>
          <w:rFonts w:cs="Calibri"/>
          <w:color w:val="auto"/>
          <w:sz w:val="22"/>
          <w:szCs w:val="22"/>
          <w:lang w:val="en-US"/>
        </w:rPr>
        <w:t xml:space="preserve"> </w:t>
      </w:r>
    </w:p>
    <w:tbl>
      <w:tblPr>
        <w:tblStyle w:val="GridTable4-Accent11"/>
        <w:tblW w:w="14743" w:type="dxa"/>
        <w:tblInd w:w="-431" w:type="dxa"/>
        <w:tblLayout w:type="fixed"/>
        <w:tblLook w:val="04A0" w:firstRow="1" w:lastRow="0" w:firstColumn="1" w:lastColumn="0" w:noHBand="0" w:noVBand="1"/>
      </w:tblPr>
      <w:tblGrid>
        <w:gridCol w:w="856"/>
        <w:gridCol w:w="2264"/>
        <w:gridCol w:w="3969"/>
        <w:gridCol w:w="4110"/>
        <w:gridCol w:w="3544"/>
      </w:tblGrid>
      <w:tr w:rsidR="00FC33AB" w:rsidRPr="00FC33AB" w14:paraId="665612DE" w14:textId="00D934ED" w:rsidTr="00CA666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Pr>
          <w:p w14:paraId="40426EC2" w14:textId="4043CF3A" w:rsidR="00FC33AB" w:rsidRPr="00FC33AB" w:rsidRDefault="00FC33AB" w:rsidP="00B36F46">
            <w:pPr>
              <w:spacing w:line="240" w:lineRule="auto"/>
              <w:jc w:val="center"/>
              <w:rPr>
                <w:rFonts w:cs="Calibri"/>
                <w:b w:val="0"/>
                <w:sz w:val="22"/>
                <w:szCs w:val="22"/>
                <w:lang w:val="en-US"/>
              </w:rPr>
            </w:pPr>
            <w:r w:rsidRPr="00FC33AB">
              <w:rPr>
                <w:rFonts w:cs="Calibri"/>
                <w:sz w:val="22"/>
                <w:szCs w:val="22"/>
                <w:lang w:val="en-US"/>
              </w:rPr>
              <w:t>No.</w:t>
            </w:r>
          </w:p>
        </w:tc>
        <w:tc>
          <w:tcPr>
            <w:tcW w:w="2264" w:type="dxa"/>
          </w:tcPr>
          <w:p w14:paraId="4F9FEF81" w14:textId="177EA8A0" w:rsidR="00FC33AB" w:rsidRPr="00FC33AB" w:rsidRDefault="00FC33AB"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FC33AB">
              <w:rPr>
                <w:rFonts w:cs="Calibri"/>
                <w:sz w:val="22"/>
                <w:szCs w:val="22"/>
                <w:lang w:val="en-US"/>
              </w:rPr>
              <w:t>Feature</w:t>
            </w:r>
          </w:p>
        </w:tc>
        <w:tc>
          <w:tcPr>
            <w:tcW w:w="3969" w:type="dxa"/>
          </w:tcPr>
          <w:p w14:paraId="45B3F856" w14:textId="376D71CC" w:rsidR="00FC33AB" w:rsidRPr="00FC33AB" w:rsidRDefault="00FC33AB"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FC33AB">
              <w:rPr>
                <w:rFonts w:cs="Calibri"/>
                <w:sz w:val="22"/>
                <w:szCs w:val="22"/>
                <w:lang w:val="en-US"/>
              </w:rPr>
              <w:t>Technical specification requirement</w:t>
            </w:r>
          </w:p>
        </w:tc>
        <w:tc>
          <w:tcPr>
            <w:tcW w:w="4110" w:type="dxa"/>
          </w:tcPr>
          <w:p w14:paraId="665A56A2" w14:textId="142EBFAB" w:rsidR="00FC33AB" w:rsidRPr="00FC33AB" w:rsidRDefault="00FC33AB"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US"/>
              </w:rPr>
            </w:pPr>
            <w:r w:rsidRPr="00FC33AB">
              <w:rPr>
                <w:rFonts w:cs="Calibri"/>
                <w:sz w:val="22"/>
                <w:szCs w:val="22"/>
                <w:lang w:val="en-US"/>
              </w:rPr>
              <w:t>Documents confirming compliance with the requirement</w:t>
            </w:r>
            <w:r w:rsidR="00694052">
              <w:rPr>
                <w:rFonts w:cs="Calibri"/>
                <w:sz w:val="22"/>
                <w:szCs w:val="22"/>
                <w:lang w:val="en-US"/>
              </w:rPr>
              <w:t xml:space="preserve"> </w:t>
            </w:r>
            <w:r w:rsidR="00694052" w:rsidRPr="00694052">
              <w:rPr>
                <w:rFonts w:cs="Calibri"/>
                <w:sz w:val="22"/>
                <w:szCs w:val="22"/>
                <w:lang w:val="en-US"/>
              </w:rPr>
              <w:t>(to be submitted along with the tender during the procurement process)</w:t>
            </w:r>
          </w:p>
        </w:tc>
        <w:tc>
          <w:tcPr>
            <w:tcW w:w="3544" w:type="dxa"/>
          </w:tcPr>
          <w:p w14:paraId="4F51B382" w14:textId="1A44DDB0" w:rsidR="00694052" w:rsidRPr="00694052" w:rsidRDefault="00694052" w:rsidP="00694052">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rPr>
            </w:pPr>
            <w:r w:rsidRPr="00694052">
              <w:rPr>
                <w:rFonts w:cs="Calibri"/>
                <w:sz w:val="22"/>
                <w:szCs w:val="22"/>
              </w:rPr>
              <w:t xml:space="preserve">Comments, questions, suggestions, and recommendations from market participants regarding </w:t>
            </w:r>
            <w:r w:rsidR="005672C3">
              <w:rPr>
                <w:rFonts w:cs="Calibri"/>
                <w:sz w:val="22"/>
                <w:szCs w:val="22"/>
              </w:rPr>
              <w:t>the</w:t>
            </w:r>
            <w:r w:rsidRPr="00694052">
              <w:rPr>
                <w:rFonts w:cs="Calibri"/>
                <w:sz w:val="22"/>
                <w:szCs w:val="22"/>
              </w:rPr>
              <w:t xml:space="preserve"> requirement</w:t>
            </w:r>
          </w:p>
          <w:p w14:paraId="27D01282" w14:textId="062EDFF0" w:rsidR="00FC33AB" w:rsidRPr="00FC33AB" w:rsidRDefault="00FC33AB" w:rsidP="00CA6662">
            <w:pPr>
              <w:spacing w:line="240" w:lineRule="auto"/>
              <w:cnfStyle w:val="100000000000" w:firstRow="1" w:lastRow="0" w:firstColumn="0" w:lastColumn="0" w:oddVBand="0" w:evenVBand="0" w:oddHBand="0" w:evenHBand="0" w:firstRowFirstColumn="0" w:firstRowLastColumn="0" w:lastRowFirstColumn="0" w:lastRowLastColumn="0"/>
              <w:rPr>
                <w:rFonts w:cs="Calibri"/>
                <w:sz w:val="22"/>
                <w:szCs w:val="22"/>
                <w:lang w:val="en-US"/>
              </w:rPr>
            </w:pPr>
          </w:p>
        </w:tc>
      </w:tr>
      <w:tr w:rsidR="00FC33AB" w:rsidRPr="003C1CDE" w14:paraId="439A0F6D" w14:textId="7462D7B9" w:rsidTr="00CA6662">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F149B45" w14:textId="77777777" w:rsidR="00FC33AB" w:rsidRPr="003C1CDE" w:rsidRDefault="00FC33AB" w:rsidP="00311886">
            <w:pPr>
              <w:pStyle w:val="ListParagraph"/>
              <w:numPr>
                <w:ilvl w:val="0"/>
                <w:numId w:val="3"/>
              </w:numPr>
              <w:spacing w:after="0" w:line="240" w:lineRule="auto"/>
              <w:jc w:val="both"/>
              <w:rPr>
                <w:rFonts w:ascii="Calibri" w:hAnsi="Calibri" w:cs="Calibri"/>
                <w:lang w:val="en-US"/>
              </w:rPr>
            </w:pPr>
          </w:p>
        </w:tc>
        <w:tc>
          <w:tcPr>
            <w:tcW w:w="10343" w:type="dxa"/>
            <w:gridSpan w:val="3"/>
            <w:shd w:val="clear" w:color="auto" w:fill="9CC2E5" w:themeFill="accent1" w:themeFillTint="99"/>
          </w:tcPr>
          <w:p w14:paraId="365BD51B" w14:textId="0201591F" w:rsidR="00FC33AB" w:rsidRPr="003C1CDE" w:rsidRDefault="00FC33AB" w:rsidP="0031188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3C1CDE">
              <w:rPr>
                <w:rFonts w:cs="Calibri"/>
                <w:b/>
                <w:i/>
                <w:color w:val="FFFFFF" w:themeColor="background1"/>
                <w:sz w:val="22"/>
                <w:szCs w:val="22"/>
                <w:lang w:val="en-US"/>
              </w:rPr>
              <w:t>General requirements for the object of procurement</w:t>
            </w:r>
          </w:p>
        </w:tc>
        <w:tc>
          <w:tcPr>
            <w:tcW w:w="3544" w:type="dxa"/>
            <w:shd w:val="clear" w:color="auto" w:fill="9CC2E5" w:themeFill="accent1" w:themeFillTint="99"/>
          </w:tcPr>
          <w:p w14:paraId="0EFAB907" w14:textId="77777777" w:rsidR="00FC33AB" w:rsidRPr="003C1CDE" w:rsidRDefault="00FC33AB" w:rsidP="0031188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FFFFFF" w:themeColor="background1"/>
                <w:sz w:val="22"/>
                <w:szCs w:val="22"/>
                <w:lang w:val="en-US"/>
              </w:rPr>
            </w:pPr>
          </w:p>
        </w:tc>
      </w:tr>
      <w:tr w:rsidR="00FC33AB" w:rsidRPr="003C1CDE" w14:paraId="0DD5DC53" w14:textId="4398F11F"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4F3931F" w14:textId="7BAEEE9B" w:rsidR="00FC33AB" w:rsidRPr="003C1CDE" w:rsidRDefault="00FC33AB" w:rsidP="00311886">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t>1.1.</w:t>
            </w:r>
          </w:p>
        </w:tc>
        <w:tc>
          <w:tcPr>
            <w:tcW w:w="2264" w:type="dxa"/>
          </w:tcPr>
          <w:p w14:paraId="6F600A70" w14:textId="7E12358C" w:rsidR="00FC33AB" w:rsidRPr="003C1CDE" w:rsidRDefault="00FC33AB" w:rsidP="00311886">
            <w:pPr>
              <w:spacing w:line="240" w:lineRule="auto"/>
              <w:ind w:left="-113" w:firstLine="113"/>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Object of procurement</w:t>
            </w:r>
          </w:p>
        </w:tc>
        <w:tc>
          <w:tcPr>
            <w:tcW w:w="3969" w:type="dxa"/>
          </w:tcPr>
          <w:p w14:paraId="79D238A6" w14:textId="18DDC1FA" w:rsidR="00FC33AB" w:rsidRPr="00864FCA" w:rsidRDefault="00FC33AB"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lang w:val="en-US"/>
              </w:rPr>
              <w:t>Computed tomography scanner</w:t>
            </w:r>
            <w:r w:rsidRPr="003C1CDE">
              <w:rPr>
                <w:rFonts w:cs="Calibri"/>
                <w:color w:val="auto"/>
                <w:sz w:val="22"/>
                <w:szCs w:val="22"/>
                <w:lang w:val="en-US"/>
              </w:rPr>
              <w:t xml:space="preserve"> with delivery</w:t>
            </w:r>
            <w:r>
              <w:rPr>
                <w:rFonts w:cs="Calibri"/>
                <w:color w:val="auto"/>
                <w:sz w:val="22"/>
                <w:szCs w:val="22"/>
                <w:lang w:val="en-US"/>
              </w:rPr>
              <w:t xml:space="preserve"> and installation (</w:t>
            </w:r>
            <w:r w:rsidRPr="00864FCA">
              <w:rPr>
                <w:rFonts w:cs="Calibri"/>
                <w:color w:val="auto"/>
                <w:sz w:val="22"/>
                <w:szCs w:val="22"/>
                <w:lang w:val="en"/>
              </w:rPr>
              <w:t>installation</w:t>
            </w:r>
            <w:r>
              <w:rPr>
                <w:rFonts w:cs="Calibri"/>
                <w:color w:val="auto"/>
                <w:sz w:val="22"/>
                <w:szCs w:val="22"/>
                <w:lang w:val="en"/>
              </w:rPr>
              <w:t xml:space="preserve"> includes</w:t>
            </w:r>
            <w:r w:rsidRPr="00864FCA">
              <w:rPr>
                <w:rFonts w:cs="Calibri"/>
                <w:color w:val="auto"/>
                <w:sz w:val="22"/>
                <w:szCs w:val="22"/>
                <w:lang w:val="en"/>
              </w:rPr>
              <w:t xml:space="preserve"> of a modular, containerized or other solution for operating a computed tomography scanner and its accompanying equipment.</w:t>
            </w:r>
            <w:r>
              <w:rPr>
                <w:rFonts w:cs="Calibri"/>
                <w:color w:val="auto"/>
                <w:sz w:val="22"/>
                <w:szCs w:val="22"/>
              </w:rPr>
              <w:t>)</w:t>
            </w:r>
          </w:p>
          <w:p w14:paraId="527D6665" w14:textId="267236E4" w:rsidR="00FC33AB" w:rsidRPr="003C1CDE" w:rsidRDefault="00AE24F5"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Pr>
                <w:rFonts w:cs="Calibri"/>
                <w:color w:val="auto"/>
                <w:sz w:val="22"/>
                <w:szCs w:val="22"/>
                <w:lang w:val="en-US"/>
              </w:rPr>
              <w:t xml:space="preserve">The </w:t>
            </w:r>
            <w:r>
              <w:rPr>
                <w:rFonts w:cs="Calibri"/>
                <w:bCs/>
                <w:iCs/>
                <w:color w:val="auto"/>
                <w:sz w:val="22"/>
                <w:szCs w:val="22"/>
                <w:lang w:val="en-US"/>
              </w:rPr>
              <w:t>equipment</w:t>
            </w:r>
            <w:r w:rsidRPr="003C1CDE">
              <w:rPr>
                <w:rFonts w:cs="Calibri"/>
                <w:color w:val="auto"/>
                <w:sz w:val="22"/>
                <w:szCs w:val="22"/>
                <w:lang w:val="en-US"/>
              </w:rPr>
              <w:t xml:space="preserve"> </w:t>
            </w:r>
            <w:r w:rsidR="00FC33AB" w:rsidRPr="003C1CDE">
              <w:rPr>
                <w:rFonts w:cs="Calibri"/>
                <w:color w:val="auto"/>
                <w:sz w:val="22"/>
                <w:szCs w:val="22"/>
                <w:lang w:val="en-US"/>
              </w:rPr>
              <w:t>must be manufactured</w:t>
            </w:r>
            <w:r w:rsidR="00FC33AB">
              <w:rPr>
                <w:rFonts w:cs="Calibri"/>
                <w:color w:val="auto"/>
                <w:sz w:val="22"/>
                <w:szCs w:val="22"/>
                <w:lang w:val="en-US"/>
              </w:rPr>
              <w:t xml:space="preserve">, </w:t>
            </w:r>
            <w:r w:rsidR="00FC33AB" w:rsidRPr="003C1CDE">
              <w:rPr>
                <w:rFonts w:cs="Calibri"/>
                <w:color w:val="auto"/>
                <w:sz w:val="22"/>
                <w:szCs w:val="22"/>
                <w:lang w:val="en-US"/>
              </w:rPr>
              <w:t xml:space="preserve">delivered </w:t>
            </w:r>
            <w:r w:rsidR="00FC33AB">
              <w:rPr>
                <w:rFonts w:cs="Calibri"/>
                <w:color w:val="auto"/>
                <w:sz w:val="22"/>
                <w:szCs w:val="22"/>
                <w:lang w:val="en-US"/>
              </w:rPr>
              <w:t xml:space="preserve">and installed </w:t>
            </w:r>
            <w:r w:rsidR="00FC33AB" w:rsidRPr="003C1CDE">
              <w:rPr>
                <w:rFonts w:cs="Calibri"/>
                <w:color w:val="auto"/>
                <w:sz w:val="22"/>
                <w:szCs w:val="22"/>
                <w:lang w:val="en-US"/>
              </w:rPr>
              <w:t xml:space="preserve">accordance with the requirements set out below. </w:t>
            </w:r>
          </w:p>
        </w:tc>
        <w:tc>
          <w:tcPr>
            <w:tcW w:w="4110" w:type="dxa"/>
          </w:tcPr>
          <w:p w14:paraId="1EC512F4" w14:textId="77777777" w:rsidR="00FC33AB" w:rsidRPr="003C1CDE" w:rsidRDefault="00FC33AB"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p w14:paraId="2FCE0656" w14:textId="0ED21CB0" w:rsidR="00FC33AB" w:rsidRPr="003C1CDE" w:rsidRDefault="00FC33AB"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544" w:type="dxa"/>
          </w:tcPr>
          <w:p w14:paraId="5D671936" w14:textId="77777777" w:rsidR="00FC33AB" w:rsidRPr="003C1CDE" w:rsidRDefault="00FC33AB"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4CC325E6" w14:textId="573F1C7C"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7E464AC8" w:rsidR="00FC33AB" w:rsidRPr="003C1CDE" w:rsidRDefault="00FC33AB" w:rsidP="00311886">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t>1.2.</w:t>
            </w:r>
          </w:p>
        </w:tc>
        <w:tc>
          <w:tcPr>
            <w:tcW w:w="2264" w:type="dxa"/>
          </w:tcPr>
          <w:p w14:paraId="4D6463D5" w14:textId="1A283A77" w:rsidR="00FC33AB" w:rsidRPr="003C1CDE" w:rsidRDefault="00FC33AB"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 xml:space="preserve">Quantity </w:t>
            </w:r>
          </w:p>
        </w:tc>
        <w:tc>
          <w:tcPr>
            <w:tcW w:w="3969" w:type="dxa"/>
          </w:tcPr>
          <w:p w14:paraId="1F56B088" w14:textId="7547ADA6" w:rsidR="00FC33AB" w:rsidRPr="003C1CDE" w:rsidRDefault="00FC33AB" w:rsidP="0062332D">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lang w:val="en-US"/>
              </w:rPr>
            </w:pPr>
            <w:r>
              <w:rPr>
                <w:rFonts w:cs="Calibri"/>
                <w:bCs/>
                <w:iCs/>
                <w:color w:val="auto"/>
                <w:sz w:val="22"/>
                <w:szCs w:val="22"/>
                <w:lang w:val="en-US"/>
              </w:rPr>
              <w:t>O</w:t>
            </w:r>
            <w:r w:rsidRPr="00A6595A">
              <w:rPr>
                <w:rFonts w:cs="Calibri"/>
                <w:bCs/>
                <w:iCs/>
                <w:color w:val="auto"/>
                <w:sz w:val="22"/>
                <w:szCs w:val="22"/>
                <w:lang w:val="en-US"/>
              </w:rPr>
              <w:t xml:space="preserve">ne complete and functioning device with all necessary components </w:t>
            </w:r>
            <w:r w:rsidRPr="00747EF0">
              <w:rPr>
                <w:rFonts w:cs="Calibri"/>
                <w:bCs/>
                <w:iCs/>
                <w:color w:val="auto"/>
                <w:sz w:val="22"/>
                <w:szCs w:val="22"/>
                <w:lang w:val="en-US"/>
              </w:rPr>
              <w:t>described in section</w:t>
            </w:r>
            <w:r>
              <w:rPr>
                <w:rFonts w:cs="Calibri"/>
                <w:bCs/>
                <w:iCs/>
                <w:color w:val="auto"/>
                <w:sz w:val="22"/>
                <w:szCs w:val="22"/>
                <w:lang w:val="en-US"/>
              </w:rPr>
              <w:t>s below.</w:t>
            </w:r>
          </w:p>
        </w:tc>
        <w:tc>
          <w:tcPr>
            <w:tcW w:w="4110" w:type="dxa"/>
          </w:tcPr>
          <w:p w14:paraId="57E15D21" w14:textId="681E20EA" w:rsidR="00FC33AB" w:rsidRPr="003C1CDE" w:rsidRDefault="00FC33AB"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2B34A228" w14:textId="77777777" w:rsidR="00FC33AB" w:rsidRPr="003C1CDE" w:rsidRDefault="00FC33AB"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7D377130" w14:textId="1D3D9B98"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0A3FA25E" w14:textId="1B0174F2" w:rsidR="00FC33AB" w:rsidRPr="003C1CDE" w:rsidRDefault="00FC33AB" w:rsidP="00554CC6">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t>1.3.</w:t>
            </w:r>
          </w:p>
        </w:tc>
        <w:tc>
          <w:tcPr>
            <w:tcW w:w="2264" w:type="dxa"/>
          </w:tcPr>
          <w:p w14:paraId="4644A6D9"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Delivery location</w:t>
            </w:r>
          </w:p>
        </w:tc>
        <w:tc>
          <w:tcPr>
            <w:tcW w:w="3969" w:type="dxa"/>
          </w:tcPr>
          <w:p w14:paraId="68B9EECC" w14:textId="77721D03"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shd w:val="clear" w:color="auto" w:fill="F2F2F2" w:themeFill="background1" w:themeFillShade="F2"/>
                <w:lang w:val="en-US"/>
              </w:rPr>
            </w:pPr>
            <w:r w:rsidRPr="00AA1E51">
              <w:rPr>
                <w:rFonts w:cs="Calibri"/>
                <w:color w:val="auto"/>
                <w:sz w:val="22"/>
                <w:szCs w:val="22"/>
                <w:highlight w:val="lightGray"/>
                <w:shd w:val="clear" w:color="auto" w:fill="F2F2F2" w:themeFill="background1" w:themeFillShade="F2"/>
                <w:lang w:val="en-US"/>
              </w:rPr>
              <w:t>---------------------</w:t>
            </w:r>
            <w:r w:rsidRPr="008E250D">
              <w:rPr>
                <w:rFonts w:cs="Calibri"/>
                <w:color w:val="auto"/>
                <w:sz w:val="22"/>
                <w:szCs w:val="22"/>
                <w:shd w:val="clear" w:color="auto" w:fill="F2F2F2" w:themeFill="background1" w:themeFillShade="F2"/>
                <w:lang w:val="en-US"/>
              </w:rPr>
              <w:t>, Ukraine,</w:t>
            </w:r>
          </w:p>
        </w:tc>
        <w:tc>
          <w:tcPr>
            <w:tcW w:w="4110" w:type="dxa"/>
          </w:tcPr>
          <w:p w14:paraId="400AE672"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5F86DF7F"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7F4EE6D8" w14:textId="5438FDB3"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56496AA4" w14:textId="6676B6F1" w:rsidR="00FC33AB" w:rsidRPr="003C1CDE" w:rsidRDefault="00FC33AB" w:rsidP="004852C5">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lastRenderedPageBreak/>
              <w:t>1.</w:t>
            </w:r>
            <w:r>
              <w:rPr>
                <w:rFonts w:cs="Calibri"/>
                <w:b w:val="0"/>
                <w:bCs w:val="0"/>
                <w:color w:val="auto"/>
                <w:sz w:val="22"/>
                <w:szCs w:val="22"/>
                <w:lang w:val="en-US"/>
              </w:rPr>
              <w:t>4</w:t>
            </w:r>
            <w:r w:rsidRPr="003C1CDE">
              <w:rPr>
                <w:rFonts w:cs="Calibri"/>
                <w:b w:val="0"/>
                <w:bCs w:val="0"/>
                <w:color w:val="auto"/>
                <w:sz w:val="22"/>
                <w:szCs w:val="22"/>
                <w:lang w:val="en-US"/>
              </w:rPr>
              <w:t>.</w:t>
            </w:r>
          </w:p>
        </w:tc>
        <w:tc>
          <w:tcPr>
            <w:tcW w:w="2264" w:type="dxa"/>
          </w:tcPr>
          <w:p w14:paraId="598D0957" w14:textId="7E69C66D" w:rsidR="00FC33AB" w:rsidRPr="003C1CDE" w:rsidRDefault="00FC33AB" w:rsidP="004852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Terms</w:t>
            </w:r>
            <w:r w:rsidRPr="003C1CDE">
              <w:rPr>
                <w:rFonts w:cs="Calibri"/>
                <w:color w:val="auto"/>
                <w:sz w:val="22"/>
                <w:szCs w:val="22"/>
                <w:lang w:val="en-US"/>
              </w:rPr>
              <w:t xml:space="preserve"> </w:t>
            </w:r>
          </w:p>
        </w:tc>
        <w:tc>
          <w:tcPr>
            <w:tcW w:w="3969" w:type="dxa"/>
          </w:tcPr>
          <w:p w14:paraId="12AC40CD" w14:textId="06B07F9B" w:rsidR="00FC33AB" w:rsidRPr="003C1CDE" w:rsidRDefault="00FC33AB" w:rsidP="004852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Cs/>
                <w:i/>
                <w:iCs/>
                <w:color w:val="auto"/>
                <w:sz w:val="22"/>
                <w:szCs w:val="22"/>
                <w:lang w:val="en-US"/>
              </w:rPr>
            </w:pPr>
            <w:r w:rsidRPr="00331E79">
              <w:rPr>
                <w:rFonts w:cs="Calibri"/>
                <w:bCs/>
                <w:iCs/>
                <w:color w:val="auto"/>
                <w:sz w:val="22"/>
                <w:szCs w:val="22"/>
                <w:lang w:val="en-US"/>
              </w:rPr>
              <w:t xml:space="preserve">The entire set of </w:t>
            </w:r>
            <w:r w:rsidR="00AE24F5">
              <w:rPr>
                <w:rFonts w:cs="Calibri"/>
                <w:bCs/>
                <w:iCs/>
                <w:color w:val="auto"/>
                <w:sz w:val="22"/>
                <w:szCs w:val="22"/>
                <w:lang w:val="en-US"/>
              </w:rPr>
              <w:t>equipment</w:t>
            </w:r>
            <w:r w:rsidRPr="00331E79">
              <w:rPr>
                <w:rFonts w:cs="Calibri"/>
                <w:bCs/>
                <w:iCs/>
                <w:color w:val="auto"/>
                <w:sz w:val="22"/>
                <w:szCs w:val="22"/>
                <w:lang w:val="en-US"/>
              </w:rPr>
              <w:t xml:space="preserve"> offered must be delivered and installed within no</w:t>
            </w:r>
            <w:r>
              <w:rPr>
                <w:rFonts w:cs="Calibri"/>
                <w:bCs/>
                <w:iCs/>
                <w:color w:val="auto"/>
                <w:sz w:val="22"/>
                <w:szCs w:val="22"/>
                <w:lang w:val="en-US"/>
              </w:rPr>
              <w:t>t more than 10</w:t>
            </w:r>
            <w:r w:rsidRPr="00331E79">
              <w:rPr>
                <w:rFonts w:cs="Calibri"/>
                <w:bCs/>
                <w:iCs/>
                <w:color w:val="auto"/>
                <w:sz w:val="22"/>
                <w:szCs w:val="22"/>
                <w:lang w:val="en-US"/>
              </w:rPr>
              <w:t xml:space="preserve"> months after signing the contract.</w:t>
            </w:r>
          </w:p>
        </w:tc>
        <w:tc>
          <w:tcPr>
            <w:tcW w:w="4110" w:type="dxa"/>
          </w:tcPr>
          <w:p w14:paraId="753EA50D" w14:textId="77777777" w:rsidR="00FC33AB" w:rsidRPr="003C1CDE" w:rsidRDefault="00FC33AB" w:rsidP="004852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2969B1D1" w14:textId="77777777" w:rsidR="00FC33AB" w:rsidRPr="003C1CDE" w:rsidRDefault="00FC33AB" w:rsidP="004852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25936DC9" w14:textId="56D76715"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79FC572F" w:rsidR="00FC33AB" w:rsidRPr="003C1CDE" w:rsidRDefault="00FC33AB" w:rsidP="00554CC6">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t>1.</w:t>
            </w:r>
            <w:r>
              <w:rPr>
                <w:rFonts w:cs="Calibri"/>
                <w:b w:val="0"/>
                <w:bCs w:val="0"/>
                <w:color w:val="auto"/>
                <w:sz w:val="22"/>
                <w:szCs w:val="22"/>
                <w:lang w:val="en-US"/>
              </w:rPr>
              <w:t>5</w:t>
            </w:r>
            <w:r w:rsidRPr="003C1CDE">
              <w:rPr>
                <w:rFonts w:cs="Calibri"/>
                <w:b w:val="0"/>
                <w:bCs w:val="0"/>
                <w:color w:val="auto"/>
                <w:sz w:val="22"/>
                <w:szCs w:val="22"/>
                <w:lang w:val="en-US"/>
              </w:rPr>
              <w:t>.</w:t>
            </w:r>
          </w:p>
        </w:tc>
        <w:tc>
          <w:tcPr>
            <w:tcW w:w="2264" w:type="dxa"/>
          </w:tcPr>
          <w:p w14:paraId="28EFF587" w14:textId="0A8194B9"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Manufacturing the equipment</w:t>
            </w:r>
          </w:p>
        </w:tc>
        <w:tc>
          <w:tcPr>
            <w:tcW w:w="3969" w:type="dxa"/>
          </w:tcPr>
          <w:p w14:paraId="18AB0D58" w14:textId="4B6A8DA7"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 xml:space="preserve">The equipment must be new and unused and delivered in the manufacturer's original packaging. Used or used and refurbished </w:t>
            </w:r>
            <w:r>
              <w:rPr>
                <w:rFonts w:cs="Calibri"/>
                <w:color w:val="auto"/>
                <w:sz w:val="22"/>
                <w:szCs w:val="22"/>
                <w:lang w:val="en-US"/>
              </w:rPr>
              <w:t>equipment</w:t>
            </w:r>
            <w:r w:rsidRPr="003C1CDE">
              <w:rPr>
                <w:rFonts w:cs="Calibri"/>
                <w:color w:val="auto"/>
                <w:sz w:val="22"/>
                <w:szCs w:val="22"/>
                <w:lang w:val="en-US"/>
              </w:rPr>
              <w:t xml:space="preserve"> cannot be offered. </w:t>
            </w:r>
          </w:p>
        </w:tc>
        <w:tc>
          <w:tcPr>
            <w:tcW w:w="4110" w:type="dxa"/>
          </w:tcPr>
          <w:p w14:paraId="5CF8314D" w14:textId="4083E13E"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209A6766"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24013A56" w14:textId="5E7D7491"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64464707" w:rsidR="00FC33AB" w:rsidRPr="003C1CDE" w:rsidRDefault="00FC33AB" w:rsidP="00554CC6">
            <w:pPr>
              <w:spacing w:after="120" w:line="240" w:lineRule="auto"/>
              <w:ind w:left="164"/>
              <w:jc w:val="both"/>
              <w:rPr>
                <w:rFonts w:cs="Calibri"/>
                <w:b w:val="0"/>
                <w:color w:val="auto"/>
                <w:sz w:val="22"/>
                <w:szCs w:val="22"/>
                <w:lang w:val="en-US"/>
              </w:rPr>
            </w:pPr>
            <w:r w:rsidRPr="003C1CDE">
              <w:rPr>
                <w:rFonts w:cs="Calibri"/>
                <w:b w:val="0"/>
                <w:color w:val="auto"/>
                <w:sz w:val="22"/>
                <w:szCs w:val="22"/>
                <w:lang w:val="en-US"/>
              </w:rPr>
              <w:t>1.</w:t>
            </w:r>
            <w:r>
              <w:rPr>
                <w:rFonts w:cs="Calibri"/>
                <w:b w:val="0"/>
                <w:color w:val="auto"/>
                <w:sz w:val="22"/>
                <w:szCs w:val="22"/>
                <w:lang w:val="en-US"/>
              </w:rPr>
              <w:t>6</w:t>
            </w:r>
            <w:r w:rsidRPr="003C1CDE">
              <w:rPr>
                <w:rFonts w:cs="Calibri"/>
                <w:b w:val="0"/>
                <w:color w:val="auto"/>
                <w:sz w:val="22"/>
                <w:szCs w:val="22"/>
                <w:lang w:val="en-US"/>
              </w:rPr>
              <w:t>.</w:t>
            </w:r>
          </w:p>
        </w:tc>
        <w:tc>
          <w:tcPr>
            <w:tcW w:w="2264" w:type="dxa"/>
          </w:tcPr>
          <w:p w14:paraId="47E6F3BB" w14:textId="5211C6FE" w:rsidR="00FC33AB" w:rsidRPr="00ED4A1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D4A16">
              <w:rPr>
                <w:rFonts w:cs="Calibri"/>
                <w:color w:val="auto"/>
                <w:sz w:val="22"/>
                <w:szCs w:val="22"/>
                <w:lang w:val="en-US"/>
              </w:rPr>
              <w:t>Warranty</w:t>
            </w:r>
          </w:p>
        </w:tc>
        <w:tc>
          <w:tcPr>
            <w:tcW w:w="3969" w:type="dxa"/>
          </w:tcPr>
          <w:p w14:paraId="2D1EC4B3" w14:textId="1A77EF4F" w:rsidR="00FC33AB" w:rsidRPr="00ED4A16" w:rsidRDefault="00AE24F5"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O</w:t>
            </w:r>
            <w:r w:rsidR="00FC33AB" w:rsidRPr="00ED4A16">
              <w:rPr>
                <w:rFonts w:cs="Calibri"/>
                <w:color w:val="auto"/>
                <w:sz w:val="22"/>
                <w:szCs w:val="22"/>
                <w:lang w:val="en-US"/>
              </w:rPr>
              <w:t xml:space="preserve">ffered </w:t>
            </w:r>
            <w:r>
              <w:rPr>
                <w:rFonts w:cs="Calibri"/>
                <w:bCs/>
                <w:iCs/>
                <w:color w:val="auto"/>
                <w:sz w:val="22"/>
                <w:szCs w:val="22"/>
                <w:lang w:val="en-US"/>
              </w:rPr>
              <w:t>equipment</w:t>
            </w:r>
            <w:r>
              <w:rPr>
                <w:rFonts w:cs="Calibri"/>
                <w:color w:val="auto"/>
                <w:sz w:val="22"/>
                <w:szCs w:val="22"/>
                <w:lang w:val="en-US"/>
              </w:rPr>
              <w:t xml:space="preserve"> </w:t>
            </w:r>
            <w:r w:rsidR="00FC33AB" w:rsidRPr="00ED4A16">
              <w:rPr>
                <w:rFonts w:cs="Calibri"/>
                <w:color w:val="auto"/>
                <w:sz w:val="22"/>
                <w:szCs w:val="22"/>
                <w:lang w:val="en-US"/>
              </w:rPr>
              <w:t>and the final result must be covered by a warranty of at least 24 months.</w:t>
            </w:r>
          </w:p>
          <w:p w14:paraId="1E4A0866" w14:textId="72C6F7C2" w:rsidR="00FC33AB" w:rsidRPr="00ED4A1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D4A16">
              <w:rPr>
                <w:rFonts w:cs="Calibri"/>
                <w:color w:val="auto"/>
                <w:sz w:val="22"/>
                <w:szCs w:val="22"/>
                <w:lang w:val="en-US"/>
              </w:rPr>
              <w:t>On-site service response shall be provided within 72 hours after fault notification.</w:t>
            </w:r>
          </w:p>
          <w:p w14:paraId="71EE441A" w14:textId="77777777" w:rsidR="00FC33AB"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DB0DC1">
              <w:rPr>
                <w:rFonts w:cs="Calibri"/>
                <w:color w:val="auto"/>
                <w:sz w:val="22"/>
                <w:szCs w:val="22"/>
                <w:lang w:val="en-US"/>
              </w:rPr>
              <w:t>Preventive maintenance required by the manufacturer during the warranty period shall be included in the offered price and performed in accordance with the manufacturer's maintenance schedule and recommendations.</w:t>
            </w:r>
          </w:p>
          <w:p w14:paraId="08C0D41C" w14:textId="61C5878E" w:rsidR="00FC33AB" w:rsidRPr="00ED4A1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D4A16">
              <w:rPr>
                <w:rFonts w:cs="Calibri"/>
                <w:color w:val="auto"/>
                <w:sz w:val="22"/>
                <w:szCs w:val="22"/>
                <w:lang w:val="en-US"/>
              </w:rPr>
              <w:t>The warranty must be provided by the Supplier and/or by the manufacturer and/or its representative in the service location indicated in the territory of beneficiary’s country, and if there are no service stations of the Supplier, manufacturer or its representative in the indicated territory, the equipment shall be transported and returned by the Supplier for warranty service at its own expense from the Beneficiary's places of deployment.</w:t>
            </w:r>
          </w:p>
          <w:p w14:paraId="02211D30" w14:textId="3A68D7EC" w:rsidR="00FC33AB" w:rsidRPr="00ED4A1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D4A16">
              <w:rPr>
                <w:rFonts w:cs="Calibri"/>
                <w:color w:val="auto"/>
                <w:sz w:val="22"/>
                <w:szCs w:val="22"/>
                <w:lang w:val="en-US"/>
              </w:rPr>
              <w:t xml:space="preserve">The Supplier shall ensure availability of original or equivalent spare parts for not </w:t>
            </w:r>
            <w:r w:rsidRPr="00ED4A16">
              <w:rPr>
                <w:rFonts w:cs="Calibri"/>
                <w:color w:val="auto"/>
                <w:sz w:val="22"/>
                <w:szCs w:val="22"/>
                <w:lang w:val="en-US"/>
              </w:rPr>
              <w:lastRenderedPageBreak/>
              <w:t>less than 5 years after expiry of the warranty period.</w:t>
            </w:r>
          </w:p>
        </w:tc>
        <w:tc>
          <w:tcPr>
            <w:tcW w:w="4110" w:type="dxa"/>
          </w:tcPr>
          <w:p w14:paraId="1B766C13" w14:textId="77777777"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lastRenderedPageBreak/>
              <w:t>The supplier declares compliance with this requirement in section 5 of the Tender form and also submits the following supporting documents:</w:t>
            </w:r>
          </w:p>
          <w:p w14:paraId="4B695C28" w14:textId="5D160DEB"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c>
          <w:tcPr>
            <w:tcW w:w="3544" w:type="dxa"/>
          </w:tcPr>
          <w:p w14:paraId="0DEDC794" w14:textId="77777777"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3B24DD12" w14:textId="760E37A1"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08536766" w14:textId="18EFCB3B" w:rsidR="00FC33AB" w:rsidRPr="003C1CDE" w:rsidRDefault="00FC33AB" w:rsidP="00554CC6">
            <w:pPr>
              <w:spacing w:after="120" w:line="240" w:lineRule="auto"/>
              <w:ind w:left="164"/>
              <w:jc w:val="both"/>
              <w:rPr>
                <w:rFonts w:cs="Calibri"/>
                <w:b w:val="0"/>
                <w:bCs w:val="0"/>
                <w:color w:val="auto"/>
                <w:sz w:val="22"/>
                <w:szCs w:val="22"/>
                <w:lang w:val="en-US"/>
              </w:rPr>
            </w:pPr>
            <w:r w:rsidRPr="003C1CDE">
              <w:rPr>
                <w:rFonts w:cs="Calibri"/>
                <w:b w:val="0"/>
                <w:bCs w:val="0"/>
                <w:color w:val="auto"/>
                <w:sz w:val="22"/>
                <w:szCs w:val="22"/>
                <w:lang w:val="en-US"/>
              </w:rPr>
              <w:t>1.</w:t>
            </w:r>
            <w:r>
              <w:rPr>
                <w:rFonts w:cs="Calibri"/>
                <w:b w:val="0"/>
                <w:bCs w:val="0"/>
                <w:color w:val="auto"/>
                <w:sz w:val="22"/>
                <w:szCs w:val="22"/>
                <w:lang w:val="en-US"/>
              </w:rPr>
              <w:t>7</w:t>
            </w:r>
            <w:r w:rsidRPr="003C1CDE">
              <w:rPr>
                <w:rFonts w:cs="Calibri"/>
                <w:b w:val="0"/>
                <w:bCs w:val="0"/>
                <w:color w:val="auto"/>
                <w:sz w:val="22"/>
                <w:szCs w:val="22"/>
                <w:lang w:val="en-US"/>
              </w:rPr>
              <w:t>.</w:t>
            </w:r>
          </w:p>
        </w:tc>
        <w:tc>
          <w:tcPr>
            <w:tcW w:w="2264" w:type="dxa"/>
          </w:tcPr>
          <w:p w14:paraId="02B25793" w14:textId="0624620D"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 xml:space="preserve">Documentation to be supplied with the </w:t>
            </w:r>
            <w:r w:rsidR="00AE24F5">
              <w:rPr>
                <w:rFonts w:cs="Calibri"/>
                <w:bCs/>
                <w:iCs/>
                <w:color w:val="auto"/>
                <w:sz w:val="22"/>
                <w:szCs w:val="22"/>
                <w:lang w:val="en-US"/>
              </w:rPr>
              <w:t>equipment</w:t>
            </w:r>
          </w:p>
        </w:tc>
        <w:tc>
          <w:tcPr>
            <w:tcW w:w="3969" w:type="dxa"/>
          </w:tcPr>
          <w:p w14:paraId="0ED659A1" w14:textId="12FB29D9"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t>All items</w:t>
            </w:r>
            <w:r w:rsidRPr="003C1CDE">
              <w:rPr>
                <w:rFonts w:cs="Calibri"/>
                <w:color w:val="auto"/>
                <w:sz w:val="22"/>
                <w:szCs w:val="22"/>
                <w:lang w:val="en-US"/>
              </w:rPr>
              <w:t xml:space="preserve"> must be supplied with printed maintenance and user manual in English and/or one of the official languages of the beneficiary.</w:t>
            </w:r>
          </w:p>
        </w:tc>
        <w:tc>
          <w:tcPr>
            <w:tcW w:w="4110" w:type="dxa"/>
          </w:tcPr>
          <w:p w14:paraId="503923F2" w14:textId="410AA2E9"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1A79048A"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CE58A3" w14:paraId="7469F3FC" w14:textId="2FAFEF16"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1F8B8A9" w14:textId="0984ED60" w:rsidR="00FC33AB" w:rsidRPr="00CE58A3" w:rsidRDefault="00FC33AB" w:rsidP="00554CC6">
            <w:pPr>
              <w:spacing w:after="120" w:line="240" w:lineRule="auto"/>
              <w:ind w:left="164"/>
              <w:jc w:val="both"/>
              <w:rPr>
                <w:rFonts w:cs="Calibri"/>
                <w:b w:val="0"/>
                <w:bCs w:val="0"/>
                <w:color w:val="auto"/>
                <w:sz w:val="22"/>
                <w:szCs w:val="22"/>
                <w:lang w:val="en-US"/>
              </w:rPr>
            </w:pPr>
            <w:r w:rsidRPr="00CE58A3">
              <w:rPr>
                <w:rFonts w:cs="Calibri"/>
                <w:b w:val="0"/>
                <w:bCs w:val="0"/>
                <w:color w:val="auto"/>
                <w:sz w:val="22"/>
                <w:szCs w:val="22"/>
                <w:lang w:val="en-US"/>
              </w:rPr>
              <w:t>1.8.</w:t>
            </w:r>
          </w:p>
        </w:tc>
        <w:tc>
          <w:tcPr>
            <w:tcW w:w="2264" w:type="dxa"/>
          </w:tcPr>
          <w:p w14:paraId="6DD10F0C" w14:textId="34931012" w:rsidR="00FC33AB" w:rsidRPr="00CE58A3"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E58A3">
              <w:rPr>
                <w:rFonts w:cs="Calibri"/>
                <w:color w:val="auto"/>
                <w:sz w:val="22"/>
                <w:szCs w:val="22"/>
                <w:lang w:val="en-US"/>
              </w:rPr>
              <w:t>Training</w:t>
            </w:r>
          </w:p>
        </w:tc>
        <w:tc>
          <w:tcPr>
            <w:tcW w:w="3969" w:type="dxa"/>
          </w:tcPr>
          <w:p w14:paraId="09D83374" w14:textId="6C5234F0" w:rsidR="00FC33AB" w:rsidRPr="00EA4D23" w:rsidRDefault="00FC33AB" w:rsidP="00EA4D2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E58A3">
              <w:rPr>
                <w:rFonts w:cs="Calibri"/>
                <w:color w:val="auto"/>
                <w:sz w:val="22"/>
                <w:szCs w:val="22"/>
                <w:lang w:val="en-US"/>
              </w:rPr>
              <w:t>Training for medical and technical personnel must be included in the offered price</w:t>
            </w:r>
            <w:r>
              <w:rPr>
                <w:rFonts w:cs="Calibri"/>
                <w:color w:val="auto"/>
                <w:sz w:val="22"/>
                <w:szCs w:val="22"/>
                <w:lang w:val="en-US"/>
              </w:rPr>
              <w:t xml:space="preserve">. </w:t>
            </w:r>
            <w:r w:rsidRPr="00EA4D23">
              <w:rPr>
                <w:rFonts w:cs="Calibri"/>
                <w:color w:val="auto"/>
                <w:sz w:val="22"/>
                <w:szCs w:val="22"/>
                <w:lang w:val="en-US"/>
              </w:rPr>
              <w:t>The supplier shall provide comprehensive on-site training for not less than 5 medical personnel and not less than 2 technical personnel, ensuring full preparation and competency for operation and use of the equipment.</w:t>
            </w:r>
          </w:p>
          <w:p w14:paraId="083B2FAE" w14:textId="463AAB4D" w:rsidR="00FC33AB" w:rsidRPr="00EA4D23" w:rsidRDefault="00FC33AB" w:rsidP="00EA4D2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EA4D23">
              <w:rPr>
                <w:rFonts w:cs="Calibri"/>
                <w:color w:val="auto"/>
                <w:sz w:val="22"/>
                <w:szCs w:val="22"/>
                <w:lang w:val="en-US"/>
              </w:rPr>
              <w:t>The training shall be conducted at the equipment installation site after delivery, installation and commissioning of the fully operational system</w:t>
            </w:r>
          </w:p>
        </w:tc>
        <w:tc>
          <w:tcPr>
            <w:tcW w:w="4110" w:type="dxa"/>
          </w:tcPr>
          <w:p w14:paraId="61A0E47A" w14:textId="095D88F9" w:rsidR="00FC33AB" w:rsidRPr="00CE58A3"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0B73E760" w14:textId="77777777" w:rsidR="00FC33AB" w:rsidRPr="003C1CDE"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CE58A3" w14:paraId="1915F386" w14:textId="7880132E"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474002CD" w14:textId="60DFEC9B" w:rsidR="00FC33AB" w:rsidRPr="00CE58A3" w:rsidRDefault="00FC33AB" w:rsidP="00554CC6">
            <w:pPr>
              <w:spacing w:after="120" w:line="240" w:lineRule="auto"/>
              <w:ind w:left="164"/>
              <w:jc w:val="both"/>
              <w:rPr>
                <w:rFonts w:cs="Calibri"/>
                <w:b w:val="0"/>
                <w:bCs w:val="0"/>
                <w:color w:val="auto"/>
                <w:sz w:val="22"/>
                <w:szCs w:val="22"/>
                <w:lang w:val="en-US"/>
              </w:rPr>
            </w:pPr>
            <w:r w:rsidRPr="00CE58A3">
              <w:rPr>
                <w:rFonts w:cs="Calibri"/>
                <w:b w:val="0"/>
                <w:bCs w:val="0"/>
                <w:color w:val="auto"/>
                <w:sz w:val="22"/>
                <w:szCs w:val="22"/>
                <w:lang w:val="en-US"/>
              </w:rPr>
              <w:t>1.9.</w:t>
            </w:r>
          </w:p>
        </w:tc>
        <w:tc>
          <w:tcPr>
            <w:tcW w:w="2264" w:type="dxa"/>
          </w:tcPr>
          <w:p w14:paraId="7DB8560D" w14:textId="6E60687E" w:rsidR="00FC33AB" w:rsidRPr="00CE58A3"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E58A3">
              <w:rPr>
                <w:rFonts w:cs="Calibri"/>
                <w:color w:val="auto"/>
                <w:sz w:val="22"/>
                <w:szCs w:val="22"/>
                <w:lang w:val="en-US"/>
              </w:rPr>
              <w:t>Installation</w:t>
            </w:r>
          </w:p>
        </w:tc>
        <w:tc>
          <w:tcPr>
            <w:tcW w:w="3969" w:type="dxa"/>
          </w:tcPr>
          <w:p w14:paraId="23CA19ED" w14:textId="121E5763" w:rsidR="00FC33AB" w:rsidRPr="00CE58A3"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t>For all purchase scope d</w:t>
            </w:r>
            <w:r w:rsidRPr="00CE58A3">
              <w:rPr>
                <w:rFonts w:cs="Calibri"/>
                <w:color w:val="auto"/>
                <w:sz w:val="22"/>
                <w:szCs w:val="22"/>
                <w:lang w:val="en-US"/>
              </w:rPr>
              <w:t xml:space="preserve">elivery, unloading, installation, commissioning, adjustment and testing </w:t>
            </w:r>
            <w:r>
              <w:rPr>
                <w:rFonts w:cs="Calibri"/>
                <w:color w:val="auto"/>
                <w:sz w:val="22"/>
                <w:szCs w:val="22"/>
                <w:lang w:val="en-US"/>
              </w:rPr>
              <w:t>must</w:t>
            </w:r>
            <w:r w:rsidRPr="00CE58A3">
              <w:rPr>
                <w:rFonts w:cs="Calibri"/>
                <w:color w:val="auto"/>
                <w:sz w:val="22"/>
                <w:szCs w:val="22"/>
                <w:lang w:val="en-US"/>
              </w:rPr>
              <w:t xml:space="preserve"> be included in the offered price</w:t>
            </w:r>
            <w:r>
              <w:rPr>
                <w:rFonts w:cs="Calibri"/>
                <w:color w:val="auto"/>
                <w:sz w:val="22"/>
                <w:szCs w:val="22"/>
                <w:lang w:val="en-US"/>
              </w:rPr>
              <w:t>.</w:t>
            </w:r>
          </w:p>
        </w:tc>
        <w:tc>
          <w:tcPr>
            <w:tcW w:w="4110" w:type="dxa"/>
          </w:tcPr>
          <w:p w14:paraId="1B514D7A" w14:textId="645C5C45" w:rsidR="00FC33AB" w:rsidRPr="00CE58A3"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tc>
        <w:tc>
          <w:tcPr>
            <w:tcW w:w="3544" w:type="dxa"/>
          </w:tcPr>
          <w:p w14:paraId="646CCC96" w14:textId="77777777" w:rsidR="00FC33AB" w:rsidRPr="003C1CDE"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1483238F" w14:textId="3CF18084" w:rsidTr="00CA666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FC33AB" w:rsidRPr="003C1CDE" w:rsidRDefault="00FC33AB" w:rsidP="00554CC6">
            <w:pPr>
              <w:spacing w:line="240" w:lineRule="auto"/>
              <w:ind w:left="164"/>
              <w:jc w:val="both"/>
              <w:rPr>
                <w:rFonts w:cs="Calibri"/>
                <w:b w:val="0"/>
                <w:bCs w:val="0"/>
                <w:color w:val="FFFFFF" w:themeColor="background1"/>
                <w:sz w:val="22"/>
                <w:szCs w:val="22"/>
                <w:highlight w:val="yellow"/>
                <w:lang w:val="en-US"/>
              </w:rPr>
            </w:pPr>
            <w:r w:rsidRPr="003C1CDE">
              <w:rPr>
                <w:rFonts w:cs="Calibri"/>
                <w:b w:val="0"/>
                <w:bCs w:val="0"/>
                <w:color w:val="auto"/>
                <w:sz w:val="22"/>
                <w:szCs w:val="22"/>
                <w:lang w:val="en-US"/>
              </w:rPr>
              <w:t>2.</w:t>
            </w:r>
          </w:p>
        </w:tc>
        <w:tc>
          <w:tcPr>
            <w:tcW w:w="10343" w:type="dxa"/>
            <w:gridSpan w:val="3"/>
            <w:shd w:val="clear" w:color="auto" w:fill="9CC2E5" w:themeFill="accent1" w:themeFillTint="99"/>
          </w:tcPr>
          <w:p w14:paraId="6C7D0DB1" w14:textId="6FF6DB9A" w:rsidR="00FC33AB" w:rsidRPr="003C1CDE" w:rsidRDefault="00FC33AB" w:rsidP="00554CC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FFFFFF" w:themeColor="background1"/>
                <w:sz w:val="22"/>
                <w:szCs w:val="22"/>
                <w:lang w:val="en-US"/>
              </w:rPr>
            </w:pPr>
            <w:r w:rsidRPr="003C1CDE">
              <w:rPr>
                <w:rFonts w:cs="Calibri"/>
                <w:b/>
                <w:i/>
                <w:color w:val="FFFFFF" w:themeColor="background1"/>
                <w:sz w:val="22"/>
                <w:szCs w:val="22"/>
                <w:lang w:val="en-US"/>
              </w:rPr>
              <w:t xml:space="preserve">Technical requirements for </w:t>
            </w:r>
            <w:r w:rsidRPr="00495355">
              <w:rPr>
                <w:rFonts w:cs="Calibri"/>
                <w:b/>
                <w:i/>
                <w:color w:val="FFFFFF" w:themeColor="background1"/>
                <w:sz w:val="22"/>
                <w:szCs w:val="22"/>
                <w:lang w:val="en-US"/>
              </w:rPr>
              <w:t>Computed tomography scanner</w:t>
            </w:r>
          </w:p>
        </w:tc>
        <w:tc>
          <w:tcPr>
            <w:tcW w:w="3544" w:type="dxa"/>
            <w:shd w:val="clear" w:color="auto" w:fill="9CC2E5" w:themeFill="accent1" w:themeFillTint="99"/>
          </w:tcPr>
          <w:p w14:paraId="17DC229E" w14:textId="77777777" w:rsidR="00FC33AB" w:rsidRPr="003C1CDE" w:rsidRDefault="00FC33AB" w:rsidP="00554CC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FFFFFF" w:themeColor="background1"/>
                <w:sz w:val="22"/>
                <w:szCs w:val="22"/>
                <w:lang w:val="en-US"/>
              </w:rPr>
            </w:pPr>
          </w:p>
        </w:tc>
      </w:tr>
      <w:tr w:rsidR="00FC33AB" w:rsidRPr="003C1CDE" w14:paraId="65D01670" w14:textId="7328D8FE"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49BAAD9E"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2.1.</w:t>
            </w:r>
          </w:p>
        </w:tc>
        <w:tc>
          <w:tcPr>
            <w:tcW w:w="2264" w:type="dxa"/>
          </w:tcPr>
          <w:p w14:paraId="04535855" w14:textId="2B547739" w:rsidR="00FC33AB" w:rsidRPr="00825B96" w:rsidRDefault="00FC33AB" w:rsidP="00554CC6">
            <w:pPr>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Intended use</w:t>
            </w:r>
          </w:p>
        </w:tc>
        <w:tc>
          <w:tcPr>
            <w:tcW w:w="3969" w:type="dxa"/>
          </w:tcPr>
          <w:p w14:paraId="0C7055C7" w14:textId="121C1FFA" w:rsidR="00FC33AB" w:rsidRPr="00825B96"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computed tomography system shall be intended for general diagnostic imaging, emergency diagnostics, neurological, trauma, angiographic and oncological examinations</w:t>
            </w:r>
          </w:p>
        </w:tc>
        <w:tc>
          <w:tcPr>
            <w:tcW w:w="4110" w:type="dxa"/>
          </w:tcPr>
          <w:p w14:paraId="76E332B3" w14:textId="77777777"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p w14:paraId="4C975CCE" w14:textId="6CFE45BD"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DC4CB8">
              <w:rPr>
                <w:rFonts w:cs="Calibri"/>
                <w:color w:val="auto"/>
                <w:sz w:val="22"/>
                <w:szCs w:val="22"/>
                <w:lang w:val="en-US"/>
              </w:rPr>
              <w:t xml:space="preserve">Supplier must also provide manufacturer's technical documentation (catalogues, brochures, technical datasheets) and/or manufacturer's declarations (if the manufacturer's technical documentation </w:t>
            </w:r>
            <w:r w:rsidRPr="00DC4CB8">
              <w:rPr>
                <w:rFonts w:cs="Calibri"/>
                <w:color w:val="auto"/>
                <w:sz w:val="22"/>
                <w:szCs w:val="22"/>
                <w:lang w:val="en-US"/>
              </w:rPr>
              <w:lastRenderedPageBreak/>
              <w:t>does not fully reflect compliance of the offered solution with the requirements of the Technical Specification), or other equivalent documents, confirming compliance with the requirements of this Technical Specification.</w:t>
            </w:r>
          </w:p>
        </w:tc>
        <w:tc>
          <w:tcPr>
            <w:tcW w:w="3544" w:type="dxa"/>
          </w:tcPr>
          <w:p w14:paraId="01198110" w14:textId="77777777"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EF95238" w14:textId="4A78EECC"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1838EAD8" w14:textId="3A118B34"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2.2.</w:t>
            </w:r>
          </w:p>
        </w:tc>
        <w:tc>
          <w:tcPr>
            <w:tcW w:w="2264" w:type="dxa"/>
          </w:tcPr>
          <w:p w14:paraId="5A9626C0" w14:textId="4B82F6A8" w:rsidR="00FC33AB" w:rsidRPr="00825B96" w:rsidRDefault="00FC33AB" w:rsidP="00554CC6">
            <w:pPr>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Scanning modes</w:t>
            </w:r>
          </w:p>
        </w:tc>
        <w:tc>
          <w:tcPr>
            <w:tcW w:w="3969" w:type="dxa"/>
          </w:tcPr>
          <w:p w14:paraId="7F4DB1DB" w14:textId="2763FCDF" w:rsidR="00FC33AB" w:rsidRPr="00CA6662" w:rsidRDefault="00FC33AB" w:rsidP="0056122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themeColor="text1"/>
                <w:sz w:val="22"/>
                <w:szCs w:val="22"/>
                <w:lang w:val="en-US"/>
              </w:rPr>
            </w:pPr>
            <w:r w:rsidRPr="00CA6662">
              <w:rPr>
                <w:rFonts w:cs="Calibri"/>
                <w:color w:val="000000" w:themeColor="text1"/>
                <w:sz w:val="22"/>
                <w:szCs w:val="22"/>
                <w:lang w:val="en-US"/>
              </w:rPr>
              <w:t xml:space="preserve">The system shall provide not less than: </w:t>
            </w:r>
          </w:p>
          <w:p w14:paraId="23E14EDA" w14:textId="77777777" w:rsidR="00FC33AB" w:rsidRPr="00CA6662" w:rsidRDefault="00FC33AB" w:rsidP="0056122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themeColor="text1"/>
                <w:sz w:val="22"/>
                <w:szCs w:val="22"/>
                <w:lang w:val="en-US"/>
              </w:rPr>
            </w:pPr>
            <w:r w:rsidRPr="00CA6662">
              <w:rPr>
                <w:rFonts w:cs="Calibri"/>
                <w:color w:val="000000" w:themeColor="text1"/>
                <w:sz w:val="22"/>
                <w:szCs w:val="22"/>
                <w:lang w:val="en-US"/>
              </w:rPr>
              <w:t xml:space="preserve">1) Spiral scanning; </w:t>
            </w:r>
          </w:p>
          <w:p w14:paraId="6CD547DA" w14:textId="77777777" w:rsidR="00FC33AB" w:rsidRPr="00CA6662" w:rsidRDefault="00FC33AB" w:rsidP="0056122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themeColor="text1"/>
                <w:sz w:val="22"/>
                <w:szCs w:val="22"/>
                <w:lang w:val="en-US"/>
              </w:rPr>
            </w:pPr>
            <w:r w:rsidRPr="00CA6662">
              <w:rPr>
                <w:rFonts w:cs="Calibri"/>
                <w:color w:val="000000" w:themeColor="text1"/>
                <w:sz w:val="22"/>
                <w:szCs w:val="22"/>
                <w:lang w:val="en-US"/>
              </w:rPr>
              <w:t xml:space="preserve">2) Sequential (axial) scanning; </w:t>
            </w:r>
          </w:p>
          <w:p w14:paraId="4D597C20" w14:textId="159AC070" w:rsidR="00FC33AB" w:rsidRPr="00825B96" w:rsidRDefault="00FC33AB" w:rsidP="0056122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CA6662">
              <w:rPr>
                <w:rFonts w:cs="Calibri"/>
                <w:color w:val="000000" w:themeColor="text1"/>
                <w:sz w:val="22"/>
                <w:szCs w:val="22"/>
                <w:lang w:val="en-US"/>
              </w:rPr>
              <w:t>3) Scout/topogram imaging</w:t>
            </w:r>
          </w:p>
        </w:tc>
        <w:tc>
          <w:tcPr>
            <w:tcW w:w="4110" w:type="dxa"/>
          </w:tcPr>
          <w:p w14:paraId="7CFBB26F" w14:textId="1DA11B23"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F585B">
              <w:rPr>
                <w:rFonts w:cs="Calibri"/>
                <w:color w:val="auto"/>
                <w:sz w:val="22"/>
                <w:szCs w:val="22"/>
                <w:lang w:val="en-US"/>
              </w:rPr>
              <w:t>The same requirement as in point 2.1</w:t>
            </w:r>
          </w:p>
        </w:tc>
        <w:tc>
          <w:tcPr>
            <w:tcW w:w="3544" w:type="dxa"/>
          </w:tcPr>
          <w:p w14:paraId="1C6DD37E" w14:textId="77777777" w:rsidR="00FC33AB" w:rsidRPr="00BF585B"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658F4210" w14:textId="3C573D60" w:rsidTr="00CA6662">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014636BC" w14:textId="6F0F601C"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2.3.</w:t>
            </w:r>
          </w:p>
        </w:tc>
        <w:tc>
          <w:tcPr>
            <w:tcW w:w="2264" w:type="dxa"/>
          </w:tcPr>
          <w:p w14:paraId="7DAE7C32" w14:textId="718CE784" w:rsidR="00FC33AB" w:rsidRPr="00825B96" w:rsidRDefault="00FC33AB" w:rsidP="00554CC6">
            <w:pPr>
              <w:spacing w:after="120"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Detector system</w:t>
            </w:r>
          </w:p>
        </w:tc>
        <w:tc>
          <w:tcPr>
            <w:tcW w:w="3969" w:type="dxa"/>
          </w:tcPr>
          <w:p w14:paraId="49444255" w14:textId="342088A3" w:rsidR="00FC33AB" w:rsidRPr="00825B96" w:rsidRDefault="00FC33AB" w:rsidP="009874F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CT system shall provide not less than 32 simultaneously acquired slices and detector coverage in the Z-axis of not less than 20 mm.</w:t>
            </w:r>
          </w:p>
          <w:p w14:paraId="29DF94D1" w14:textId="5AB187BA" w:rsidR="00FC33AB" w:rsidRPr="00825B96" w:rsidRDefault="00FC33AB" w:rsidP="009874F4">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provide not less than 64 reconstructed slices or equivalent image reconstruction performance.</w:t>
            </w:r>
          </w:p>
        </w:tc>
        <w:tc>
          <w:tcPr>
            <w:tcW w:w="4110" w:type="dxa"/>
          </w:tcPr>
          <w:p w14:paraId="015CF0D1" w14:textId="2F4A69D2"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79DA52FB"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65676908" w14:textId="47AE4F7C"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2488271" w14:textId="31D1DFC9"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2.4.</w:t>
            </w:r>
          </w:p>
        </w:tc>
        <w:tc>
          <w:tcPr>
            <w:tcW w:w="2264" w:type="dxa"/>
          </w:tcPr>
          <w:p w14:paraId="62C10AAE" w14:textId="3E4C8B55" w:rsidR="00FC33AB" w:rsidRPr="00825B96" w:rsidRDefault="00FC33AB" w:rsidP="00554CC6">
            <w:pPr>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Slice thickness</w:t>
            </w:r>
          </w:p>
        </w:tc>
        <w:tc>
          <w:tcPr>
            <w:tcW w:w="3969" w:type="dxa"/>
          </w:tcPr>
          <w:p w14:paraId="22C3A921" w14:textId="0ED1EEA0" w:rsidR="00FC33AB" w:rsidRPr="00825B96" w:rsidRDefault="00FC33AB" w:rsidP="002E2E3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Minimum reconstructed slice thickness not greater than 0.7 mm</w:t>
            </w:r>
          </w:p>
        </w:tc>
        <w:tc>
          <w:tcPr>
            <w:tcW w:w="4110" w:type="dxa"/>
          </w:tcPr>
          <w:p w14:paraId="473C0A64" w14:textId="2565C1CD"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052C1BE5"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519C3306" w14:textId="0836DD7D" w:rsidTr="00CA6662">
        <w:trPr>
          <w:trHeight w:val="387"/>
        </w:trPr>
        <w:tc>
          <w:tcPr>
            <w:cnfStyle w:val="001000000000" w:firstRow="0" w:lastRow="0" w:firstColumn="1" w:lastColumn="0" w:oddVBand="0" w:evenVBand="0" w:oddHBand="0" w:evenHBand="0" w:firstRowFirstColumn="0" w:firstRowLastColumn="0" w:lastRowFirstColumn="0" w:lastRowLastColumn="0"/>
            <w:tcW w:w="856" w:type="dxa"/>
          </w:tcPr>
          <w:p w14:paraId="5C8F3CD9" w14:textId="4BE80E60"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2.5.</w:t>
            </w:r>
          </w:p>
        </w:tc>
        <w:tc>
          <w:tcPr>
            <w:tcW w:w="2264" w:type="dxa"/>
          </w:tcPr>
          <w:p w14:paraId="7E1E4903" w14:textId="1D84B20A"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Gantry aperture</w:t>
            </w:r>
          </w:p>
        </w:tc>
        <w:tc>
          <w:tcPr>
            <w:tcW w:w="3969" w:type="dxa"/>
          </w:tcPr>
          <w:p w14:paraId="6AE405C7" w14:textId="14AD4878" w:rsidR="00FC33AB" w:rsidRPr="00825B96"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Not less than 70 cm</w:t>
            </w:r>
          </w:p>
        </w:tc>
        <w:tc>
          <w:tcPr>
            <w:tcW w:w="4110" w:type="dxa"/>
          </w:tcPr>
          <w:p w14:paraId="48BE8FB7" w14:textId="54CA5A48"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3BDBA7DA"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23D1B6B3" w14:textId="74C32CCF" w:rsidTr="00CA6662">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56" w:type="dxa"/>
          </w:tcPr>
          <w:p w14:paraId="17124C63" w14:textId="5F60C6EA"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2.6.</w:t>
            </w:r>
          </w:p>
        </w:tc>
        <w:tc>
          <w:tcPr>
            <w:tcW w:w="2264" w:type="dxa"/>
          </w:tcPr>
          <w:p w14:paraId="34092272" w14:textId="4C090C81"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Gantry tilt</w:t>
            </w:r>
          </w:p>
        </w:tc>
        <w:tc>
          <w:tcPr>
            <w:tcW w:w="3969" w:type="dxa"/>
          </w:tcPr>
          <w:p w14:paraId="5D7B36E5" w14:textId="0E509988" w:rsidR="00FC33AB" w:rsidRPr="00825B9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provide gantry tilt or equivalent functionality enabling examinations traditionally performed using gantry tilt.</w:t>
            </w:r>
          </w:p>
        </w:tc>
        <w:tc>
          <w:tcPr>
            <w:tcW w:w="4110" w:type="dxa"/>
          </w:tcPr>
          <w:p w14:paraId="5AF5D3F8" w14:textId="6277291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7E9B0080"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11B37BA3" w14:textId="1B6F1FB8" w:rsidTr="00CA6662">
        <w:trPr>
          <w:trHeight w:val="577"/>
        </w:trPr>
        <w:tc>
          <w:tcPr>
            <w:cnfStyle w:val="001000000000" w:firstRow="0" w:lastRow="0" w:firstColumn="1" w:lastColumn="0" w:oddVBand="0" w:evenVBand="0" w:oddHBand="0" w:evenHBand="0" w:firstRowFirstColumn="0" w:firstRowLastColumn="0" w:lastRowFirstColumn="0" w:lastRowLastColumn="0"/>
            <w:tcW w:w="856" w:type="dxa"/>
          </w:tcPr>
          <w:p w14:paraId="297D3ADD" w14:textId="29AB5549"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2.7.</w:t>
            </w:r>
          </w:p>
        </w:tc>
        <w:tc>
          <w:tcPr>
            <w:tcW w:w="2264" w:type="dxa"/>
          </w:tcPr>
          <w:p w14:paraId="4447FEAA" w14:textId="11684E68"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Rotation time</w:t>
            </w:r>
          </w:p>
        </w:tc>
        <w:tc>
          <w:tcPr>
            <w:tcW w:w="3969" w:type="dxa"/>
          </w:tcPr>
          <w:p w14:paraId="19018A17" w14:textId="65327B42" w:rsidR="00FC33AB" w:rsidRPr="00825B96" w:rsidRDefault="00FC33AB" w:rsidP="00C2103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Gantry rotation time not more than 0.5 s per rotation.</w:t>
            </w:r>
          </w:p>
        </w:tc>
        <w:tc>
          <w:tcPr>
            <w:tcW w:w="4110" w:type="dxa"/>
          </w:tcPr>
          <w:p w14:paraId="6B1B4F06" w14:textId="107043C8"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11209B01"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3C3B752E" w14:textId="2AE741F1" w:rsidTr="00CA6662">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856" w:type="dxa"/>
          </w:tcPr>
          <w:p w14:paraId="35BE08A6" w14:textId="1B3E1761"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lastRenderedPageBreak/>
              <w:t>2.8.</w:t>
            </w:r>
          </w:p>
        </w:tc>
        <w:tc>
          <w:tcPr>
            <w:tcW w:w="2264" w:type="dxa"/>
          </w:tcPr>
          <w:p w14:paraId="565E98DA" w14:textId="6693DB78"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Maximum reconstructed field of view (FOV)</w:t>
            </w:r>
          </w:p>
        </w:tc>
        <w:tc>
          <w:tcPr>
            <w:tcW w:w="3969" w:type="dxa"/>
          </w:tcPr>
          <w:p w14:paraId="061AC727" w14:textId="2136EA91" w:rsidR="00FC33AB" w:rsidRPr="00825B9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Not less than 50 cm</w:t>
            </w:r>
          </w:p>
        </w:tc>
        <w:tc>
          <w:tcPr>
            <w:tcW w:w="4110" w:type="dxa"/>
          </w:tcPr>
          <w:p w14:paraId="4C56E27B" w14:textId="71F65073"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04D98675"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4C1D0A89" w14:textId="2807EA0E" w:rsidTr="00CA6662">
        <w:trPr>
          <w:trHeight w:val="795"/>
        </w:trPr>
        <w:tc>
          <w:tcPr>
            <w:cnfStyle w:val="001000000000" w:firstRow="0" w:lastRow="0" w:firstColumn="1" w:lastColumn="0" w:oddVBand="0" w:evenVBand="0" w:oddHBand="0" w:evenHBand="0" w:firstRowFirstColumn="0" w:firstRowLastColumn="0" w:lastRowFirstColumn="0" w:lastRowLastColumn="0"/>
            <w:tcW w:w="856" w:type="dxa"/>
          </w:tcPr>
          <w:p w14:paraId="4D20068D" w14:textId="21E6E38F"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2.9.</w:t>
            </w:r>
          </w:p>
        </w:tc>
        <w:tc>
          <w:tcPr>
            <w:tcW w:w="2264" w:type="dxa"/>
          </w:tcPr>
          <w:p w14:paraId="60A829A9" w14:textId="7BC61F57"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Reconstruction matrix</w:t>
            </w:r>
          </w:p>
        </w:tc>
        <w:tc>
          <w:tcPr>
            <w:tcW w:w="3969" w:type="dxa"/>
          </w:tcPr>
          <w:p w14:paraId="2E531B73" w14:textId="79BA2D7E" w:rsidR="00FC33AB" w:rsidRPr="00825B96"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provide reconstructed CT images with a matrix size of not less than 512 × 512 pixels</w:t>
            </w:r>
          </w:p>
        </w:tc>
        <w:tc>
          <w:tcPr>
            <w:tcW w:w="4110" w:type="dxa"/>
          </w:tcPr>
          <w:p w14:paraId="4550E990" w14:textId="117932E2"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52AAF3BA"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1251ABFB" w14:textId="0354FBD8" w:rsidTr="00CA6662">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856" w:type="dxa"/>
          </w:tcPr>
          <w:p w14:paraId="07B4DB58" w14:textId="7A594778"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2.10.</w:t>
            </w:r>
          </w:p>
        </w:tc>
        <w:tc>
          <w:tcPr>
            <w:tcW w:w="2264" w:type="dxa"/>
          </w:tcPr>
          <w:p w14:paraId="404F6FD3" w14:textId="6D75F92E"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Patient table</w:t>
            </w:r>
          </w:p>
        </w:tc>
        <w:tc>
          <w:tcPr>
            <w:tcW w:w="3969" w:type="dxa"/>
          </w:tcPr>
          <w:p w14:paraId="6A46E0B9" w14:textId="3C281451"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Motorized patient table controllable from both the operator console and the gantry control panels.</w:t>
            </w:r>
          </w:p>
          <w:p w14:paraId="3BB8B816" w14:textId="6C6142A7"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Motorized vertical (up/down) and horizontal (longitudinal) travel.</w:t>
            </w:r>
          </w:p>
          <w:p w14:paraId="159AA5EF" w14:textId="4C3D8CE9"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Longitudinal scan range not less than 1600 mm.</w:t>
            </w:r>
          </w:p>
          <w:p w14:paraId="3CC36C24" w14:textId="771C594C"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Maximum patient table load not less than 220 kg</w:t>
            </w:r>
          </w:p>
          <w:p w14:paraId="2E868F6D" w14:textId="399C246C"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patient table shall support precise and reproducible motorized patient positioning and repositioning during CT examinations.</w:t>
            </w:r>
          </w:p>
          <w:p w14:paraId="4281CC9B" w14:textId="448FCE3A" w:rsidR="00FC33AB" w:rsidRPr="00825B96" w:rsidRDefault="00FC33AB" w:rsidP="00260F3B">
            <w:pPr>
              <w:pStyle w:val="ListParagraph"/>
              <w:numPr>
                <w:ilvl w:val="0"/>
                <w:numId w:val="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table shall be equipped with positioning accessories including at minimum a headrest, patient restraint straps, and a mattress with a washable protective cover.</w:t>
            </w:r>
          </w:p>
        </w:tc>
        <w:tc>
          <w:tcPr>
            <w:tcW w:w="4110" w:type="dxa"/>
          </w:tcPr>
          <w:p w14:paraId="0893347F" w14:textId="6449F293"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6E4E35B4"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6E3375D1" w14:textId="496F28FD" w:rsidTr="00CA6662">
        <w:trPr>
          <w:trHeight w:val="901"/>
        </w:trPr>
        <w:tc>
          <w:tcPr>
            <w:cnfStyle w:val="001000000000" w:firstRow="0" w:lastRow="0" w:firstColumn="1" w:lastColumn="0" w:oddVBand="0" w:evenVBand="0" w:oddHBand="0" w:evenHBand="0" w:firstRowFirstColumn="0" w:firstRowLastColumn="0" w:lastRowFirstColumn="0" w:lastRowLastColumn="0"/>
            <w:tcW w:w="856" w:type="dxa"/>
          </w:tcPr>
          <w:p w14:paraId="29896DFA" w14:textId="027A031E"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2.11.</w:t>
            </w:r>
          </w:p>
        </w:tc>
        <w:tc>
          <w:tcPr>
            <w:tcW w:w="2264" w:type="dxa"/>
          </w:tcPr>
          <w:p w14:paraId="184CC6E5" w14:textId="64450070"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Patient communication system</w:t>
            </w:r>
          </w:p>
        </w:tc>
        <w:tc>
          <w:tcPr>
            <w:tcW w:w="3969" w:type="dxa"/>
          </w:tcPr>
          <w:p w14:paraId="54770613" w14:textId="4A90892E" w:rsidR="00FC33AB" w:rsidRPr="00825B96" w:rsidRDefault="00FC33AB" w:rsidP="00A871F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US"/>
              </w:rPr>
            </w:pPr>
            <w:r w:rsidRPr="00CA6662">
              <w:rPr>
                <w:rFonts w:cs="Calibri"/>
                <w:color w:val="000000" w:themeColor="text1"/>
                <w:sz w:val="22"/>
                <w:szCs w:val="22"/>
                <w:lang w:val="en-US"/>
              </w:rPr>
              <w:t>The system shall include integrated patient communication/intercom functionality.</w:t>
            </w:r>
          </w:p>
        </w:tc>
        <w:tc>
          <w:tcPr>
            <w:tcW w:w="4110" w:type="dxa"/>
          </w:tcPr>
          <w:p w14:paraId="7530DA4B" w14:textId="78FD94E3"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4884405C"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1FCEDE67" w14:textId="14A5EA15" w:rsidTr="00CA6662">
        <w:trPr>
          <w:cnfStyle w:val="000000100000" w:firstRow="0" w:lastRow="0" w:firstColumn="0" w:lastColumn="0" w:oddVBand="0" w:evenVBand="0" w:oddHBand="1"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856" w:type="dxa"/>
          </w:tcPr>
          <w:p w14:paraId="0B471C2F" w14:textId="40599E98"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2.12.</w:t>
            </w:r>
          </w:p>
        </w:tc>
        <w:tc>
          <w:tcPr>
            <w:tcW w:w="2264" w:type="dxa"/>
          </w:tcPr>
          <w:p w14:paraId="4210E0F6" w14:textId="6CDCC64C"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X-ray generator power</w:t>
            </w:r>
          </w:p>
        </w:tc>
        <w:tc>
          <w:tcPr>
            <w:tcW w:w="3969" w:type="dxa"/>
          </w:tcPr>
          <w:p w14:paraId="1C930573" w14:textId="2D054504" w:rsidR="00FC33AB" w:rsidRPr="00825B9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Not less than 50kW</w:t>
            </w:r>
          </w:p>
        </w:tc>
        <w:tc>
          <w:tcPr>
            <w:tcW w:w="4110" w:type="dxa"/>
          </w:tcPr>
          <w:p w14:paraId="4F44DC93" w14:textId="03EBDBBB"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3C11E73E"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07C94587" w14:textId="15E11788" w:rsidTr="00CA6662">
        <w:trPr>
          <w:trHeight w:val="245"/>
        </w:trPr>
        <w:tc>
          <w:tcPr>
            <w:cnfStyle w:val="001000000000" w:firstRow="0" w:lastRow="0" w:firstColumn="1" w:lastColumn="0" w:oddVBand="0" w:evenVBand="0" w:oddHBand="0" w:evenHBand="0" w:firstRowFirstColumn="0" w:firstRowLastColumn="0" w:lastRowFirstColumn="0" w:lastRowLastColumn="0"/>
            <w:tcW w:w="856" w:type="dxa"/>
          </w:tcPr>
          <w:p w14:paraId="1924C0EA" w14:textId="51A1EADD" w:rsidR="00FC33AB" w:rsidRPr="00340AAA" w:rsidRDefault="00FC33AB" w:rsidP="00554CC6">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lastRenderedPageBreak/>
              <w:t>2.13.</w:t>
            </w:r>
          </w:p>
        </w:tc>
        <w:tc>
          <w:tcPr>
            <w:tcW w:w="2264" w:type="dxa"/>
          </w:tcPr>
          <w:p w14:paraId="32099784" w14:textId="1EAEB01D"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Tube voltage range</w:t>
            </w:r>
          </w:p>
        </w:tc>
        <w:tc>
          <w:tcPr>
            <w:tcW w:w="3969" w:type="dxa"/>
          </w:tcPr>
          <w:p w14:paraId="350679DF" w14:textId="5F37DD3E" w:rsidR="00FC33AB" w:rsidRPr="00825B96"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Not narrower than 70–140 kV</w:t>
            </w:r>
          </w:p>
        </w:tc>
        <w:tc>
          <w:tcPr>
            <w:tcW w:w="4110" w:type="dxa"/>
          </w:tcPr>
          <w:p w14:paraId="547E2E76" w14:textId="5F9C846C" w:rsidR="00FC33AB" w:rsidRPr="003C1CD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29526E">
              <w:rPr>
                <w:rFonts w:cs="Calibri"/>
                <w:color w:val="auto"/>
                <w:sz w:val="22"/>
                <w:szCs w:val="22"/>
                <w:lang w:val="en-US"/>
              </w:rPr>
              <w:t>The same requirement as in point 2.1</w:t>
            </w:r>
          </w:p>
        </w:tc>
        <w:tc>
          <w:tcPr>
            <w:tcW w:w="3544" w:type="dxa"/>
          </w:tcPr>
          <w:p w14:paraId="7750865C" w14:textId="77777777" w:rsidR="00FC33AB" w:rsidRPr="0029526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32E864F9" w14:textId="673F5BF9" w:rsidTr="00CA666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856" w:type="dxa"/>
          </w:tcPr>
          <w:p w14:paraId="34151F8D" w14:textId="52100710" w:rsidR="00FC33AB" w:rsidRPr="00340AAA" w:rsidRDefault="00FC33AB" w:rsidP="00554CC6">
            <w:pPr>
              <w:spacing w:after="120" w:line="240" w:lineRule="auto"/>
              <w:ind w:left="164"/>
              <w:jc w:val="both"/>
              <w:rPr>
                <w:rFonts w:cs="Calibri"/>
                <w:b w:val="0"/>
                <w:bCs w:val="0"/>
                <w:color w:val="auto"/>
                <w:sz w:val="22"/>
                <w:szCs w:val="22"/>
              </w:rPr>
            </w:pPr>
            <w:r w:rsidRPr="00340AAA">
              <w:rPr>
                <w:rFonts w:cs="Calibri"/>
                <w:b w:val="0"/>
                <w:bCs w:val="0"/>
                <w:color w:val="auto"/>
                <w:sz w:val="22"/>
                <w:szCs w:val="22"/>
                <w:lang w:val="uk-UA"/>
              </w:rPr>
              <w:t>2.1</w:t>
            </w:r>
            <w:r w:rsidRPr="00340AAA">
              <w:rPr>
                <w:rFonts w:cs="Calibri"/>
                <w:b w:val="0"/>
                <w:bCs w:val="0"/>
                <w:color w:val="auto"/>
                <w:sz w:val="22"/>
                <w:szCs w:val="22"/>
              </w:rPr>
              <w:t>4.</w:t>
            </w:r>
          </w:p>
        </w:tc>
        <w:tc>
          <w:tcPr>
            <w:tcW w:w="2264" w:type="dxa"/>
          </w:tcPr>
          <w:p w14:paraId="2968451B" w14:textId="716F7ACF"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Number of focal spots</w:t>
            </w:r>
          </w:p>
        </w:tc>
        <w:tc>
          <w:tcPr>
            <w:tcW w:w="3969" w:type="dxa"/>
          </w:tcPr>
          <w:p w14:paraId="202FF154" w14:textId="5DA8ACB5" w:rsidR="00FC33AB" w:rsidRPr="00825B96"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Not less than 2 focal spots</w:t>
            </w:r>
          </w:p>
        </w:tc>
        <w:tc>
          <w:tcPr>
            <w:tcW w:w="4110" w:type="dxa"/>
          </w:tcPr>
          <w:p w14:paraId="6A49F928" w14:textId="16A45CB5"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29526E">
              <w:rPr>
                <w:rFonts w:cs="Calibri"/>
                <w:color w:val="auto"/>
                <w:sz w:val="22"/>
                <w:szCs w:val="22"/>
                <w:lang w:val="en-US"/>
              </w:rPr>
              <w:t>The same requirement as in point 2.1</w:t>
            </w:r>
          </w:p>
        </w:tc>
        <w:tc>
          <w:tcPr>
            <w:tcW w:w="3544" w:type="dxa"/>
          </w:tcPr>
          <w:p w14:paraId="04B856AC" w14:textId="77777777" w:rsidR="00FC33AB" w:rsidRPr="0029526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497B85BD" w14:textId="2EE1B796"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0E0FC6D2" w14:textId="2FD2E56B" w:rsidR="00FC33AB" w:rsidRPr="00340AAA" w:rsidRDefault="00FC33AB" w:rsidP="00554CC6">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2.15.</w:t>
            </w:r>
          </w:p>
        </w:tc>
        <w:tc>
          <w:tcPr>
            <w:tcW w:w="2264" w:type="dxa"/>
          </w:tcPr>
          <w:p w14:paraId="0E4B174C" w14:textId="72899490"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Tube cooling</w:t>
            </w:r>
          </w:p>
        </w:tc>
        <w:tc>
          <w:tcPr>
            <w:tcW w:w="3969" w:type="dxa"/>
          </w:tcPr>
          <w:p w14:paraId="71C96A24" w14:textId="4E2CFE43" w:rsidR="00FC33AB" w:rsidRPr="00825B96"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Air cooling or equivalent active cooling system</w:t>
            </w:r>
          </w:p>
        </w:tc>
        <w:tc>
          <w:tcPr>
            <w:tcW w:w="4110" w:type="dxa"/>
          </w:tcPr>
          <w:p w14:paraId="56F9D55F" w14:textId="3345C1B3" w:rsidR="00FC33AB" w:rsidRPr="0029526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244CCAB0"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1C06FF5F" w14:textId="31088992"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03046359" w14:textId="7F93A1A0" w:rsidR="00FC33AB" w:rsidRPr="00825B96" w:rsidRDefault="00FC33AB" w:rsidP="00554CC6">
            <w:pPr>
              <w:spacing w:after="120" w:line="240" w:lineRule="auto"/>
              <w:ind w:left="164"/>
              <w:jc w:val="both"/>
              <w:rPr>
                <w:rFonts w:cs="Calibri"/>
                <w:color w:val="auto"/>
                <w:sz w:val="22"/>
                <w:szCs w:val="22"/>
              </w:rPr>
            </w:pPr>
            <w:r w:rsidRPr="00825B96">
              <w:rPr>
                <w:rFonts w:cs="Calibri"/>
                <w:b w:val="0"/>
                <w:bCs w:val="0"/>
                <w:color w:val="auto"/>
                <w:sz w:val="22"/>
                <w:szCs w:val="22"/>
              </w:rPr>
              <w:t>2.16</w:t>
            </w:r>
            <w:r w:rsidRPr="00825B96">
              <w:rPr>
                <w:rFonts w:cs="Calibri"/>
                <w:color w:val="auto"/>
                <w:sz w:val="22"/>
                <w:szCs w:val="22"/>
              </w:rPr>
              <w:t>.</w:t>
            </w:r>
          </w:p>
        </w:tc>
        <w:tc>
          <w:tcPr>
            <w:tcW w:w="2264" w:type="dxa"/>
          </w:tcPr>
          <w:p w14:paraId="5A640C6C" w14:textId="2CB38E35"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Dynamic imaging capability</w:t>
            </w:r>
          </w:p>
        </w:tc>
        <w:tc>
          <w:tcPr>
            <w:tcW w:w="3969" w:type="dxa"/>
          </w:tcPr>
          <w:p w14:paraId="4B3D62D4" w14:textId="05896DB8" w:rsidR="00FC33AB" w:rsidRPr="00825B96" w:rsidRDefault="00FC33AB" w:rsidP="00F453F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CT system shall support continuous dynamic scanning functionality sufficient to perform routine CT perfusion and other dynamic imaging examinations, where clinically indicated.</w:t>
            </w:r>
          </w:p>
        </w:tc>
        <w:tc>
          <w:tcPr>
            <w:tcW w:w="4110" w:type="dxa"/>
          </w:tcPr>
          <w:p w14:paraId="0D053676" w14:textId="14C1AC05"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2F927264" w14:textId="77777777" w:rsidR="00FC33AB" w:rsidRPr="00CB7F1D"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4E5F9957" w14:textId="203B43B1"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128BCFA5" w14:textId="39798526" w:rsidR="00FC33AB" w:rsidRPr="00340AAA" w:rsidRDefault="00FC33AB" w:rsidP="00554CC6">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2.1</w:t>
            </w:r>
            <w:r>
              <w:rPr>
                <w:rFonts w:cs="Calibri"/>
                <w:b w:val="0"/>
                <w:bCs w:val="0"/>
                <w:color w:val="auto"/>
                <w:sz w:val="22"/>
                <w:szCs w:val="22"/>
              </w:rPr>
              <w:t>7</w:t>
            </w:r>
            <w:r w:rsidRPr="00340AAA">
              <w:rPr>
                <w:rFonts w:cs="Calibri"/>
                <w:b w:val="0"/>
                <w:bCs w:val="0"/>
                <w:color w:val="auto"/>
                <w:sz w:val="22"/>
                <w:szCs w:val="22"/>
              </w:rPr>
              <w:t>.</w:t>
            </w:r>
          </w:p>
        </w:tc>
        <w:tc>
          <w:tcPr>
            <w:tcW w:w="2264" w:type="dxa"/>
          </w:tcPr>
          <w:p w14:paraId="18A9A1C5" w14:textId="6CC59D43"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Dose reduction technologies</w:t>
            </w:r>
          </w:p>
        </w:tc>
        <w:tc>
          <w:tcPr>
            <w:tcW w:w="3969" w:type="dxa"/>
          </w:tcPr>
          <w:p w14:paraId="386DB1DF" w14:textId="106FF68D" w:rsidR="00FC33AB" w:rsidRPr="00825B96" w:rsidRDefault="00FC33AB" w:rsidP="00F453FD">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The system shall include not less than: </w:t>
            </w:r>
          </w:p>
          <w:p w14:paraId="2F7CE56A" w14:textId="550504DD" w:rsidR="00FC33AB" w:rsidRPr="00825B96" w:rsidRDefault="00FC33AB" w:rsidP="00F453FD">
            <w:pPr>
              <w:spacing w:after="120" w:line="240" w:lineRule="auto"/>
              <w:ind w:firstLine="7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1) Automatic exposure control (AEC) / automatic dose modulation; </w:t>
            </w:r>
          </w:p>
          <w:p w14:paraId="10D2A9AC" w14:textId="77777777" w:rsidR="00FC33AB" w:rsidRPr="00825B96" w:rsidRDefault="00FC33AB" w:rsidP="00F453FD">
            <w:pPr>
              <w:spacing w:after="120" w:line="240" w:lineRule="auto"/>
              <w:ind w:firstLine="7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2) Iterative reconstruction; </w:t>
            </w:r>
          </w:p>
          <w:p w14:paraId="3EAFB837" w14:textId="025E68C2" w:rsidR="00FC33AB" w:rsidRPr="00825B96" w:rsidRDefault="00FC33AB" w:rsidP="00F453FD">
            <w:pPr>
              <w:spacing w:after="120" w:line="240" w:lineRule="auto"/>
              <w:ind w:firstLine="7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3) Automatic kV selection or equivalent technology</w:t>
            </w:r>
          </w:p>
        </w:tc>
        <w:tc>
          <w:tcPr>
            <w:tcW w:w="4110" w:type="dxa"/>
          </w:tcPr>
          <w:p w14:paraId="763AF1EA" w14:textId="1624C5F9" w:rsidR="00FC33AB" w:rsidRPr="0029526E"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t>The same requirement as in point 2.1</w:t>
            </w:r>
          </w:p>
        </w:tc>
        <w:tc>
          <w:tcPr>
            <w:tcW w:w="3544" w:type="dxa"/>
          </w:tcPr>
          <w:p w14:paraId="1CA09D38" w14:textId="77777777" w:rsidR="00FC33AB" w:rsidRPr="00CB7F1D"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1EE8F5AD" w14:textId="58BC1E7F"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7735A39A" w14:textId="402D8502"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2.1</w:t>
            </w:r>
            <w:r>
              <w:rPr>
                <w:rFonts w:cs="Calibri"/>
                <w:b w:val="0"/>
                <w:bCs w:val="0"/>
                <w:color w:val="auto"/>
                <w:sz w:val="22"/>
                <w:szCs w:val="22"/>
              </w:rPr>
              <w:t>8</w:t>
            </w:r>
            <w:r w:rsidRPr="00340AAA">
              <w:rPr>
                <w:rFonts w:cs="Calibri"/>
                <w:b w:val="0"/>
                <w:bCs w:val="0"/>
                <w:color w:val="auto"/>
                <w:sz w:val="22"/>
                <w:szCs w:val="22"/>
              </w:rPr>
              <w:t>.</w:t>
            </w:r>
          </w:p>
        </w:tc>
        <w:tc>
          <w:tcPr>
            <w:tcW w:w="2264" w:type="dxa"/>
          </w:tcPr>
          <w:p w14:paraId="5FD2369E" w14:textId="138E3131"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Image reconstruction</w:t>
            </w:r>
          </w:p>
        </w:tc>
        <w:tc>
          <w:tcPr>
            <w:tcW w:w="3969" w:type="dxa"/>
          </w:tcPr>
          <w:p w14:paraId="1E8625FD" w14:textId="3CCF348B"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Image reconstruction shall be performed during or immediately after scanning</w:t>
            </w:r>
          </w:p>
        </w:tc>
        <w:tc>
          <w:tcPr>
            <w:tcW w:w="4110" w:type="dxa"/>
          </w:tcPr>
          <w:p w14:paraId="1B6C258B" w14:textId="400FD87C"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4B6A23">
              <w:rPr>
                <w:rFonts w:cs="Calibri"/>
                <w:color w:val="auto"/>
                <w:sz w:val="22"/>
                <w:szCs w:val="22"/>
                <w:lang w:val="en-US"/>
              </w:rPr>
              <w:t>The same requirement as in point 2.1</w:t>
            </w:r>
          </w:p>
        </w:tc>
        <w:tc>
          <w:tcPr>
            <w:tcW w:w="3544" w:type="dxa"/>
          </w:tcPr>
          <w:p w14:paraId="43EACDF8" w14:textId="77777777" w:rsidR="00FC33AB" w:rsidRPr="004B6A23"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5A3E171D" w14:textId="21EC8926"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2FF6BD53" w14:textId="1AB87BA8"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2.1</w:t>
            </w:r>
            <w:r>
              <w:rPr>
                <w:rFonts w:cs="Calibri"/>
                <w:b w:val="0"/>
                <w:bCs w:val="0"/>
                <w:color w:val="auto"/>
                <w:sz w:val="22"/>
                <w:szCs w:val="22"/>
              </w:rPr>
              <w:t>9</w:t>
            </w:r>
            <w:r w:rsidRPr="00340AAA">
              <w:rPr>
                <w:rFonts w:cs="Calibri"/>
                <w:b w:val="0"/>
                <w:bCs w:val="0"/>
                <w:color w:val="auto"/>
                <w:sz w:val="22"/>
                <w:szCs w:val="22"/>
              </w:rPr>
              <w:t>.</w:t>
            </w:r>
          </w:p>
        </w:tc>
        <w:tc>
          <w:tcPr>
            <w:tcW w:w="2264" w:type="dxa"/>
          </w:tcPr>
          <w:p w14:paraId="27C9F1B8" w14:textId="6D96ADF8"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Metal artifact reduction</w:t>
            </w:r>
          </w:p>
        </w:tc>
        <w:tc>
          <w:tcPr>
            <w:tcW w:w="3969" w:type="dxa"/>
          </w:tcPr>
          <w:p w14:paraId="094AEE26" w14:textId="4E177FA1"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include metal artifact reduction algorithms</w:t>
            </w:r>
          </w:p>
        </w:tc>
        <w:tc>
          <w:tcPr>
            <w:tcW w:w="4110" w:type="dxa"/>
          </w:tcPr>
          <w:p w14:paraId="1A9ED42A" w14:textId="3AF0F31A"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4B6A23">
              <w:rPr>
                <w:rFonts w:cs="Calibri"/>
                <w:color w:val="auto"/>
                <w:sz w:val="22"/>
                <w:szCs w:val="22"/>
                <w:lang w:val="en-US"/>
              </w:rPr>
              <w:t>The same requirement as in point 2.1</w:t>
            </w:r>
          </w:p>
        </w:tc>
        <w:tc>
          <w:tcPr>
            <w:tcW w:w="3544" w:type="dxa"/>
          </w:tcPr>
          <w:p w14:paraId="0A56396B" w14:textId="77777777" w:rsidR="00FC33AB" w:rsidRPr="004B6A23"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4158211D" w14:textId="28E583B5"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16C38D9E" w14:textId="60612E25"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w:t>
            </w:r>
            <w:r>
              <w:rPr>
                <w:rFonts w:cs="Calibri"/>
                <w:b w:val="0"/>
                <w:bCs w:val="0"/>
                <w:color w:val="auto"/>
                <w:sz w:val="22"/>
                <w:szCs w:val="22"/>
              </w:rPr>
              <w:t>20</w:t>
            </w:r>
            <w:r w:rsidRPr="00340AAA">
              <w:rPr>
                <w:rFonts w:cs="Calibri"/>
                <w:b w:val="0"/>
                <w:bCs w:val="0"/>
                <w:color w:val="auto"/>
                <w:sz w:val="22"/>
                <w:szCs w:val="22"/>
              </w:rPr>
              <w:t>.</w:t>
            </w:r>
          </w:p>
        </w:tc>
        <w:tc>
          <w:tcPr>
            <w:tcW w:w="2264" w:type="dxa"/>
          </w:tcPr>
          <w:p w14:paraId="671C9CB9" w14:textId="0F640613"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Workflow automation functions</w:t>
            </w:r>
          </w:p>
        </w:tc>
        <w:tc>
          <w:tcPr>
            <w:tcW w:w="3969" w:type="dxa"/>
          </w:tcPr>
          <w:p w14:paraId="4FB54A23" w14:textId="19F58DA3"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include workflow automation functionalities intended to improve examination standardization, patient positioning, protocol selection and examination workflow efficiency.</w:t>
            </w:r>
          </w:p>
        </w:tc>
        <w:tc>
          <w:tcPr>
            <w:tcW w:w="4110" w:type="dxa"/>
          </w:tcPr>
          <w:p w14:paraId="78E9EDE3" w14:textId="48AAEF0E"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4B6A23">
              <w:rPr>
                <w:rFonts w:cs="Calibri"/>
                <w:color w:val="auto"/>
                <w:sz w:val="22"/>
                <w:szCs w:val="22"/>
                <w:lang w:val="en-US"/>
              </w:rPr>
              <w:t>The same requirement as in point 2.1</w:t>
            </w:r>
          </w:p>
        </w:tc>
        <w:tc>
          <w:tcPr>
            <w:tcW w:w="3544" w:type="dxa"/>
          </w:tcPr>
          <w:p w14:paraId="07FA7553" w14:textId="77777777" w:rsidR="00FC33AB" w:rsidRPr="004B6A23"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1EDD5CA0" w14:textId="2E7397F7"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2E652AC7" w14:textId="17F5877D" w:rsidR="00FC33AB" w:rsidRPr="00340AAA" w:rsidRDefault="00FC33AB" w:rsidP="00340AAA">
            <w:pPr>
              <w:spacing w:after="120" w:line="240" w:lineRule="auto"/>
              <w:ind w:left="164"/>
              <w:jc w:val="both"/>
              <w:rPr>
                <w:rFonts w:cs="Calibri"/>
                <w:color w:val="auto"/>
                <w:sz w:val="22"/>
                <w:szCs w:val="22"/>
              </w:rPr>
            </w:pPr>
            <w:r w:rsidRPr="0033622D">
              <w:rPr>
                <w:rFonts w:cs="Calibri"/>
                <w:b w:val="0"/>
                <w:bCs w:val="0"/>
                <w:color w:val="auto"/>
                <w:sz w:val="22"/>
                <w:szCs w:val="22"/>
              </w:rPr>
              <w:t>2.21</w:t>
            </w:r>
            <w:r>
              <w:rPr>
                <w:rFonts w:cs="Calibri"/>
                <w:color w:val="auto"/>
                <w:sz w:val="22"/>
                <w:szCs w:val="22"/>
              </w:rPr>
              <w:t>.</w:t>
            </w:r>
          </w:p>
        </w:tc>
        <w:tc>
          <w:tcPr>
            <w:tcW w:w="2264" w:type="dxa"/>
          </w:tcPr>
          <w:p w14:paraId="7A26E044" w14:textId="463ACDF9"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Automatic contrast bolus tracking</w:t>
            </w:r>
          </w:p>
        </w:tc>
        <w:tc>
          <w:tcPr>
            <w:tcW w:w="3969" w:type="dxa"/>
          </w:tcPr>
          <w:p w14:paraId="407697F3" w14:textId="2547CD00"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The system shall include automatic contrast bolus tracking functionality for CT </w:t>
            </w:r>
            <w:r w:rsidRPr="00825B96">
              <w:rPr>
                <w:rFonts w:cs="Calibri"/>
                <w:color w:val="auto"/>
                <w:sz w:val="22"/>
                <w:szCs w:val="22"/>
                <w:lang w:val="en-US"/>
              </w:rPr>
              <w:lastRenderedPageBreak/>
              <w:t>angiography and contrast-enhanced examinations.</w:t>
            </w:r>
          </w:p>
        </w:tc>
        <w:tc>
          <w:tcPr>
            <w:tcW w:w="4110" w:type="dxa"/>
          </w:tcPr>
          <w:p w14:paraId="20B019E0" w14:textId="3DE4FCC3" w:rsidR="00FC33AB" w:rsidRPr="004B6A23"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B7F1D">
              <w:rPr>
                <w:rFonts w:cs="Calibri"/>
                <w:color w:val="auto"/>
                <w:sz w:val="22"/>
                <w:szCs w:val="22"/>
                <w:lang w:val="en-US"/>
              </w:rPr>
              <w:lastRenderedPageBreak/>
              <w:t>The same requirement as in point 2.1</w:t>
            </w:r>
          </w:p>
        </w:tc>
        <w:tc>
          <w:tcPr>
            <w:tcW w:w="3544" w:type="dxa"/>
          </w:tcPr>
          <w:p w14:paraId="2399BC05" w14:textId="77777777" w:rsidR="00FC33AB" w:rsidRPr="00CB7F1D"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73E3772" w14:textId="5BCEC4C3"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09C4A300" w14:textId="4D88E2FA"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2</w:t>
            </w:r>
            <w:r w:rsidRPr="00340AAA">
              <w:rPr>
                <w:rFonts w:cs="Calibri"/>
                <w:b w:val="0"/>
                <w:bCs w:val="0"/>
                <w:color w:val="auto"/>
                <w:sz w:val="22"/>
                <w:szCs w:val="22"/>
              </w:rPr>
              <w:t>.</w:t>
            </w:r>
          </w:p>
        </w:tc>
        <w:tc>
          <w:tcPr>
            <w:tcW w:w="2264" w:type="dxa"/>
          </w:tcPr>
          <w:p w14:paraId="57ADE169" w14:textId="39D1DB9C"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Angiography capability</w:t>
            </w:r>
          </w:p>
        </w:tc>
        <w:tc>
          <w:tcPr>
            <w:tcW w:w="3969" w:type="dxa"/>
          </w:tcPr>
          <w:p w14:paraId="44AD4BA4" w14:textId="404DEB59"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support CT angiography examinations</w:t>
            </w:r>
          </w:p>
        </w:tc>
        <w:tc>
          <w:tcPr>
            <w:tcW w:w="4110" w:type="dxa"/>
          </w:tcPr>
          <w:p w14:paraId="473BABE4" w14:textId="60A1D848"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4B6A23">
              <w:rPr>
                <w:rFonts w:cs="Calibri"/>
                <w:color w:val="auto"/>
                <w:sz w:val="22"/>
                <w:szCs w:val="22"/>
                <w:lang w:val="en-US"/>
              </w:rPr>
              <w:t>The same requirement as in point 2.1</w:t>
            </w:r>
          </w:p>
        </w:tc>
        <w:tc>
          <w:tcPr>
            <w:tcW w:w="3544" w:type="dxa"/>
          </w:tcPr>
          <w:p w14:paraId="265F487B" w14:textId="77777777" w:rsidR="00FC33AB" w:rsidRPr="004B6A23"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5D10031D" w14:textId="306C4FC8"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1A2AA48D" w14:textId="049A64CD"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3</w:t>
            </w:r>
            <w:r w:rsidRPr="00340AAA">
              <w:rPr>
                <w:rFonts w:cs="Calibri"/>
                <w:b w:val="0"/>
                <w:bCs w:val="0"/>
                <w:color w:val="auto"/>
                <w:sz w:val="22"/>
                <w:szCs w:val="22"/>
              </w:rPr>
              <w:t>.</w:t>
            </w:r>
          </w:p>
        </w:tc>
        <w:tc>
          <w:tcPr>
            <w:tcW w:w="2264" w:type="dxa"/>
          </w:tcPr>
          <w:p w14:paraId="70F787CA" w14:textId="63007B02"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Contrast media injector</w:t>
            </w:r>
          </w:p>
        </w:tc>
        <w:tc>
          <w:tcPr>
            <w:tcW w:w="3969" w:type="dxa"/>
          </w:tcPr>
          <w:p w14:paraId="4954B464" w14:textId="77777777"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offered solution shall include a fully compatible automatic dual-head contrast media injector suitable for CT angiography and contrast-enhanced CT examinations.</w:t>
            </w:r>
          </w:p>
          <w:p w14:paraId="7C3A0DBB" w14:textId="77777777"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injector may be integrated with the CT system or provided as a standalone unit.</w:t>
            </w:r>
          </w:p>
          <w:p w14:paraId="63215707" w14:textId="7B332127"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injector shall be supplied with all accessories necessary for operation and a starter kit of consumables sufficient for initial clinical operation.</w:t>
            </w:r>
          </w:p>
        </w:tc>
        <w:tc>
          <w:tcPr>
            <w:tcW w:w="4110" w:type="dxa"/>
          </w:tcPr>
          <w:p w14:paraId="1114911F" w14:textId="3BF32716"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4B6A23">
              <w:rPr>
                <w:rFonts w:cs="Calibri"/>
                <w:color w:val="auto"/>
                <w:sz w:val="22"/>
                <w:szCs w:val="22"/>
                <w:lang w:val="en-US"/>
              </w:rPr>
              <w:t>The same requirement as in point 2.1</w:t>
            </w:r>
          </w:p>
        </w:tc>
        <w:tc>
          <w:tcPr>
            <w:tcW w:w="3544" w:type="dxa"/>
          </w:tcPr>
          <w:p w14:paraId="463D6EDE" w14:textId="77777777" w:rsidR="00FC33AB" w:rsidRPr="004B6A23"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299035C3" w14:textId="3DD311DE"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1738A73C" w14:textId="1E255EA3"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4</w:t>
            </w:r>
            <w:r w:rsidRPr="00340AAA">
              <w:rPr>
                <w:rFonts w:cs="Calibri"/>
                <w:b w:val="0"/>
                <w:bCs w:val="0"/>
                <w:color w:val="auto"/>
                <w:sz w:val="22"/>
                <w:szCs w:val="22"/>
              </w:rPr>
              <w:t>.</w:t>
            </w:r>
          </w:p>
        </w:tc>
        <w:tc>
          <w:tcPr>
            <w:tcW w:w="2264" w:type="dxa"/>
          </w:tcPr>
          <w:p w14:paraId="737466E9" w14:textId="0907A9F8"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Workstation</w:t>
            </w:r>
          </w:p>
        </w:tc>
        <w:tc>
          <w:tcPr>
            <w:tcW w:w="3969" w:type="dxa"/>
          </w:tcPr>
          <w:p w14:paraId="7E04BFFE" w14:textId="481ED2A8"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include a fully integrated operator and diagnostic workstation intended for CT system control, image acquisition, image reconstruction, post-processing, storage and image review.</w:t>
            </w:r>
          </w:p>
          <w:p w14:paraId="17467760" w14:textId="77777777"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workstation shall include not less than:</w:t>
            </w:r>
          </w:p>
          <w:p w14:paraId="0FBCABDA" w14:textId="1DFE38CB" w:rsidR="00FC33AB" w:rsidRPr="00825B96" w:rsidRDefault="00FC33AB" w:rsidP="00260F3B">
            <w:pPr>
              <w:pStyle w:val="ListParagraph"/>
              <w:numPr>
                <w:ilvl w:val="0"/>
                <w:numId w:val="6"/>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integrated computer hardware and software required for operation of the CT system. The user interface software shall be in English and/or Ukrainian language;</w:t>
            </w:r>
          </w:p>
          <w:p w14:paraId="5419816B" w14:textId="4719C1C7" w:rsidR="00FC33AB" w:rsidRPr="00825B96" w:rsidRDefault="00FC33AB" w:rsidP="00260F3B">
            <w:pPr>
              <w:pStyle w:val="ListParagraph"/>
              <w:numPr>
                <w:ilvl w:val="0"/>
                <w:numId w:val="6"/>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not less than one 24-inch medical-grade monitor;</w:t>
            </w:r>
          </w:p>
          <w:p w14:paraId="7186BAB0" w14:textId="061E0144" w:rsidR="00FC33AB" w:rsidRPr="00825B96" w:rsidRDefault="00FC33AB" w:rsidP="00260F3B">
            <w:pPr>
              <w:pStyle w:val="ListParagraph"/>
              <w:numPr>
                <w:ilvl w:val="0"/>
                <w:numId w:val="6"/>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keyboard and pointing device;</w:t>
            </w:r>
          </w:p>
          <w:p w14:paraId="76F5081D" w14:textId="6258AB85" w:rsidR="00FC33AB" w:rsidRPr="00825B96" w:rsidRDefault="00FC33AB" w:rsidP="00260F3B">
            <w:pPr>
              <w:pStyle w:val="ListParagraph"/>
              <w:numPr>
                <w:ilvl w:val="0"/>
                <w:numId w:val="6"/>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lastRenderedPageBreak/>
              <w:t>local image storage capacity of not less than 1 TB;</w:t>
            </w:r>
          </w:p>
          <w:p w14:paraId="539CE8BD" w14:textId="6D48D3CC" w:rsidR="00FC33AB" w:rsidRPr="00825B96" w:rsidRDefault="00FC33AB" w:rsidP="00260F3B">
            <w:pPr>
              <w:pStyle w:val="ListParagraph"/>
              <w:numPr>
                <w:ilvl w:val="0"/>
                <w:numId w:val="6"/>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workstation shall include all hardware and software licenses required for full operation of the CT system and all functionalities offered in the tender.</w:t>
            </w:r>
          </w:p>
        </w:tc>
        <w:tc>
          <w:tcPr>
            <w:tcW w:w="4110" w:type="dxa"/>
          </w:tcPr>
          <w:p w14:paraId="45996A4F" w14:textId="56615731"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72A08">
              <w:rPr>
                <w:rFonts w:cs="Calibri"/>
                <w:color w:val="auto"/>
                <w:sz w:val="22"/>
                <w:szCs w:val="22"/>
                <w:lang w:val="en-US"/>
              </w:rPr>
              <w:lastRenderedPageBreak/>
              <w:t>The same requirement as in point 2.1</w:t>
            </w:r>
          </w:p>
        </w:tc>
        <w:tc>
          <w:tcPr>
            <w:tcW w:w="3544" w:type="dxa"/>
          </w:tcPr>
          <w:p w14:paraId="6561359B" w14:textId="77777777" w:rsidR="00FC33AB" w:rsidRPr="00F72A08"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4844208A" w14:textId="5D5271D8"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22060144" w14:textId="5FE411AB"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5</w:t>
            </w:r>
            <w:r w:rsidRPr="00340AAA">
              <w:rPr>
                <w:rFonts w:cs="Calibri"/>
                <w:b w:val="0"/>
                <w:bCs w:val="0"/>
                <w:color w:val="auto"/>
                <w:sz w:val="22"/>
                <w:szCs w:val="22"/>
              </w:rPr>
              <w:t>.</w:t>
            </w:r>
          </w:p>
        </w:tc>
        <w:tc>
          <w:tcPr>
            <w:tcW w:w="2264" w:type="dxa"/>
          </w:tcPr>
          <w:p w14:paraId="5B6B5290" w14:textId="432B7076"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Workstation functions</w:t>
            </w:r>
          </w:p>
        </w:tc>
        <w:tc>
          <w:tcPr>
            <w:tcW w:w="3969" w:type="dxa"/>
          </w:tcPr>
          <w:p w14:paraId="5241B556" w14:textId="77777777"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workstation shall provide at minimum:</w:t>
            </w:r>
          </w:p>
          <w:p w14:paraId="685C610D" w14:textId="0BDD5C18" w:rsidR="00FC33AB" w:rsidRPr="00825B96" w:rsidRDefault="00FC33AB" w:rsidP="00260F3B">
            <w:pPr>
              <w:pStyle w:val="ListParagraph"/>
              <w:numPr>
                <w:ilvl w:val="0"/>
                <w:numId w:val="7"/>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MPR (Multiplanar Reconstruction);</w:t>
            </w:r>
          </w:p>
          <w:p w14:paraId="3B040D89" w14:textId="58006689" w:rsidR="00FC33AB" w:rsidRPr="00825B96" w:rsidRDefault="00FC33AB" w:rsidP="00260F3B">
            <w:pPr>
              <w:pStyle w:val="ListParagraph"/>
              <w:numPr>
                <w:ilvl w:val="0"/>
                <w:numId w:val="7"/>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MIP (Maximum Intensity Projection);</w:t>
            </w:r>
          </w:p>
          <w:p w14:paraId="63EFE413" w14:textId="77777777" w:rsidR="00FC33AB" w:rsidRPr="00825B96" w:rsidRDefault="00FC33AB" w:rsidP="00260F3B">
            <w:pPr>
              <w:pStyle w:val="ListParagraph"/>
              <w:numPr>
                <w:ilvl w:val="0"/>
                <w:numId w:val="7"/>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VRT/3D reconstruction.</w:t>
            </w:r>
          </w:p>
          <w:p w14:paraId="3F4B3561" w14:textId="441BCC81" w:rsidR="00FC33AB" w:rsidRPr="00825B96" w:rsidRDefault="00FC33AB" w:rsidP="00260F3B">
            <w:pPr>
              <w:pStyle w:val="ListParagraph"/>
              <w:numPr>
                <w:ilvl w:val="0"/>
                <w:numId w:val="7"/>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Automated bone and patient table removal for advanced 3D visualization and angiographic post-processing.</w:t>
            </w:r>
          </w:p>
        </w:tc>
        <w:tc>
          <w:tcPr>
            <w:tcW w:w="4110" w:type="dxa"/>
          </w:tcPr>
          <w:p w14:paraId="434BA6A0" w14:textId="6F5AE3A4"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F72A08">
              <w:rPr>
                <w:rFonts w:cs="Calibri"/>
                <w:color w:val="auto"/>
                <w:sz w:val="22"/>
                <w:szCs w:val="22"/>
                <w:lang w:val="en-US"/>
              </w:rPr>
              <w:t>The same requirement as in point 2.1</w:t>
            </w:r>
          </w:p>
        </w:tc>
        <w:tc>
          <w:tcPr>
            <w:tcW w:w="3544" w:type="dxa"/>
          </w:tcPr>
          <w:p w14:paraId="3EE652F2" w14:textId="77777777" w:rsidR="00FC33AB" w:rsidRPr="00F72A08"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2F6D8B47" w14:textId="2508E1D6"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708B677D" w14:textId="087514E5"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6</w:t>
            </w:r>
            <w:r w:rsidRPr="00340AAA">
              <w:rPr>
                <w:rFonts w:cs="Calibri"/>
                <w:b w:val="0"/>
                <w:bCs w:val="0"/>
                <w:color w:val="auto"/>
                <w:sz w:val="22"/>
                <w:szCs w:val="22"/>
              </w:rPr>
              <w:t>.</w:t>
            </w:r>
          </w:p>
        </w:tc>
        <w:tc>
          <w:tcPr>
            <w:tcW w:w="2264" w:type="dxa"/>
          </w:tcPr>
          <w:p w14:paraId="2F0E1994" w14:textId="4E49BF58"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DICOM functionality</w:t>
            </w:r>
          </w:p>
        </w:tc>
        <w:tc>
          <w:tcPr>
            <w:tcW w:w="3969" w:type="dxa"/>
          </w:tcPr>
          <w:p w14:paraId="61CF855B" w14:textId="3FA9352D"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The system shall support not less than: </w:t>
            </w:r>
          </w:p>
          <w:p w14:paraId="21985CB9" w14:textId="77777777"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1) DICOM Send/Store; </w:t>
            </w:r>
          </w:p>
          <w:p w14:paraId="7E38CBE4" w14:textId="77777777"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2) DICOM Print; </w:t>
            </w:r>
          </w:p>
          <w:p w14:paraId="7920059E" w14:textId="77777777"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3) DICOM Worklist; </w:t>
            </w:r>
          </w:p>
          <w:p w14:paraId="5E02F96B" w14:textId="77777777"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 xml:space="preserve">4) DICOM Query/Retrieve; </w:t>
            </w:r>
          </w:p>
          <w:p w14:paraId="4AF7FD49" w14:textId="5C846426"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5) DICOM Dose Report</w:t>
            </w:r>
          </w:p>
        </w:tc>
        <w:tc>
          <w:tcPr>
            <w:tcW w:w="4110" w:type="dxa"/>
          </w:tcPr>
          <w:p w14:paraId="26BCAE0A" w14:textId="0CDBF98D"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F72A08">
              <w:rPr>
                <w:rFonts w:cs="Calibri"/>
                <w:color w:val="auto"/>
                <w:sz w:val="22"/>
                <w:szCs w:val="22"/>
                <w:lang w:val="en-US"/>
              </w:rPr>
              <w:t>The same requirement as in point 2.1</w:t>
            </w:r>
          </w:p>
        </w:tc>
        <w:tc>
          <w:tcPr>
            <w:tcW w:w="3544" w:type="dxa"/>
          </w:tcPr>
          <w:p w14:paraId="60CC9300" w14:textId="77777777" w:rsidR="00FC33AB" w:rsidRPr="00F72A08"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7F6273F0" w14:textId="2330530C"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427C7CD0" w14:textId="76C86B2D" w:rsidR="00FC33AB" w:rsidRPr="00340AAA" w:rsidRDefault="00FC33AB" w:rsidP="00340AAA">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2.2</w:t>
            </w:r>
            <w:r>
              <w:rPr>
                <w:rFonts w:cs="Calibri"/>
                <w:b w:val="0"/>
                <w:bCs w:val="0"/>
                <w:color w:val="auto"/>
                <w:sz w:val="22"/>
                <w:szCs w:val="22"/>
                <w:lang w:val="en-US"/>
              </w:rPr>
              <w:t>7</w:t>
            </w:r>
            <w:r w:rsidRPr="00340AAA">
              <w:rPr>
                <w:rFonts w:cs="Calibri"/>
                <w:b w:val="0"/>
                <w:bCs w:val="0"/>
                <w:color w:val="auto"/>
                <w:sz w:val="22"/>
                <w:szCs w:val="22"/>
                <w:lang w:val="en-US"/>
              </w:rPr>
              <w:t>.</w:t>
            </w:r>
          </w:p>
        </w:tc>
        <w:tc>
          <w:tcPr>
            <w:tcW w:w="2264" w:type="dxa"/>
          </w:tcPr>
          <w:p w14:paraId="3CCD14D9" w14:textId="7F1EF1C6"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PACS integration</w:t>
            </w:r>
          </w:p>
        </w:tc>
        <w:tc>
          <w:tcPr>
            <w:tcW w:w="3969" w:type="dxa"/>
          </w:tcPr>
          <w:p w14:paraId="7B7EEDC3" w14:textId="69EE363B" w:rsidR="00FC33AB" w:rsidRPr="00825B96" w:rsidRDefault="00FC33AB" w:rsidP="00B6699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Integration with the institution’s PACS /RIS (Picture Archiving and Communication System / Radiology Information System) system shall be included in the offered price.</w:t>
            </w:r>
          </w:p>
          <w:p w14:paraId="22A5A825" w14:textId="4F744A66" w:rsidR="00FC33AB" w:rsidRPr="00825B96" w:rsidRDefault="00FC33AB" w:rsidP="00B6699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lastRenderedPageBreak/>
              <w:t>All software licenses, interfaces, configuration, testing and commissioning required for PACS/RIS integration shall be included in the offered price.</w:t>
            </w:r>
          </w:p>
        </w:tc>
        <w:tc>
          <w:tcPr>
            <w:tcW w:w="4110" w:type="dxa"/>
          </w:tcPr>
          <w:p w14:paraId="483048B7" w14:textId="4DF56DD8"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90C55">
              <w:rPr>
                <w:rFonts w:cs="Calibri"/>
                <w:color w:val="auto"/>
                <w:sz w:val="22"/>
                <w:szCs w:val="22"/>
                <w:lang w:val="en-US"/>
              </w:rPr>
              <w:lastRenderedPageBreak/>
              <w:t>The same requirement as in point 2.1</w:t>
            </w:r>
          </w:p>
        </w:tc>
        <w:tc>
          <w:tcPr>
            <w:tcW w:w="3544" w:type="dxa"/>
          </w:tcPr>
          <w:p w14:paraId="0FEECA5B" w14:textId="77777777" w:rsidR="00FC33AB" w:rsidRPr="00C90C55"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0D504A23" w14:textId="56D5B41D"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33FF1692" w14:textId="6DFFA600" w:rsidR="00FC33AB" w:rsidRPr="00340AAA" w:rsidRDefault="00FC33AB" w:rsidP="00340AAA">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t>2.2</w:t>
            </w:r>
            <w:r>
              <w:rPr>
                <w:rFonts w:cs="Calibri"/>
                <w:b w:val="0"/>
                <w:bCs w:val="0"/>
                <w:color w:val="auto"/>
                <w:sz w:val="22"/>
                <w:szCs w:val="22"/>
                <w:lang w:val="en-US"/>
              </w:rPr>
              <w:t>8</w:t>
            </w:r>
            <w:r w:rsidRPr="00340AAA">
              <w:rPr>
                <w:rFonts w:cs="Calibri"/>
                <w:b w:val="0"/>
                <w:bCs w:val="0"/>
                <w:color w:val="auto"/>
                <w:sz w:val="22"/>
                <w:szCs w:val="22"/>
                <w:lang w:val="en-US"/>
              </w:rPr>
              <w:t>.</w:t>
            </w:r>
          </w:p>
        </w:tc>
        <w:tc>
          <w:tcPr>
            <w:tcW w:w="2264" w:type="dxa"/>
          </w:tcPr>
          <w:p w14:paraId="5C11BCA0" w14:textId="01D8392B"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Emergency stop functionality</w:t>
            </w:r>
          </w:p>
        </w:tc>
        <w:tc>
          <w:tcPr>
            <w:tcW w:w="3969" w:type="dxa"/>
          </w:tcPr>
          <w:p w14:paraId="2F7E1AF2" w14:textId="25AB8238"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include emergency stop controls for patient and operator safety.</w:t>
            </w:r>
          </w:p>
        </w:tc>
        <w:tc>
          <w:tcPr>
            <w:tcW w:w="4110" w:type="dxa"/>
          </w:tcPr>
          <w:p w14:paraId="13DC8112" w14:textId="5B83D7C0"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90C55">
              <w:rPr>
                <w:rFonts w:cs="Calibri"/>
                <w:color w:val="auto"/>
                <w:sz w:val="22"/>
                <w:szCs w:val="22"/>
                <w:lang w:val="en-US"/>
              </w:rPr>
              <w:t>The same requirement as in point 2.1</w:t>
            </w:r>
          </w:p>
        </w:tc>
        <w:tc>
          <w:tcPr>
            <w:tcW w:w="3544" w:type="dxa"/>
          </w:tcPr>
          <w:p w14:paraId="5F6B9912" w14:textId="77777777" w:rsidR="00FC33AB" w:rsidRPr="00C90C55"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1FEC8416" w14:textId="3DDC2DE4"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72B28A01" w14:textId="4FEA429A"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2.2</w:t>
            </w:r>
            <w:r>
              <w:rPr>
                <w:rFonts w:cs="Calibri"/>
                <w:b w:val="0"/>
                <w:bCs w:val="0"/>
                <w:color w:val="auto"/>
                <w:sz w:val="22"/>
                <w:szCs w:val="22"/>
              </w:rPr>
              <w:t>9</w:t>
            </w:r>
            <w:r w:rsidRPr="00340AAA">
              <w:rPr>
                <w:rFonts w:cs="Calibri"/>
                <w:b w:val="0"/>
                <w:bCs w:val="0"/>
                <w:color w:val="auto"/>
                <w:sz w:val="22"/>
                <w:szCs w:val="22"/>
              </w:rPr>
              <w:t>.</w:t>
            </w:r>
          </w:p>
        </w:tc>
        <w:tc>
          <w:tcPr>
            <w:tcW w:w="2264" w:type="dxa"/>
          </w:tcPr>
          <w:p w14:paraId="46654CE9" w14:textId="67B3B28A"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rPr>
              <w:t>UPS</w:t>
            </w:r>
          </w:p>
        </w:tc>
        <w:tc>
          <w:tcPr>
            <w:tcW w:w="3969" w:type="dxa"/>
          </w:tcPr>
          <w:p w14:paraId="37446CEC" w14:textId="17A5F128"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An uninterruptible power supply (UPS) shall be included for protection of the CT computer and control systems</w:t>
            </w:r>
          </w:p>
        </w:tc>
        <w:tc>
          <w:tcPr>
            <w:tcW w:w="4110" w:type="dxa"/>
          </w:tcPr>
          <w:p w14:paraId="57137140" w14:textId="6BF8CA3F"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90C55">
              <w:rPr>
                <w:rFonts w:cs="Calibri"/>
                <w:color w:val="auto"/>
                <w:sz w:val="22"/>
                <w:szCs w:val="22"/>
                <w:lang w:val="en-US"/>
              </w:rPr>
              <w:t>The same requirement as in point 2.1</w:t>
            </w:r>
          </w:p>
        </w:tc>
        <w:tc>
          <w:tcPr>
            <w:tcW w:w="3544" w:type="dxa"/>
          </w:tcPr>
          <w:p w14:paraId="42D96250" w14:textId="77777777" w:rsidR="00FC33AB" w:rsidRPr="00C90C55"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7B06817A" w14:textId="289D72C7" w:rsidTr="00CA6662">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56" w:type="dxa"/>
          </w:tcPr>
          <w:p w14:paraId="5CF46D2A" w14:textId="51A93363"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w:t>
            </w:r>
            <w:r>
              <w:rPr>
                <w:rFonts w:cs="Calibri"/>
                <w:b w:val="0"/>
                <w:bCs w:val="0"/>
                <w:color w:val="auto"/>
                <w:sz w:val="22"/>
                <w:szCs w:val="22"/>
              </w:rPr>
              <w:t>30</w:t>
            </w:r>
            <w:r w:rsidRPr="00340AAA">
              <w:rPr>
                <w:rFonts w:cs="Calibri"/>
                <w:b w:val="0"/>
                <w:bCs w:val="0"/>
                <w:color w:val="auto"/>
                <w:sz w:val="22"/>
                <w:szCs w:val="22"/>
              </w:rPr>
              <w:t>.</w:t>
            </w:r>
          </w:p>
        </w:tc>
        <w:tc>
          <w:tcPr>
            <w:tcW w:w="2264" w:type="dxa"/>
          </w:tcPr>
          <w:p w14:paraId="280CDE65" w14:textId="3975F5AC" w:rsidR="00FC33AB" w:rsidRPr="00825B96" w:rsidRDefault="00FC33AB" w:rsidP="00340AA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Quality control tools</w:t>
            </w:r>
          </w:p>
        </w:tc>
        <w:tc>
          <w:tcPr>
            <w:tcW w:w="3969" w:type="dxa"/>
          </w:tcPr>
          <w:p w14:paraId="7DB41386" w14:textId="16615D5D" w:rsidR="00FC33AB" w:rsidRPr="00825B96"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include quality control tools and/or test objects necessary to perform routine quality assurance and performance verification of not less than:</w:t>
            </w:r>
          </w:p>
          <w:p w14:paraId="2FA089EB" w14:textId="4975A198" w:rsidR="00FC33AB" w:rsidRPr="00825B96" w:rsidRDefault="00FC33AB" w:rsidP="00260F3B">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geometric accuracy;</w:t>
            </w:r>
          </w:p>
          <w:p w14:paraId="3CD7C25B" w14:textId="4CB7170F" w:rsidR="00FC33AB" w:rsidRPr="00825B96" w:rsidRDefault="00FC33AB" w:rsidP="00260F3B">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image uniformity;</w:t>
            </w:r>
          </w:p>
          <w:p w14:paraId="3C47F7F2" w14:textId="0482534F" w:rsidR="00FC33AB" w:rsidRPr="00825B96" w:rsidRDefault="00FC33AB" w:rsidP="00260F3B">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CT number accuracy;</w:t>
            </w:r>
          </w:p>
          <w:p w14:paraId="2FFFE56B" w14:textId="0EFD6292" w:rsidR="00FC33AB" w:rsidRPr="00825B96" w:rsidRDefault="00FC33AB" w:rsidP="00260F3B">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spatial resolution;</w:t>
            </w:r>
          </w:p>
          <w:p w14:paraId="10BC7F05" w14:textId="1F4F792B" w:rsidR="00FC33AB" w:rsidRPr="00825B96" w:rsidRDefault="00FC33AB" w:rsidP="00260F3B">
            <w:pPr>
              <w:pStyle w:val="ListParagraph"/>
              <w:numPr>
                <w:ilvl w:val="0"/>
                <w:numId w:val="5"/>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image noise.</w:t>
            </w:r>
          </w:p>
        </w:tc>
        <w:tc>
          <w:tcPr>
            <w:tcW w:w="4110" w:type="dxa"/>
          </w:tcPr>
          <w:p w14:paraId="2A618A61" w14:textId="4273C980" w:rsidR="00FC33AB" w:rsidRPr="0029526E"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90C55">
              <w:rPr>
                <w:rFonts w:cs="Calibri"/>
                <w:color w:val="auto"/>
                <w:sz w:val="22"/>
                <w:szCs w:val="22"/>
                <w:lang w:val="en-US"/>
              </w:rPr>
              <w:t>The same requirement as in point 2.1</w:t>
            </w:r>
          </w:p>
        </w:tc>
        <w:tc>
          <w:tcPr>
            <w:tcW w:w="3544" w:type="dxa"/>
          </w:tcPr>
          <w:p w14:paraId="3B48FC5B" w14:textId="77777777" w:rsidR="00FC33AB" w:rsidRPr="00C90C55" w:rsidRDefault="00FC33AB" w:rsidP="00340AA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0AE26FC4" w14:textId="7A061482" w:rsidTr="00CA6662">
        <w:trPr>
          <w:trHeight w:val="637"/>
        </w:trPr>
        <w:tc>
          <w:tcPr>
            <w:cnfStyle w:val="001000000000" w:firstRow="0" w:lastRow="0" w:firstColumn="1" w:lastColumn="0" w:oddVBand="0" w:evenVBand="0" w:oddHBand="0" w:evenHBand="0" w:firstRowFirstColumn="0" w:firstRowLastColumn="0" w:lastRowFirstColumn="0" w:lastRowLastColumn="0"/>
            <w:tcW w:w="856" w:type="dxa"/>
          </w:tcPr>
          <w:p w14:paraId="1E3DCCC4" w14:textId="25DC8CB3" w:rsidR="00FC33AB" w:rsidRPr="00340AAA" w:rsidRDefault="00FC33AB" w:rsidP="00340AAA">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2.</w:t>
            </w:r>
            <w:r>
              <w:rPr>
                <w:rFonts w:cs="Calibri"/>
                <w:b w:val="0"/>
                <w:bCs w:val="0"/>
                <w:color w:val="auto"/>
                <w:sz w:val="22"/>
                <w:szCs w:val="22"/>
              </w:rPr>
              <w:t>31</w:t>
            </w:r>
            <w:r w:rsidRPr="00340AAA">
              <w:rPr>
                <w:rFonts w:cs="Calibri"/>
                <w:b w:val="0"/>
                <w:bCs w:val="0"/>
                <w:color w:val="auto"/>
                <w:sz w:val="22"/>
                <w:szCs w:val="22"/>
              </w:rPr>
              <w:t>.</w:t>
            </w:r>
          </w:p>
        </w:tc>
        <w:tc>
          <w:tcPr>
            <w:tcW w:w="2264" w:type="dxa"/>
          </w:tcPr>
          <w:p w14:paraId="43E53892" w14:textId="2EB07742" w:rsidR="00FC33AB" w:rsidRPr="00825B96" w:rsidRDefault="00FC33AB" w:rsidP="00340A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25B96">
              <w:rPr>
                <w:rFonts w:cs="Calibri"/>
                <w:color w:val="auto"/>
                <w:sz w:val="22"/>
                <w:szCs w:val="22"/>
              </w:rPr>
              <w:t>Dose reporting</w:t>
            </w:r>
          </w:p>
        </w:tc>
        <w:tc>
          <w:tcPr>
            <w:tcW w:w="3969" w:type="dxa"/>
          </w:tcPr>
          <w:p w14:paraId="4BB809D0" w14:textId="6BB5C339" w:rsidR="00FC33AB" w:rsidRPr="00825B96"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system shall provide patient dose recording functionality in accordance with applicable EU and national regulations</w:t>
            </w:r>
          </w:p>
        </w:tc>
        <w:tc>
          <w:tcPr>
            <w:tcW w:w="4110" w:type="dxa"/>
          </w:tcPr>
          <w:p w14:paraId="6E5D430E" w14:textId="6F05FBA7" w:rsidR="00FC33AB" w:rsidRPr="0029526E"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90C55">
              <w:rPr>
                <w:rFonts w:cs="Calibri"/>
                <w:color w:val="auto"/>
                <w:sz w:val="22"/>
                <w:szCs w:val="22"/>
                <w:lang w:val="en-US"/>
              </w:rPr>
              <w:t>The same requirement as in point 2.1</w:t>
            </w:r>
          </w:p>
        </w:tc>
        <w:tc>
          <w:tcPr>
            <w:tcW w:w="3544" w:type="dxa"/>
          </w:tcPr>
          <w:p w14:paraId="564DBD2E" w14:textId="77777777" w:rsidR="00FC33AB" w:rsidRPr="00C90C55" w:rsidRDefault="00FC33AB" w:rsidP="00340AA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D023577" w14:textId="7F5F7495"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4AE11B08" w14:textId="5AAEA076" w:rsidR="00FC33AB" w:rsidRPr="00340AAA" w:rsidRDefault="00FC33AB" w:rsidP="00554CC6">
            <w:pPr>
              <w:spacing w:after="120" w:line="240" w:lineRule="auto"/>
              <w:ind w:left="164"/>
              <w:jc w:val="both"/>
              <w:rPr>
                <w:rFonts w:cs="Calibri"/>
                <w:b w:val="0"/>
                <w:bCs w:val="0"/>
                <w:strike/>
                <w:color w:val="auto"/>
                <w:sz w:val="22"/>
                <w:szCs w:val="22"/>
              </w:rPr>
            </w:pPr>
            <w:r w:rsidRPr="00340AAA">
              <w:rPr>
                <w:rFonts w:cs="Calibri"/>
                <w:b w:val="0"/>
                <w:bCs w:val="0"/>
                <w:color w:val="auto"/>
                <w:sz w:val="22"/>
                <w:szCs w:val="22"/>
                <w:lang w:val="uk-UA"/>
              </w:rPr>
              <w:t>2.</w:t>
            </w:r>
            <w:r>
              <w:rPr>
                <w:rFonts w:cs="Calibri"/>
                <w:b w:val="0"/>
                <w:bCs w:val="0"/>
                <w:color w:val="auto"/>
                <w:sz w:val="22"/>
                <w:szCs w:val="22"/>
              </w:rPr>
              <w:t>32</w:t>
            </w:r>
            <w:r w:rsidRPr="00340AAA">
              <w:rPr>
                <w:rFonts w:cs="Calibri"/>
                <w:b w:val="0"/>
                <w:bCs w:val="0"/>
                <w:color w:val="auto"/>
                <w:sz w:val="22"/>
                <w:szCs w:val="22"/>
              </w:rPr>
              <w:t>.</w:t>
            </w:r>
          </w:p>
        </w:tc>
        <w:tc>
          <w:tcPr>
            <w:tcW w:w="2264" w:type="dxa"/>
          </w:tcPr>
          <w:p w14:paraId="38D6EA35" w14:textId="687903D0" w:rsidR="00FC33AB" w:rsidRPr="00825B96" w:rsidRDefault="00FC33AB" w:rsidP="00554CC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CE marking and compliance</w:t>
            </w:r>
          </w:p>
        </w:tc>
        <w:tc>
          <w:tcPr>
            <w:tcW w:w="3969" w:type="dxa"/>
          </w:tcPr>
          <w:p w14:paraId="27E3C71A" w14:textId="113DAC95" w:rsidR="00FC33AB" w:rsidRPr="00825B96" w:rsidRDefault="00FC33AB" w:rsidP="00225F9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offered equipment shall be CE marked and comply with applicable EU medical device and radiation safety regulations, as well as all regulatory requirements applicable in the Beneficiary’s country</w:t>
            </w:r>
          </w:p>
        </w:tc>
        <w:tc>
          <w:tcPr>
            <w:tcW w:w="4110" w:type="dxa"/>
          </w:tcPr>
          <w:p w14:paraId="6859EDBC" w14:textId="14F76C74" w:rsidR="00FC33AB" w:rsidRPr="003C1CDE"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BF585B">
              <w:rPr>
                <w:rFonts w:cs="Calibri"/>
                <w:color w:val="auto"/>
                <w:sz w:val="22"/>
                <w:szCs w:val="22"/>
                <w:lang w:val="en-US"/>
              </w:rPr>
              <w:t>The same requirement as in point 2.1</w:t>
            </w:r>
          </w:p>
        </w:tc>
        <w:tc>
          <w:tcPr>
            <w:tcW w:w="3544" w:type="dxa"/>
          </w:tcPr>
          <w:p w14:paraId="0C088765" w14:textId="77777777" w:rsidR="00FC33AB" w:rsidRPr="00BF585B" w:rsidRDefault="00FC33AB" w:rsidP="00554CC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6BAF6597" w14:textId="3E3EEC8F" w:rsidTr="00CA6662">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35A39171" w14:textId="75E23DCD" w:rsidR="00FC33AB" w:rsidRPr="00340AAA" w:rsidRDefault="00FC33AB" w:rsidP="00EA2B24">
            <w:pPr>
              <w:spacing w:line="240" w:lineRule="auto"/>
              <w:ind w:left="164"/>
              <w:jc w:val="both"/>
              <w:rPr>
                <w:rFonts w:cs="Calibri"/>
                <w:b w:val="0"/>
                <w:bCs w:val="0"/>
                <w:color w:val="FFFFFF" w:themeColor="background1"/>
                <w:sz w:val="22"/>
                <w:szCs w:val="22"/>
                <w:highlight w:val="yellow"/>
                <w:lang w:val="en-US"/>
              </w:rPr>
            </w:pPr>
            <w:r w:rsidRPr="00340AAA">
              <w:rPr>
                <w:rFonts w:cs="Calibri"/>
                <w:b w:val="0"/>
                <w:bCs w:val="0"/>
                <w:color w:val="auto"/>
                <w:sz w:val="22"/>
                <w:szCs w:val="22"/>
                <w:lang w:val="en-US"/>
              </w:rPr>
              <w:t>3.</w:t>
            </w:r>
          </w:p>
        </w:tc>
        <w:tc>
          <w:tcPr>
            <w:tcW w:w="10343" w:type="dxa"/>
            <w:gridSpan w:val="3"/>
            <w:shd w:val="clear" w:color="auto" w:fill="9CC2E5" w:themeFill="accent1" w:themeFillTint="99"/>
          </w:tcPr>
          <w:p w14:paraId="5F0F5EA9" w14:textId="27F94FDF" w:rsidR="00FC33AB" w:rsidRPr="00340AAA" w:rsidRDefault="00FC33AB" w:rsidP="00EA2B2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i/>
                <w:color w:val="FFFFFF" w:themeColor="background1"/>
                <w:sz w:val="22"/>
                <w:szCs w:val="22"/>
                <w:lang w:val="en-US"/>
              </w:rPr>
            </w:pPr>
            <w:r w:rsidRPr="00340AAA">
              <w:rPr>
                <w:rFonts w:cs="Calibri"/>
                <w:i/>
                <w:color w:val="FFFFFF" w:themeColor="background1"/>
                <w:sz w:val="22"/>
                <w:szCs w:val="22"/>
                <w:lang w:val="en-US"/>
              </w:rPr>
              <w:t>Technical requirements for Modular building</w:t>
            </w:r>
          </w:p>
        </w:tc>
        <w:tc>
          <w:tcPr>
            <w:tcW w:w="3544" w:type="dxa"/>
            <w:shd w:val="clear" w:color="auto" w:fill="9CC2E5" w:themeFill="accent1" w:themeFillTint="99"/>
          </w:tcPr>
          <w:p w14:paraId="0F05ECA4" w14:textId="77777777" w:rsidR="00FC33AB" w:rsidRPr="00340AAA" w:rsidRDefault="00FC33AB" w:rsidP="00EA2B24">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i/>
                <w:color w:val="FFFFFF" w:themeColor="background1"/>
                <w:sz w:val="22"/>
                <w:szCs w:val="22"/>
                <w:lang w:val="en-US"/>
              </w:rPr>
            </w:pPr>
          </w:p>
        </w:tc>
      </w:tr>
      <w:tr w:rsidR="00FC33AB" w:rsidRPr="003C1CDE" w14:paraId="033E8631" w14:textId="7153F603" w:rsidTr="00CA6662">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2D936C9" w14:textId="5A8901A6" w:rsidR="00FC33AB" w:rsidRPr="00340AAA" w:rsidRDefault="00FC33AB" w:rsidP="00EA2B24">
            <w:pPr>
              <w:spacing w:after="120" w:line="240" w:lineRule="auto"/>
              <w:ind w:left="164"/>
              <w:jc w:val="both"/>
              <w:rPr>
                <w:rFonts w:cs="Calibri"/>
                <w:b w:val="0"/>
                <w:bCs w:val="0"/>
                <w:color w:val="auto"/>
                <w:sz w:val="22"/>
                <w:szCs w:val="22"/>
                <w:lang w:val="en-US"/>
              </w:rPr>
            </w:pPr>
            <w:r w:rsidRPr="00340AAA">
              <w:rPr>
                <w:rFonts w:cs="Calibri"/>
                <w:b w:val="0"/>
                <w:bCs w:val="0"/>
                <w:color w:val="auto"/>
                <w:sz w:val="22"/>
                <w:szCs w:val="22"/>
                <w:lang w:val="en-US"/>
              </w:rPr>
              <w:lastRenderedPageBreak/>
              <w:t>3.1.</w:t>
            </w:r>
          </w:p>
        </w:tc>
        <w:tc>
          <w:tcPr>
            <w:tcW w:w="2264" w:type="dxa"/>
          </w:tcPr>
          <w:p w14:paraId="22178A46" w14:textId="77777777" w:rsidR="00FC33AB" w:rsidRPr="00825B96" w:rsidRDefault="00FC33AB" w:rsidP="00EA2B24">
            <w:pPr>
              <w:spacing w:after="120"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Intended use</w:t>
            </w:r>
          </w:p>
        </w:tc>
        <w:tc>
          <w:tcPr>
            <w:tcW w:w="3969" w:type="dxa"/>
          </w:tcPr>
          <w:p w14:paraId="7C205D51" w14:textId="67D22CE9" w:rsidR="00FC33AB" w:rsidRPr="00825B96" w:rsidRDefault="00FC33AB" w:rsidP="00EA2B2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supplier shall provide a complete modular, container-type or lightweight construction building solution suitable for installation and operation of the CT system, including design, delivery, foundations, installation, connection to the hospital utilities, internal fit-out, commissioning and handover for operation.</w:t>
            </w:r>
          </w:p>
        </w:tc>
        <w:tc>
          <w:tcPr>
            <w:tcW w:w="4110" w:type="dxa"/>
          </w:tcPr>
          <w:p w14:paraId="4502A6CD" w14:textId="77777777" w:rsidR="00FC33AB" w:rsidRPr="003C1CDE"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3C1CDE">
              <w:rPr>
                <w:rFonts w:cs="Calibri"/>
                <w:color w:val="auto"/>
                <w:sz w:val="22"/>
                <w:szCs w:val="22"/>
                <w:lang w:val="en-US"/>
              </w:rPr>
              <w:t>The supplier declares compliance with this requirement in section 5 of the Tender form.</w:t>
            </w:r>
          </w:p>
          <w:p w14:paraId="6BBE6BE8" w14:textId="11C5D9FC" w:rsidR="00FC33AB" w:rsidRPr="003C1CDE"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DC4CB8">
              <w:rPr>
                <w:rFonts w:cs="Calibri"/>
                <w:color w:val="auto"/>
                <w:sz w:val="22"/>
                <w:szCs w:val="22"/>
                <w:lang w:val="en-US"/>
              </w:rPr>
              <w:t>Supplier must also provide manufacturer's technical documentation (catalogues, brochures, technical datasheets) and/or manufacturer's declarations (if the manufacturer's technical documentation does not fully reflect compliance of the offered solution with the requirements of the Technical Specification), or other equivalent documents, confirming compliance with the requirements of this Technical Specification.</w:t>
            </w:r>
          </w:p>
        </w:tc>
        <w:tc>
          <w:tcPr>
            <w:tcW w:w="3544" w:type="dxa"/>
          </w:tcPr>
          <w:p w14:paraId="3D11D843" w14:textId="77777777" w:rsidR="00FC33AB" w:rsidRPr="003C1CDE"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2FECFF36" w14:textId="70A24FE3" w:rsidTr="00CA6662">
        <w:trPr>
          <w:trHeight w:val="670"/>
        </w:trPr>
        <w:tc>
          <w:tcPr>
            <w:cnfStyle w:val="001000000000" w:firstRow="0" w:lastRow="0" w:firstColumn="1" w:lastColumn="0" w:oddVBand="0" w:evenVBand="0" w:oddHBand="0" w:evenHBand="0" w:firstRowFirstColumn="0" w:firstRowLastColumn="0" w:lastRowFirstColumn="0" w:lastRowLastColumn="0"/>
            <w:tcW w:w="856" w:type="dxa"/>
          </w:tcPr>
          <w:p w14:paraId="110D5301" w14:textId="41DA93D3" w:rsidR="00FC33AB" w:rsidRPr="005C2B25" w:rsidRDefault="00FC33AB" w:rsidP="00554CC6">
            <w:pPr>
              <w:spacing w:after="120" w:line="240" w:lineRule="auto"/>
              <w:ind w:left="164"/>
              <w:jc w:val="both"/>
              <w:rPr>
                <w:rFonts w:cs="Calibri"/>
                <w:b w:val="0"/>
                <w:bCs w:val="0"/>
                <w:color w:val="auto"/>
                <w:sz w:val="22"/>
                <w:szCs w:val="22"/>
              </w:rPr>
            </w:pPr>
            <w:r w:rsidRPr="005C2B25">
              <w:rPr>
                <w:rFonts w:cs="Calibri"/>
                <w:b w:val="0"/>
                <w:bCs w:val="0"/>
                <w:color w:val="auto"/>
                <w:sz w:val="22"/>
                <w:szCs w:val="22"/>
              </w:rPr>
              <w:t>3.2.</w:t>
            </w:r>
          </w:p>
        </w:tc>
        <w:tc>
          <w:tcPr>
            <w:tcW w:w="2264" w:type="dxa"/>
          </w:tcPr>
          <w:p w14:paraId="47360F60" w14:textId="4FE0A379" w:rsidR="00FC33AB" w:rsidRPr="00825B96" w:rsidRDefault="00FC33AB" w:rsidP="00554CC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Technical documentation and engineering solutions</w:t>
            </w:r>
          </w:p>
        </w:tc>
        <w:tc>
          <w:tcPr>
            <w:tcW w:w="3969" w:type="dxa"/>
          </w:tcPr>
          <w:p w14:paraId="3F46FB27" w14:textId="662B3733" w:rsidR="00FC33AB" w:rsidRPr="00825B96" w:rsidRDefault="00FC33AB" w:rsidP="00260F3B">
            <w:pPr>
              <w:pStyle w:val="ListParagraph"/>
              <w:numPr>
                <w:ilvl w:val="0"/>
                <w:numId w:val="1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supplier shall prepare all technical documentation, installation drawings and engineering solutions necessary for installation, utility connections, radiation protection and operation of the modular CT building and CT system at the intended site.</w:t>
            </w:r>
          </w:p>
          <w:p w14:paraId="11ACE2A5" w14:textId="2665BB3D" w:rsidR="00FC33AB" w:rsidRPr="00825B96" w:rsidRDefault="00FC33AB" w:rsidP="00260F3B">
            <w:pPr>
              <w:pStyle w:val="ListParagraph"/>
              <w:numPr>
                <w:ilvl w:val="0"/>
                <w:numId w:val="1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 xml:space="preserve">The proposed solution shall comply with applicable Ukrainian construction, healthcare and radiation safety requirements, including the requirements of Ukrainian Ministry of Health Order No. 294 dated 04 June 2007 "State Sanitary Rules and Norms – Hygienic Requirements for Arrangement and Operation of X-ray Rooms and Conduct of </w:t>
            </w:r>
            <w:r w:rsidRPr="00825B96">
              <w:rPr>
                <w:rFonts w:ascii="Calibri" w:hAnsi="Calibri" w:cs="Calibri"/>
                <w:b w:val="0"/>
                <w:lang w:val="en-US"/>
              </w:rPr>
              <w:lastRenderedPageBreak/>
              <w:t>Radiological Procedures", as amended.</w:t>
            </w:r>
          </w:p>
          <w:p w14:paraId="0D51B2AC" w14:textId="11E587F8" w:rsidR="00FC33AB" w:rsidRPr="00825B96" w:rsidRDefault="00FC33AB" w:rsidP="00260F3B">
            <w:pPr>
              <w:pStyle w:val="ListParagraph"/>
              <w:numPr>
                <w:ilvl w:val="0"/>
                <w:numId w:val="1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Supplier shall identify all permits, approvals, expert assessments, notifications and other regulatory procedures required for lawful installation, commissioning and operation of the proposed solution. Where such permits, approvals or regulatory procedures are required, the Supplier shall prepare the necessary technical documentation and provide all information required for obtaining them. The Supplier shall cooperate with the Beneficiary and competent authorities to obtain all required permits and approvals, each Party fulfilling the responsibilities assigned to it under applicable legislation.</w:t>
            </w:r>
          </w:p>
          <w:p w14:paraId="7FF8B0AF" w14:textId="41595049" w:rsidR="00FC33AB" w:rsidRPr="00825B96" w:rsidRDefault="00FC33AB" w:rsidP="00260F3B">
            <w:pPr>
              <w:pStyle w:val="ListParagraph"/>
              <w:numPr>
                <w:ilvl w:val="0"/>
                <w:numId w:val="15"/>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As-built documentation, electrical drawings, HVAC documentation, maintenance instructions, maintenance schedules and recommended preventive maintenance procedures for the modular facility shall be provided upon completion.</w:t>
            </w:r>
          </w:p>
        </w:tc>
        <w:tc>
          <w:tcPr>
            <w:tcW w:w="4110" w:type="dxa"/>
          </w:tcPr>
          <w:p w14:paraId="029F2F7A" w14:textId="5FD49643" w:rsidR="00FC33AB" w:rsidRPr="00BF585B"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F585B">
              <w:rPr>
                <w:rFonts w:cs="Calibri"/>
                <w:color w:val="auto"/>
                <w:sz w:val="22"/>
                <w:szCs w:val="22"/>
                <w:lang w:val="en-US"/>
              </w:rPr>
              <w:lastRenderedPageBreak/>
              <w:t xml:space="preserve">The same requirement as in point </w:t>
            </w:r>
            <w:r>
              <w:rPr>
                <w:rFonts w:cs="Calibri"/>
                <w:color w:val="auto"/>
                <w:sz w:val="22"/>
                <w:szCs w:val="22"/>
                <w:lang w:val="en-US"/>
              </w:rPr>
              <w:t>3</w:t>
            </w:r>
            <w:r w:rsidRPr="00BF585B">
              <w:rPr>
                <w:rFonts w:cs="Calibri"/>
                <w:color w:val="auto"/>
                <w:sz w:val="22"/>
                <w:szCs w:val="22"/>
                <w:lang w:val="en-US"/>
              </w:rPr>
              <w:t>.1</w:t>
            </w:r>
          </w:p>
        </w:tc>
        <w:tc>
          <w:tcPr>
            <w:tcW w:w="3544" w:type="dxa"/>
          </w:tcPr>
          <w:p w14:paraId="1DDFB798" w14:textId="77777777" w:rsidR="00FC33AB" w:rsidRPr="00BF585B" w:rsidRDefault="00FC33AB" w:rsidP="00554CC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026A775F" w14:textId="2A930D13"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013C88E7" w14:textId="5A5E50D6"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lastRenderedPageBreak/>
              <w:t>3.3.</w:t>
            </w:r>
          </w:p>
        </w:tc>
        <w:tc>
          <w:tcPr>
            <w:tcW w:w="2264" w:type="dxa"/>
          </w:tcPr>
          <w:p w14:paraId="0A5CA4F1" w14:textId="28CD9D58"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Site preparation</w:t>
            </w:r>
          </w:p>
        </w:tc>
        <w:tc>
          <w:tcPr>
            <w:tcW w:w="3969" w:type="dxa"/>
          </w:tcPr>
          <w:p w14:paraId="4561FB6C" w14:textId="4FAA0D49" w:rsidR="00FC33AB" w:rsidRPr="00825B96" w:rsidRDefault="00FC33AB" w:rsidP="00E1246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supplier shall design and install foundations suitable for the proposed modular building and CT equipment, taking into account total loads, vibration requirements, ground conditions and installation tolerances.</w:t>
            </w:r>
          </w:p>
          <w:p w14:paraId="1F306CAC" w14:textId="5AF74542" w:rsidR="00FC33AB" w:rsidRPr="00825B96" w:rsidRDefault="00FC33AB" w:rsidP="00E1246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supplier shall also perform all site works necessary for connection of the modular building to the existing hospital utility infrastructure, including electrical power, data and communication networks, water supply, wastewater and other utilities required for operation of the offered solution.</w:t>
            </w:r>
          </w:p>
        </w:tc>
        <w:tc>
          <w:tcPr>
            <w:tcW w:w="4110" w:type="dxa"/>
          </w:tcPr>
          <w:p w14:paraId="1FC5CD87" w14:textId="7834C11D"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666956FC"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1022C0DC" w14:textId="723AED84"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08543EBD" w14:textId="50297BDA"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3.4.</w:t>
            </w:r>
          </w:p>
        </w:tc>
        <w:tc>
          <w:tcPr>
            <w:tcW w:w="2264" w:type="dxa"/>
          </w:tcPr>
          <w:p w14:paraId="22F78086" w14:textId="5F788CF4" w:rsidR="00FC33AB" w:rsidRPr="00825B96" w:rsidRDefault="00FC33AB" w:rsidP="00DC4CB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Access to the modular CT building</w:t>
            </w:r>
          </w:p>
        </w:tc>
        <w:tc>
          <w:tcPr>
            <w:tcW w:w="3969" w:type="dxa"/>
          </w:tcPr>
          <w:p w14:paraId="66934DF9" w14:textId="77777777" w:rsidR="00FC33AB" w:rsidRPr="00825B96" w:rsidRDefault="00FC33AB" w:rsidP="009B6CAB">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CT building shall be provided with safe and accessible external access for patients, staff and equipment.</w:t>
            </w:r>
          </w:p>
          <w:p w14:paraId="2F609A7E" w14:textId="77777777" w:rsidR="00FC33AB" w:rsidRPr="00825B96" w:rsidRDefault="00FC33AB" w:rsidP="009B6CAB">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Access arrangements shall comply with applicable accessibility requirements and shall be suitable for the transportation of patients on stretchers, hospital beds and wheelchairs, including bariatric patients where applicable.</w:t>
            </w:r>
          </w:p>
          <w:p w14:paraId="0C0A6070" w14:textId="13D8EA27" w:rsidR="00FC33AB" w:rsidRPr="00825B96" w:rsidRDefault="00FC33AB" w:rsidP="009B6CAB">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Any ramps, platforms, handrails, landings and other access structures required for safe and lawful operation shall be included in the offered solution and price.</w:t>
            </w:r>
          </w:p>
        </w:tc>
        <w:tc>
          <w:tcPr>
            <w:tcW w:w="4110" w:type="dxa"/>
          </w:tcPr>
          <w:p w14:paraId="05224E4E" w14:textId="1AE168DA"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59B6D757"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CAAA7D8" w14:textId="566FFE25"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7F9B7F6A" w14:textId="05E65F52"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3.5.</w:t>
            </w:r>
          </w:p>
        </w:tc>
        <w:tc>
          <w:tcPr>
            <w:tcW w:w="2264" w:type="dxa"/>
          </w:tcPr>
          <w:p w14:paraId="0B73F3CE" w14:textId="361CB647"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Suitability for climatic conditions and for loads</w:t>
            </w:r>
          </w:p>
        </w:tc>
        <w:tc>
          <w:tcPr>
            <w:tcW w:w="3969" w:type="dxa"/>
          </w:tcPr>
          <w:p w14:paraId="2A4F8BDD" w14:textId="79252C36" w:rsidR="00FC33AB" w:rsidRPr="00825B96" w:rsidRDefault="00FC33AB" w:rsidP="00260F3B">
            <w:pPr>
              <w:pStyle w:val="ListParagraph"/>
              <w:numPr>
                <w:ilvl w:val="0"/>
                <w:numId w:val="12"/>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 xml:space="preserve">The modular building shall be suitable for year-round operation under local climatic conditions, including winter operation, snow </w:t>
            </w:r>
            <w:r w:rsidRPr="00825B96">
              <w:rPr>
                <w:rFonts w:ascii="Calibri" w:hAnsi="Calibri" w:cs="Calibri"/>
                <w:b w:val="0"/>
                <w:lang w:val="en-US"/>
              </w:rPr>
              <w:lastRenderedPageBreak/>
              <w:t>load, wind load, rain, humidity and temperature variations.</w:t>
            </w:r>
          </w:p>
          <w:p w14:paraId="67F0A9D9" w14:textId="77777777" w:rsidR="00FC33AB" w:rsidRPr="00825B96" w:rsidRDefault="00FC33AB" w:rsidP="00260F3B">
            <w:pPr>
              <w:pStyle w:val="ListParagraph"/>
              <w:numPr>
                <w:ilvl w:val="0"/>
                <w:numId w:val="12"/>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walls, floor, and roof of the modular building shall have high-performance thermal insulation (suitable for local winter/summer peaks) and acoustic insulation to ensure that the noise level in the operator/control room does not exceed applicable occupational health standards during CT scanning.</w:t>
            </w:r>
          </w:p>
          <w:p w14:paraId="743D0A15" w14:textId="024D054B" w:rsidR="00FC33AB" w:rsidRPr="00825B96" w:rsidRDefault="00FC33AB" w:rsidP="00260F3B">
            <w:pPr>
              <w:pStyle w:val="ListParagraph"/>
              <w:numPr>
                <w:ilvl w:val="0"/>
                <w:numId w:val="12"/>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modular building shall include appropriate rainwater drainage measures to prevent water accumulation and ensure safe operation of the facility.</w:t>
            </w:r>
          </w:p>
          <w:p w14:paraId="5CC589BB" w14:textId="77777777" w:rsidR="00FC33AB" w:rsidRPr="00825B96" w:rsidRDefault="00FC33AB" w:rsidP="00260F3B">
            <w:pPr>
              <w:pStyle w:val="ListParagraph"/>
              <w:numPr>
                <w:ilvl w:val="0"/>
                <w:numId w:val="12"/>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modular building structure and flooring shall be designed to support all static and dynamic loads of the offered CT system in accordance with the CT manufacturer’s requirements.</w:t>
            </w:r>
          </w:p>
          <w:p w14:paraId="7A5CE7B2" w14:textId="58AA0EF6" w:rsidR="00FC33AB" w:rsidRPr="00825B96" w:rsidRDefault="00FC33AB" w:rsidP="00260F3B">
            <w:pPr>
              <w:pStyle w:val="ListParagraph"/>
              <w:numPr>
                <w:ilvl w:val="0"/>
                <w:numId w:val="12"/>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modular building and foundations shall ensure vibration conditions suitable for proper operation of the offered CT system.</w:t>
            </w:r>
          </w:p>
        </w:tc>
        <w:tc>
          <w:tcPr>
            <w:tcW w:w="4110" w:type="dxa"/>
          </w:tcPr>
          <w:p w14:paraId="59318AE7" w14:textId="54803BA6"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2175AD9B"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1E040738" w14:textId="3A91D6D2"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4463A6EE" w14:textId="700BD104"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3.6.</w:t>
            </w:r>
          </w:p>
        </w:tc>
        <w:tc>
          <w:tcPr>
            <w:tcW w:w="2264" w:type="dxa"/>
          </w:tcPr>
          <w:p w14:paraId="3E07D54C" w14:textId="6980BD8F" w:rsidR="00FC33AB" w:rsidRPr="00825B96" w:rsidRDefault="00FC33AB" w:rsidP="00DC4CB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Interior layout</w:t>
            </w:r>
          </w:p>
        </w:tc>
        <w:tc>
          <w:tcPr>
            <w:tcW w:w="3969" w:type="dxa"/>
          </w:tcPr>
          <w:p w14:paraId="01AAF61C" w14:textId="16B03171"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 xml:space="preserve">The CT examination room, operator/control room and technical area shall be provided as separate functional spaces. Patient reception/waiting and patient changing areas shall also </w:t>
            </w:r>
            <w:r w:rsidRPr="00825B96">
              <w:rPr>
                <w:rFonts w:ascii="Calibri" w:hAnsi="Calibri" w:cs="Calibri"/>
                <w:b w:val="0"/>
                <w:lang w:val="en-US"/>
              </w:rPr>
              <w:lastRenderedPageBreak/>
              <w:t>be provided and appropriately arranged to ensure patient privacy, efficient workflow and compliance with applicable healthcare requirements.</w:t>
            </w:r>
          </w:p>
          <w:p w14:paraId="44967AF2" w14:textId="2F87A3FD"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internal layout shall provide a logical, ergonomic and safe workflow for patients and staff, including appropriate arrangements for patient reception, waiting, changing, CT examination and operator activities.</w:t>
            </w:r>
          </w:p>
          <w:p w14:paraId="645EBA34" w14:textId="77777777"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internal layout shall comply with applicable healthcare hygiene requirements and shall ensure accessibility for wheelchair users and safe movement of patients on stretchers, hospital beds and wheelchairs within the facility, including bariatric patients where applicable.</w:t>
            </w:r>
          </w:p>
          <w:p w14:paraId="189A3DE3" w14:textId="77777777"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Room dimensions, circulation routes and clearances shall be sufficient for safe operation of the CT system, patient handling and transportation, emergency evacuation and routine clinical activities.</w:t>
            </w:r>
          </w:p>
          <w:p w14:paraId="4B34E524" w14:textId="77777777"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 xml:space="preserve">A radiation-shielded (lead glass) observation window shall be installed between the operator/control room and the CT examination room to allow full visual control of the patient and </w:t>
            </w:r>
            <w:r w:rsidRPr="00825B96">
              <w:rPr>
                <w:rFonts w:ascii="Calibri" w:hAnsi="Calibri" w:cs="Calibri"/>
                <w:b w:val="0"/>
                <w:lang w:val="en-US"/>
              </w:rPr>
              <w:lastRenderedPageBreak/>
              <w:t>the CT gantry during examinations.</w:t>
            </w:r>
          </w:p>
          <w:p w14:paraId="4D8EA079" w14:textId="6EF11204" w:rsidR="00FC33AB" w:rsidRPr="00825B96" w:rsidRDefault="00FC33AB" w:rsidP="00260F3B">
            <w:pPr>
              <w:pStyle w:val="ListParagraph"/>
              <w:numPr>
                <w:ilvl w:val="0"/>
                <w:numId w:val="11"/>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design shall provide sufficient access space for preventive maintenance and servicing of the CT system in accordance with the CT manufacturer's requirements.</w:t>
            </w:r>
          </w:p>
        </w:tc>
        <w:tc>
          <w:tcPr>
            <w:tcW w:w="4110" w:type="dxa"/>
          </w:tcPr>
          <w:p w14:paraId="73AF0FF4" w14:textId="567D41F2"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07EB0305"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688CEE07" w14:textId="5DDF8A4A"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3FDB3F7E" w14:textId="7777D150"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lastRenderedPageBreak/>
              <w:t>3.7.</w:t>
            </w:r>
          </w:p>
        </w:tc>
        <w:tc>
          <w:tcPr>
            <w:tcW w:w="2264" w:type="dxa"/>
          </w:tcPr>
          <w:p w14:paraId="591F8D61" w14:textId="7D9D6D19"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Radiation Safety</w:t>
            </w:r>
          </w:p>
        </w:tc>
        <w:tc>
          <w:tcPr>
            <w:tcW w:w="3969" w:type="dxa"/>
          </w:tcPr>
          <w:p w14:paraId="439451F4" w14:textId="77777777"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building shall include radiation shielding suitable for the offered CT system and shall comply with applicable Ukrainian radiation safety requirements. Radiation protection design, expert assessment, measurements and documentation shall be included in the offered price.</w:t>
            </w:r>
          </w:p>
          <w:p w14:paraId="2A7F9C74" w14:textId="5A3D1473"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All radiation warning signs, indicators and safety devices required for lawful operation of the CT facility shall be included in the offered solution.</w:t>
            </w:r>
          </w:p>
        </w:tc>
        <w:tc>
          <w:tcPr>
            <w:tcW w:w="4110" w:type="dxa"/>
          </w:tcPr>
          <w:p w14:paraId="7CA1DC4A" w14:textId="1E57B74F"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63C930EB"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72026023" w14:textId="386680C3"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0475EF8C" w14:textId="5382F158"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3.8.</w:t>
            </w:r>
          </w:p>
        </w:tc>
        <w:tc>
          <w:tcPr>
            <w:tcW w:w="2264" w:type="dxa"/>
          </w:tcPr>
          <w:p w14:paraId="3B7371CA" w14:textId="106E769B" w:rsidR="00FC33AB" w:rsidRPr="00825B96" w:rsidRDefault="00FC33AB" w:rsidP="00DC4CB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HVAC / Climate Control</w:t>
            </w:r>
          </w:p>
        </w:tc>
        <w:tc>
          <w:tcPr>
            <w:tcW w:w="3969" w:type="dxa"/>
          </w:tcPr>
          <w:p w14:paraId="56E11CC0" w14:textId="5FA6AB1C" w:rsidR="00FC33AB" w:rsidRPr="00825B96"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HVAC (Heating, Ventilation, and Air Conditioning) system shall maintain environmental conditions required by the CT system manufacturer, including temperature, humidity and ventilation requirements during year-round operation. The modular building shall be protected against condensation and moisture accumulation which could affect safe operation of the CT equipment including technical room requirements where applicable.</w:t>
            </w:r>
          </w:p>
        </w:tc>
        <w:tc>
          <w:tcPr>
            <w:tcW w:w="4110" w:type="dxa"/>
          </w:tcPr>
          <w:p w14:paraId="1518C320" w14:textId="262015BC"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4F668710"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4081AAEA" w14:textId="2B5862EE"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4C7C208F" w14:textId="0DBD1F24"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lastRenderedPageBreak/>
              <w:t>3.9.</w:t>
            </w:r>
          </w:p>
        </w:tc>
        <w:tc>
          <w:tcPr>
            <w:tcW w:w="2264" w:type="dxa"/>
          </w:tcPr>
          <w:p w14:paraId="50F9FC9E" w14:textId="4D332E44"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Electrical wiring</w:t>
            </w:r>
          </w:p>
        </w:tc>
        <w:tc>
          <w:tcPr>
            <w:tcW w:w="3969" w:type="dxa"/>
          </w:tcPr>
          <w:p w14:paraId="1F0BE5B1" w14:textId="77777777"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supplier shall provide complete electrical installation for the modular building and CT system, including distribution boards, grounding, surge protection, lighting, sockets, CT power supply connection and all required cabling.</w:t>
            </w:r>
          </w:p>
          <w:p w14:paraId="635B4191" w14:textId="77777777"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building shall include adequate internal lighting suitable for healthcare operation and CT examinations.</w:t>
            </w:r>
          </w:p>
          <w:p w14:paraId="1BD2CF6B" w14:textId="77777777"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Electrical installation and building design shall comply with EMC requirements applicable to medical imaging equipment, ensuring protection from electromagnetic interference</w:t>
            </w:r>
          </w:p>
          <w:p w14:paraId="215D1E1B" w14:textId="1FCEC021"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Electrical installation shall be designed to accommodate the UPS and all auxiliary equipment included in the offered solution.</w:t>
            </w:r>
          </w:p>
        </w:tc>
        <w:tc>
          <w:tcPr>
            <w:tcW w:w="4110" w:type="dxa"/>
          </w:tcPr>
          <w:p w14:paraId="0C58AA15" w14:textId="37EEA470"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78D8106F"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38304F62" w14:textId="13FB7993"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4C26576B" w14:textId="0309786C"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3.10.</w:t>
            </w:r>
          </w:p>
        </w:tc>
        <w:tc>
          <w:tcPr>
            <w:tcW w:w="2264" w:type="dxa"/>
          </w:tcPr>
          <w:p w14:paraId="75F471A5" w14:textId="0093116B" w:rsidR="00FC33AB" w:rsidRPr="00825B96" w:rsidRDefault="00FC33AB" w:rsidP="00DC4CB8">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IT and Communications</w:t>
            </w:r>
          </w:p>
        </w:tc>
        <w:tc>
          <w:tcPr>
            <w:tcW w:w="3969" w:type="dxa"/>
          </w:tcPr>
          <w:p w14:paraId="7DFE357C" w14:textId="77777777" w:rsidR="00FC33AB" w:rsidRPr="00825B96" w:rsidRDefault="00FC33AB" w:rsidP="00260F3B">
            <w:pPr>
              <w:pStyle w:val="ListParagraph"/>
              <w:numPr>
                <w:ilvl w:val="0"/>
                <w:numId w:val="13"/>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modular building shall include all necessary IT and communication infrastructure required for operation of the CT system, including network connectivity, data transmission cabling, PACS/RIS integration capability and communication interfaces between the CT system and the hospital IT infrastructure.</w:t>
            </w:r>
          </w:p>
          <w:p w14:paraId="4900A580" w14:textId="77777777" w:rsidR="00FC33AB" w:rsidRPr="00825B96" w:rsidRDefault="00FC33AB" w:rsidP="00260F3B">
            <w:pPr>
              <w:pStyle w:val="ListParagraph"/>
              <w:numPr>
                <w:ilvl w:val="0"/>
                <w:numId w:val="13"/>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 xml:space="preserve">All required internal IT cabling, connection points and communication interfaces </w:t>
            </w:r>
            <w:r w:rsidRPr="00825B96">
              <w:rPr>
                <w:rFonts w:ascii="Calibri" w:hAnsi="Calibri" w:cs="Calibri"/>
                <w:b w:val="0"/>
                <w:lang w:val="en-US"/>
              </w:rPr>
              <w:lastRenderedPageBreak/>
              <w:t>necessary for full operation of the CT system and workstation shall be included.</w:t>
            </w:r>
          </w:p>
          <w:p w14:paraId="2B864BAE" w14:textId="77777777" w:rsidR="00FC33AB" w:rsidRPr="00825B96" w:rsidRDefault="00FC33AB" w:rsidP="00260F3B">
            <w:pPr>
              <w:pStyle w:val="ListParagraph"/>
              <w:numPr>
                <w:ilvl w:val="0"/>
                <w:numId w:val="13"/>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All active and passive network components required for connection of the CT system and workstation to the Beneficiary’s IT infrastructure shall be included in the offered solution.</w:t>
            </w:r>
          </w:p>
          <w:p w14:paraId="3DB8B59C" w14:textId="33999CDD" w:rsidR="00FC33AB" w:rsidRPr="00825B96" w:rsidRDefault="00FC33AB" w:rsidP="00260F3B">
            <w:pPr>
              <w:pStyle w:val="ListParagraph"/>
              <w:numPr>
                <w:ilvl w:val="0"/>
                <w:numId w:val="13"/>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All configuration, testing and commissioning activities required for integration of the CT system and workstation with the Beneficiary's IT infrastructure shall be included in the offered solution.</w:t>
            </w:r>
          </w:p>
        </w:tc>
        <w:tc>
          <w:tcPr>
            <w:tcW w:w="4110" w:type="dxa"/>
          </w:tcPr>
          <w:p w14:paraId="721C0673" w14:textId="5927400B"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3173AAA2"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5567D92" w14:textId="3D65E577"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4CB8FE3B" w14:textId="520524AC"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3.11.</w:t>
            </w:r>
          </w:p>
        </w:tc>
        <w:tc>
          <w:tcPr>
            <w:tcW w:w="2264" w:type="dxa"/>
          </w:tcPr>
          <w:p w14:paraId="6FFDEA88" w14:textId="6B4B6234" w:rsidR="00FC33AB" w:rsidRPr="00825B96" w:rsidRDefault="00FC33AB" w:rsidP="00DC4CB8">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Water supply and hygiene station</w:t>
            </w:r>
          </w:p>
        </w:tc>
        <w:tc>
          <w:tcPr>
            <w:tcW w:w="3969" w:type="dxa"/>
          </w:tcPr>
          <w:p w14:paraId="50574E4F" w14:textId="77777777" w:rsidR="00FC33AB" w:rsidRPr="00825B96" w:rsidRDefault="00FC33AB" w:rsidP="00260F3B">
            <w:pPr>
              <w:pStyle w:val="ListParagraph"/>
              <w:numPr>
                <w:ilvl w:val="0"/>
                <w:numId w:val="1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modular building shall include at least one hand-washing sink installed in the operator/control room or other designated staff area.</w:t>
            </w:r>
          </w:p>
          <w:p w14:paraId="40640843" w14:textId="77777777" w:rsidR="00FC33AB" w:rsidRPr="00825B96" w:rsidRDefault="00FC33AB" w:rsidP="00260F3B">
            <w:pPr>
              <w:pStyle w:val="ListParagraph"/>
              <w:numPr>
                <w:ilvl w:val="0"/>
                <w:numId w:val="1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sink shall be equipped with a non-touch or other healthcare-compliant hygienic faucet suitable for healthcare hygiene and infection control requirements.</w:t>
            </w:r>
          </w:p>
          <w:p w14:paraId="589DCAD4" w14:textId="77777777" w:rsidR="00FC33AB" w:rsidRPr="00825B96" w:rsidRDefault="00FC33AB" w:rsidP="00260F3B">
            <w:pPr>
              <w:pStyle w:val="ListParagraph"/>
              <w:numPr>
                <w:ilvl w:val="0"/>
                <w:numId w:val="1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The supplier shall provide all internal piping, hot and cold water supply infrastructure, local water heating equipment (if required), and internal wastewater drainage systems necessary for operation of the facility.</w:t>
            </w:r>
          </w:p>
          <w:p w14:paraId="7B1B6015" w14:textId="387B14B6" w:rsidR="00FC33AB" w:rsidRPr="00825B96" w:rsidRDefault="00FC33AB" w:rsidP="00260F3B">
            <w:pPr>
              <w:pStyle w:val="ListParagraph"/>
              <w:numPr>
                <w:ilvl w:val="0"/>
                <w:numId w:val="14"/>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b w:val="0"/>
                <w:lang w:val="en-US"/>
              </w:rPr>
            </w:pPr>
            <w:r w:rsidRPr="00825B96">
              <w:rPr>
                <w:rFonts w:ascii="Calibri" w:hAnsi="Calibri" w:cs="Calibri"/>
                <w:b w:val="0"/>
                <w:lang w:val="en-US"/>
              </w:rPr>
              <w:lastRenderedPageBreak/>
              <w:t>The supplier shall perform all works necessary to connect the modular building to the existing hospital water supply and wastewater systems, and such works shall be included in the offered price.</w:t>
            </w:r>
          </w:p>
        </w:tc>
        <w:tc>
          <w:tcPr>
            <w:tcW w:w="4110" w:type="dxa"/>
          </w:tcPr>
          <w:p w14:paraId="64420F6C" w14:textId="51D0BA4A"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0920CD31"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2891AF5B" w14:textId="4A6C84CD"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0144804D" w14:textId="4AB1A5B2"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3.12.</w:t>
            </w:r>
          </w:p>
        </w:tc>
        <w:tc>
          <w:tcPr>
            <w:tcW w:w="2264" w:type="dxa"/>
          </w:tcPr>
          <w:p w14:paraId="3BFAAA58" w14:textId="4AE75448" w:rsidR="00FC33AB" w:rsidRPr="00825B96" w:rsidRDefault="00FC33AB" w:rsidP="00DC4CB8">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Interior Finishing and Hygiene</w:t>
            </w:r>
          </w:p>
        </w:tc>
        <w:tc>
          <w:tcPr>
            <w:tcW w:w="3969" w:type="dxa"/>
          </w:tcPr>
          <w:p w14:paraId="7C3DA768" w14:textId="0214F4FE" w:rsidR="00FC33AB" w:rsidRPr="00825B96"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building shall include internal finishes suitable for healthcare use and compliant with applicable hygiene requirements.</w:t>
            </w:r>
          </w:p>
          <w:p w14:paraId="644C4255" w14:textId="77777777" w:rsidR="00FC33AB" w:rsidRPr="00825B96"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Internal finishes shall include not less than:</w:t>
            </w:r>
          </w:p>
          <w:p w14:paraId="0AA7F0A4" w14:textId="1D04EF3D" w:rsidR="00FC33AB" w:rsidRPr="00825B96" w:rsidRDefault="00FC33AB" w:rsidP="00260F3B">
            <w:pPr>
              <w:pStyle w:val="ListParagraph"/>
              <w:numPr>
                <w:ilvl w:val="0"/>
                <w:numId w:val="10"/>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healthcare-grade flooring suitable for medical environments;</w:t>
            </w:r>
          </w:p>
          <w:p w14:paraId="67C76E0F" w14:textId="6222194F" w:rsidR="00FC33AB" w:rsidRPr="00825B96" w:rsidRDefault="00FC33AB" w:rsidP="00260F3B">
            <w:pPr>
              <w:pStyle w:val="ListParagraph"/>
              <w:numPr>
                <w:ilvl w:val="0"/>
                <w:numId w:val="10"/>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washable wall and ceiling surfaces;</w:t>
            </w:r>
          </w:p>
          <w:p w14:paraId="68D63546" w14:textId="4BF239F4" w:rsidR="00FC33AB" w:rsidRPr="00825B96" w:rsidRDefault="00FC33AB" w:rsidP="00260F3B">
            <w:pPr>
              <w:pStyle w:val="ListParagraph"/>
              <w:numPr>
                <w:ilvl w:val="0"/>
                <w:numId w:val="10"/>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hygienic skirting boards;</w:t>
            </w:r>
          </w:p>
          <w:p w14:paraId="7CC6B9FC" w14:textId="4047ACCE" w:rsidR="00FC33AB" w:rsidRPr="00825B96" w:rsidRDefault="00FC33AB" w:rsidP="00260F3B">
            <w:pPr>
              <w:pStyle w:val="ListParagraph"/>
              <w:numPr>
                <w:ilvl w:val="0"/>
                <w:numId w:val="10"/>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materials resistant to routine cleaning and disinfection procedures;</w:t>
            </w:r>
          </w:p>
          <w:p w14:paraId="1A65B76E" w14:textId="38338FE9" w:rsidR="00FC33AB" w:rsidRPr="00825B96" w:rsidRDefault="00FC33AB" w:rsidP="00260F3B">
            <w:pPr>
              <w:pStyle w:val="ListParagraph"/>
              <w:numPr>
                <w:ilvl w:val="0"/>
                <w:numId w:val="10"/>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easy-to-clean interior surfaces and joints.</w:t>
            </w:r>
          </w:p>
        </w:tc>
        <w:tc>
          <w:tcPr>
            <w:tcW w:w="4110" w:type="dxa"/>
          </w:tcPr>
          <w:p w14:paraId="4B3AC483" w14:textId="4F878FFC"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402F888F"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7F151538" w14:textId="7A96B8DA" w:rsidTr="00CA666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856" w:type="dxa"/>
          </w:tcPr>
          <w:p w14:paraId="0D2A0223" w14:textId="3C04D48C"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3.13.</w:t>
            </w:r>
          </w:p>
        </w:tc>
        <w:tc>
          <w:tcPr>
            <w:tcW w:w="2264" w:type="dxa"/>
          </w:tcPr>
          <w:p w14:paraId="1FA0ADEB" w14:textId="1343411E"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Furniture and accessories</w:t>
            </w:r>
          </w:p>
        </w:tc>
        <w:tc>
          <w:tcPr>
            <w:tcW w:w="3969" w:type="dxa"/>
          </w:tcPr>
          <w:p w14:paraId="4F7AFACE" w14:textId="71A730F5"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building shall be equipped with furniture and accessories necessary for routine operation of the CT facility, including not less than:</w:t>
            </w:r>
          </w:p>
          <w:p w14:paraId="3BF47F83" w14:textId="1518631B"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operator workstation desk;</w:t>
            </w:r>
          </w:p>
          <w:p w14:paraId="2DCC93CA" w14:textId="0D28B8B0"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operator chair;</w:t>
            </w:r>
          </w:p>
          <w:p w14:paraId="455B38B1" w14:textId="54E39B63"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cable management and power outlets suitable for workstation operation;</w:t>
            </w:r>
          </w:p>
          <w:p w14:paraId="1C4E8600" w14:textId="349F46F4"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lastRenderedPageBreak/>
              <w:t>storage cabinets;</w:t>
            </w:r>
          </w:p>
          <w:p w14:paraId="0B776AC5" w14:textId="65F65045"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shelves;</w:t>
            </w:r>
          </w:p>
          <w:p w14:paraId="7F47C6F4" w14:textId="4127EA93"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patient belongings storage cabinet or locker;</w:t>
            </w:r>
          </w:p>
          <w:p w14:paraId="16B3681D" w14:textId="1EEC8659"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patient chair;</w:t>
            </w:r>
          </w:p>
          <w:p w14:paraId="7FA8721A" w14:textId="5D27CEF7" w:rsidR="00FC33AB" w:rsidRPr="00825B96" w:rsidRDefault="00FC33AB" w:rsidP="00260F3B">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storage space for contrast media and accessories;</w:t>
            </w:r>
          </w:p>
          <w:p w14:paraId="723CC27F" w14:textId="1C2592A9" w:rsidR="00FC33AB" w:rsidRPr="009E61BC" w:rsidRDefault="00FC33AB" w:rsidP="00CA6662">
            <w:pPr>
              <w:pStyle w:val="ListParagraph"/>
              <w:numPr>
                <w:ilvl w:val="0"/>
                <w:numId w:val="8"/>
              </w:num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lang w:val="en-US"/>
              </w:rPr>
            </w:pPr>
            <w:r w:rsidRPr="00825B96">
              <w:rPr>
                <w:rFonts w:ascii="Calibri" w:hAnsi="Calibri" w:cs="Calibri"/>
                <w:b w:val="0"/>
                <w:lang w:val="en-US"/>
              </w:rPr>
              <w:t>waste bins;</w:t>
            </w:r>
          </w:p>
        </w:tc>
        <w:tc>
          <w:tcPr>
            <w:tcW w:w="4110" w:type="dxa"/>
          </w:tcPr>
          <w:p w14:paraId="1FFE6FD6" w14:textId="1EAB8DFE"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033E7A69"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r w:rsidR="00FC33AB" w:rsidRPr="003C1CDE" w14:paraId="29B9C8AA" w14:textId="0EEAC153" w:rsidTr="00CA6662">
        <w:trPr>
          <w:trHeight w:val="1361"/>
        </w:trPr>
        <w:tc>
          <w:tcPr>
            <w:cnfStyle w:val="001000000000" w:firstRow="0" w:lastRow="0" w:firstColumn="1" w:lastColumn="0" w:oddVBand="0" w:evenVBand="0" w:oddHBand="0" w:evenHBand="0" w:firstRowFirstColumn="0" w:firstRowLastColumn="0" w:lastRowFirstColumn="0" w:lastRowLastColumn="0"/>
            <w:tcW w:w="856" w:type="dxa"/>
          </w:tcPr>
          <w:p w14:paraId="3D72DADE" w14:textId="56F34B50"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3.14.</w:t>
            </w:r>
          </w:p>
        </w:tc>
        <w:tc>
          <w:tcPr>
            <w:tcW w:w="2264" w:type="dxa"/>
          </w:tcPr>
          <w:p w14:paraId="7A434B8A" w14:textId="7A634214" w:rsidR="00FC33AB" w:rsidRPr="00825B96" w:rsidRDefault="00FC33AB" w:rsidP="00DC4CB8">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Fire safety requirements</w:t>
            </w:r>
          </w:p>
        </w:tc>
        <w:tc>
          <w:tcPr>
            <w:tcW w:w="3969" w:type="dxa"/>
          </w:tcPr>
          <w:p w14:paraId="2C2E2278" w14:textId="77777777" w:rsidR="00FC33AB" w:rsidRPr="00825B96"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modular building shall comply with applicable fire safety regulations and shall include not less than:</w:t>
            </w:r>
          </w:p>
          <w:p w14:paraId="216D7E9C" w14:textId="07FD5DDD"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fire detection system;</w:t>
            </w:r>
          </w:p>
          <w:p w14:paraId="009EE10C" w14:textId="1D38548F"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fire alarm system;</w:t>
            </w:r>
          </w:p>
          <w:p w14:paraId="6A2C3514" w14:textId="4E77090A"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portable fire extinguishers;</w:t>
            </w:r>
          </w:p>
          <w:p w14:paraId="3CFD2CCD" w14:textId="00F54824"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emergency exit and evacuation signage;</w:t>
            </w:r>
          </w:p>
          <w:p w14:paraId="57AC8AB7" w14:textId="7A5631A9"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emergency lighting;</w:t>
            </w:r>
          </w:p>
          <w:p w14:paraId="11526AF2" w14:textId="5444E597" w:rsidR="00FC33AB" w:rsidRPr="00825B96" w:rsidRDefault="00FC33AB" w:rsidP="00260F3B">
            <w:pPr>
              <w:pStyle w:val="ListParagraph"/>
              <w:numPr>
                <w:ilvl w:val="0"/>
                <w:numId w:val="9"/>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825B96">
              <w:rPr>
                <w:rFonts w:ascii="Calibri" w:hAnsi="Calibri" w:cs="Calibri"/>
                <w:b w:val="0"/>
                <w:lang w:val="en-US"/>
              </w:rPr>
              <w:t>construction and finishing materials compliant with applicable fire safety requirements.</w:t>
            </w:r>
          </w:p>
          <w:p w14:paraId="02B5E59F" w14:textId="495B796E" w:rsidR="00FC33AB" w:rsidRPr="00825B96"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All fire safety systems and materials shall be suitable for healthcare facilities and compliant with applicable national regulations.</w:t>
            </w:r>
          </w:p>
        </w:tc>
        <w:tc>
          <w:tcPr>
            <w:tcW w:w="4110" w:type="dxa"/>
          </w:tcPr>
          <w:p w14:paraId="1736BB3D" w14:textId="3672FBC7" w:rsidR="00FC33AB" w:rsidRPr="00BF585B"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t>The same requirement as in point 3.1</w:t>
            </w:r>
          </w:p>
        </w:tc>
        <w:tc>
          <w:tcPr>
            <w:tcW w:w="3544" w:type="dxa"/>
          </w:tcPr>
          <w:p w14:paraId="5F0742F4" w14:textId="77777777" w:rsidR="00FC33AB" w:rsidRPr="00723408" w:rsidRDefault="00FC33AB" w:rsidP="00DC4CB8">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FC33AB" w:rsidRPr="003C1CDE" w14:paraId="5745653D" w14:textId="34A06528" w:rsidTr="00CA6662">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856" w:type="dxa"/>
          </w:tcPr>
          <w:p w14:paraId="3438A1BD" w14:textId="099F9004" w:rsidR="00FC33AB" w:rsidRPr="00340AAA" w:rsidRDefault="00FC33AB" w:rsidP="00DC4CB8">
            <w:pPr>
              <w:spacing w:after="120" w:line="240" w:lineRule="auto"/>
              <w:ind w:left="164"/>
              <w:jc w:val="both"/>
              <w:rPr>
                <w:rFonts w:cs="Calibri"/>
                <w:b w:val="0"/>
                <w:bCs w:val="0"/>
                <w:color w:val="auto"/>
                <w:sz w:val="22"/>
                <w:szCs w:val="22"/>
              </w:rPr>
            </w:pPr>
            <w:r w:rsidRPr="00340AAA">
              <w:rPr>
                <w:rFonts w:cs="Calibri"/>
                <w:b w:val="0"/>
                <w:bCs w:val="0"/>
                <w:color w:val="auto"/>
                <w:sz w:val="22"/>
                <w:szCs w:val="22"/>
              </w:rPr>
              <w:t>3.15.</w:t>
            </w:r>
          </w:p>
        </w:tc>
        <w:tc>
          <w:tcPr>
            <w:tcW w:w="2264" w:type="dxa"/>
          </w:tcPr>
          <w:p w14:paraId="7BA195A4" w14:textId="5DC9464E" w:rsidR="00FC33AB" w:rsidRPr="00825B96" w:rsidRDefault="00FC33AB" w:rsidP="00DC4CB8">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Acceptance testing and handover</w:t>
            </w:r>
          </w:p>
        </w:tc>
        <w:tc>
          <w:tcPr>
            <w:tcW w:w="3969" w:type="dxa"/>
          </w:tcPr>
          <w:p w14:paraId="3F08F403" w14:textId="04CA7E5C"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The supplier shall perform all functional, safety, radiation protection and operational tests required for acceptance of the CT system and modular facility.</w:t>
            </w:r>
          </w:p>
          <w:p w14:paraId="6CD80F5D" w14:textId="77777777"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t>Acceptance protocols and test reports shall be provided to the Beneficiary.</w:t>
            </w:r>
          </w:p>
          <w:p w14:paraId="00F6A773" w14:textId="2FC77FEC" w:rsidR="00FC33AB" w:rsidRPr="00825B96"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825B96">
              <w:rPr>
                <w:rFonts w:cs="Calibri"/>
                <w:color w:val="auto"/>
                <w:sz w:val="22"/>
                <w:szCs w:val="22"/>
                <w:lang w:val="en-US"/>
              </w:rPr>
              <w:lastRenderedPageBreak/>
              <w:t>The CT system and modular building shall be handed over in a fully operational condition ready for clinical use.</w:t>
            </w:r>
          </w:p>
        </w:tc>
        <w:tc>
          <w:tcPr>
            <w:tcW w:w="4110" w:type="dxa"/>
          </w:tcPr>
          <w:p w14:paraId="1182856D" w14:textId="7431C51A" w:rsidR="00FC33AB" w:rsidRPr="00BF585B"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723408">
              <w:rPr>
                <w:rFonts w:cs="Calibri"/>
                <w:color w:val="auto"/>
                <w:sz w:val="22"/>
                <w:szCs w:val="22"/>
                <w:lang w:val="en-US"/>
              </w:rPr>
              <w:lastRenderedPageBreak/>
              <w:t>The same requirement as in point 3.1</w:t>
            </w:r>
          </w:p>
        </w:tc>
        <w:tc>
          <w:tcPr>
            <w:tcW w:w="3544" w:type="dxa"/>
          </w:tcPr>
          <w:p w14:paraId="08557332" w14:textId="77777777" w:rsidR="00FC33AB" w:rsidRPr="00723408" w:rsidRDefault="00FC33AB" w:rsidP="00DC4CB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
        </w:tc>
      </w:tr>
    </w:tbl>
    <w:p w14:paraId="3AD94120" w14:textId="77777777" w:rsidR="00846319" w:rsidRPr="003C1CDE" w:rsidRDefault="00846319" w:rsidP="00843E22">
      <w:pPr>
        <w:tabs>
          <w:tab w:val="left" w:pos="5535"/>
        </w:tabs>
        <w:spacing w:line="240" w:lineRule="auto"/>
        <w:jc w:val="both"/>
        <w:rPr>
          <w:rFonts w:cs="Calibri"/>
          <w:b/>
          <w:color w:val="auto"/>
          <w:sz w:val="22"/>
          <w:szCs w:val="22"/>
          <w:lang w:val="en-US"/>
        </w:rPr>
      </w:pPr>
      <w:r w:rsidRPr="003C1CDE">
        <w:rPr>
          <w:rFonts w:cs="Calibri"/>
          <w:b/>
          <w:color w:val="auto"/>
          <w:sz w:val="22"/>
          <w:szCs w:val="22"/>
          <w:lang w:val="en-US"/>
        </w:rPr>
        <w:t>NOTES:</w:t>
      </w:r>
    </w:p>
    <w:p w14:paraId="07877BBA" w14:textId="77777777" w:rsidR="00411D22" w:rsidRDefault="00411D22" w:rsidP="004340DD">
      <w:pPr>
        <w:tabs>
          <w:tab w:val="left" w:pos="5535"/>
        </w:tabs>
        <w:spacing w:line="240" w:lineRule="auto"/>
        <w:jc w:val="both"/>
        <w:rPr>
          <w:rFonts w:cs="Calibri"/>
          <w:bCs/>
          <w:color w:val="auto"/>
          <w:sz w:val="22"/>
          <w:szCs w:val="22"/>
          <w:lang w:val="en-US"/>
        </w:rPr>
      </w:pPr>
      <w:r w:rsidRPr="00411D22">
        <w:rPr>
          <w:rFonts w:cs="Calibri"/>
          <w:bCs/>
          <w:color w:val="auto"/>
          <w:sz w:val="22"/>
          <w:szCs w:val="22"/>
          <w:lang w:val="en-US"/>
        </w:rPr>
        <w:t>Where the Technical Specification refers to a specific model, source of supply, trademark, patent, type, origin, manufacture, or a particular process, such reference shall be understood to include the words “or equivalent”. Suppliers may offer equivalent solutions provided that they demonstrate, to the satisfaction of the Contracting Authority, that the proposed solution is equivalent to the requirements specified.</w:t>
      </w:r>
    </w:p>
    <w:p w14:paraId="460B7D48" w14:textId="65004095" w:rsidR="00A351D9" w:rsidRPr="003C1CDE" w:rsidRDefault="000C2CD9" w:rsidP="004340DD">
      <w:pPr>
        <w:tabs>
          <w:tab w:val="left" w:pos="5535"/>
        </w:tabs>
        <w:spacing w:line="240" w:lineRule="auto"/>
        <w:jc w:val="both"/>
        <w:rPr>
          <w:rFonts w:cs="Calibri"/>
          <w:bCs/>
          <w:color w:val="auto"/>
          <w:sz w:val="22"/>
          <w:szCs w:val="22"/>
          <w:lang w:val="en-US"/>
        </w:rPr>
      </w:pPr>
      <w:r w:rsidRPr="000C2CD9">
        <w:rPr>
          <w:rFonts w:cs="Calibri"/>
          <w:bCs/>
          <w:color w:val="auto"/>
          <w:sz w:val="22"/>
          <w:szCs w:val="22"/>
          <w:lang w:val="en-US"/>
        </w:rPr>
        <w:t xml:space="preserve">Where minimum technical values or parameters are specified, suppliers may offer </w:t>
      </w:r>
      <w:r w:rsidR="00AE24F5">
        <w:rPr>
          <w:rFonts w:cs="Calibri"/>
          <w:bCs/>
          <w:iCs/>
          <w:color w:val="auto"/>
          <w:sz w:val="22"/>
          <w:szCs w:val="22"/>
          <w:lang w:val="en-US"/>
        </w:rPr>
        <w:t>equipment</w:t>
      </w:r>
      <w:r w:rsidRPr="000C2CD9">
        <w:rPr>
          <w:rFonts w:cs="Calibri"/>
          <w:bCs/>
          <w:color w:val="auto"/>
          <w:sz w:val="22"/>
          <w:szCs w:val="22"/>
          <w:lang w:val="en-US"/>
        </w:rPr>
        <w:t xml:space="preserve">with equivalent or better characteristics, provided that such </w:t>
      </w:r>
      <w:r w:rsidR="00AE24F5">
        <w:rPr>
          <w:rFonts w:cs="Calibri"/>
          <w:bCs/>
          <w:iCs/>
          <w:color w:val="auto"/>
          <w:sz w:val="22"/>
          <w:szCs w:val="22"/>
          <w:lang w:val="en-US"/>
        </w:rPr>
        <w:t>equipment</w:t>
      </w:r>
      <w:r w:rsidRPr="000C2CD9">
        <w:rPr>
          <w:rFonts w:cs="Calibri"/>
          <w:bCs/>
          <w:color w:val="auto"/>
          <w:sz w:val="22"/>
          <w:szCs w:val="22"/>
          <w:lang w:val="en-US"/>
        </w:rPr>
        <w:t>fully meet the intended functional and performance requirements of the Technical Specification.</w:t>
      </w:r>
    </w:p>
    <w:sectPr w:rsidR="00A351D9" w:rsidRPr="003C1CDE" w:rsidSect="00201F51">
      <w:footerReference w:type="default" r:id="rId12"/>
      <w:headerReference w:type="first" r:id="rId13"/>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907E" w14:textId="77777777" w:rsidR="003836F4" w:rsidRDefault="003836F4">
      <w:pPr>
        <w:spacing w:after="0" w:line="240" w:lineRule="auto"/>
      </w:pPr>
      <w:r>
        <w:separator/>
      </w:r>
    </w:p>
  </w:endnote>
  <w:endnote w:type="continuationSeparator" w:id="0">
    <w:p w14:paraId="28D4280F" w14:textId="77777777" w:rsidR="003836F4" w:rsidRDefault="0038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5B4C456D"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B13040">
          <w:rPr>
            <w:rFonts w:ascii="Calibri" w:hAnsi="Calibri"/>
          </w:rPr>
          <w:t>4</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CE61" w14:textId="77777777" w:rsidR="003836F4" w:rsidRDefault="003836F4">
      <w:pPr>
        <w:spacing w:after="0" w:line="240" w:lineRule="auto"/>
      </w:pPr>
      <w:r>
        <w:separator/>
      </w:r>
    </w:p>
  </w:footnote>
  <w:footnote w:type="continuationSeparator" w:id="0">
    <w:p w14:paraId="46ADE127" w14:textId="77777777" w:rsidR="003836F4" w:rsidRDefault="0038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B66"/>
    <w:multiLevelType w:val="hybridMultilevel"/>
    <w:tmpl w:val="5840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54E04"/>
    <w:multiLevelType w:val="hybridMultilevel"/>
    <w:tmpl w:val="62E0BD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46CDD"/>
    <w:multiLevelType w:val="hybridMultilevel"/>
    <w:tmpl w:val="5978DAB0"/>
    <w:lvl w:ilvl="0" w:tplc="20E2D5D8">
      <w:start w:val="1"/>
      <w:numFmt w:val="bullet"/>
      <w:lvlText w:val=""/>
      <w:lvlJc w:val="left"/>
      <w:pPr>
        <w:ind w:left="1080" w:hanging="360"/>
      </w:pPr>
      <w:rPr>
        <w:rFonts w:ascii="Symbol" w:hAnsi="Symbol"/>
      </w:rPr>
    </w:lvl>
    <w:lvl w:ilvl="1" w:tplc="65CC9BEA">
      <w:start w:val="1"/>
      <w:numFmt w:val="bullet"/>
      <w:lvlText w:val=""/>
      <w:lvlJc w:val="left"/>
      <w:pPr>
        <w:ind w:left="1080" w:hanging="360"/>
      </w:pPr>
      <w:rPr>
        <w:rFonts w:ascii="Symbol" w:hAnsi="Symbol"/>
      </w:rPr>
    </w:lvl>
    <w:lvl w:ilvl="2" w:tplc="E5822BA2">
      <w:start w:val="1"/>
      <w:numFmt w:val="bullet"/>
      <w:lvlText w:val=""/>
      <w:lvlJc w:val="left"/>
      <w:pPr>
        <w:ind w:left="1080" w:hanging="360"/>
      </w:pPr>
      <w:rPr>
        <w:rFonts w:ascii="Symbol" w:hAnsi="Symbol"/>
      </w:rPr>
    </w:lvl>
    <w:lvl w:ilvl="3" w:tplc="32D8FE8E">
      <w:start w:val="1"/>
      <w:numFmt w:val="bullet"/>
      <w:lvlText w:val=""/>
      <w:lvlJc w:val="left"/>
      <w:pPr>
        <w:ind w:left="1080" w:hanging="360"/>
      </w:pPr>
      <w:rPr>
        <w:rFonts w:ascii="Symbol" w:hAnsi="Symbol"/>
      </w:rPr>
    </w:lvl>
    <w:lvl w:ilvl="4" w:tplc="24228268">
      <w:start w:val="1"/>
      <w:numFmt w:val="bullet"/>
      <w:lvlText w:val=""/>
      <w:lvlJc w:val="left"/>
      <w:pPr>
        <w:ind w:left="1080" w:hanging="360"/>
      </w:pPr>
      <w:rPr>
        <w:rFonts w:ascii="Symbol" w:hAnsi="Symbol"/>
      </w:rPr>
    </w:lvl>
    <w:lvl w:ilvl="5" w:tplc="7794FD8E">
      <w:start w:val="1"/>
      <w:numFmt w:val="bullet"/>
      <w:lvlText w:val=""/>
      <w:lvlJc w:val="left"/>
      <w:pPr>
        <w:ind w:left="1080" w:hanging="360"/>
      </w:pPr>
      <w:rPr>
        <w:rFonts w:ascii="Symbol" w:hAnsi="Symbol"/>
      </w:rPr>
    </w:lvl>
    <w:lvl w:ilvl="6" w:tplc="C29462C4">
      <w:start w:val="1"/>
      <w:numFmt w:val="bullet"/>
      <w:lvlText w:val=""/>
      <w:lvlJc w:val="left"/>
      <w:pPr>
        <w:ind w:left="1080" w:hanging="360"/>
      </w:pPr>
      <w:rPr>
        <w:rFonts w:ascii="Symbol" w:hAnsi="Symbol"/>
      </w:rPr>
    </w:lvl>
    <w:lvl w:ilvl="7" w:tplc="96329D0A">
      <w:start w:val="1"/>
      <w:numFmt w:val="bullet"/>
      <w:lvlText w:val=""/>
      <w:lvlJc w:val="left"/>
      <w:pPr>
        <w:ind w:left="1080" w:hanging="360"/>
      </w:pPr>
      <w:rPr>
        <w:rFonts w:ascii="Symbol" w:hAnsi="Symbol"/>
      </w:rPr>
    </w:lvl>
    <w:lvl w:ilvl="8" w:tplc="301622CE">
      <w:start w:val="1"/>
      <w:numFmt w:val="bullet"/>
      <w:lvlText w:val=""/>
      <w:lvlJc w:val="left"/>
      <w:pPr>
        <w:ind w:left="1080" w:hanging="360"/>
      </w:pPr>
      <w:rPr>
        <w:rFonts w:ascii="Symbol" w:hAnsi="Symbol"/>
      </w:rPr>
    </w:lvl>
  </w:abstractNum>
  <w:abstractNum w:abstractNumId="4" w15:restartNumberingAfterBreak="0">
    <w:nsid w:val="16A559F6"/>
    <w:multiLevelType w:val="hybridMultilevel"/>
    <w:tmpl w:val="20D87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D620CF"/>
    <w:multiLevelType w:val="hybridMultilevel"/>
    <w:tmpl w:val="BA3E92B8"/>
    <w:lvl w:ilvl="0" w:tplc="47EEC37E">
      <w:start w:val="1"/>
      <w:numFmt w:val="bullet"/>
      <w:lvlText w:val=""/>
      <w:lvlJc w:val="left"/>
      <w:pPr>
        <w:ind w:left="1080" w:hanging="360"/>
      </w:pPr>
      <w:rPr>
        <w:rFonts w:ascii="Symbol" w:hAnsi="Symbol"/>
      </w:rPr>
    </w:lvl>
    <w:lvl w:ilvl="1" w:tplc="59F0CD86">
      <w:start w:val="1"/>
      <w:numFmt w:val="bullet"/>
      <w:lvlText w:val=""/>
      <w:lvlJc w:val="left"/>
      <w:pPr>
        <w:ind w:left="1080" w:hanging="360"/>
      </w:pPr>
      <w:rPr>
        <w:rFonts w:ascii="Symbol" w:hAnsi="Symbol"/>
      </w:rPr>
    </w:lvl>
    <w:lvl w:ilvl="2" w:tplc="10ECA0A4">
      <w:start w:val="1"/>
      <w:numFmt w:val="bullet"/>
      <w:lvlText w:val=""/>
      <w:lvlJc w:val="left"/>
      <w:pPr>
        <w:ind w:left="1080" w:hanging="360"/>
      </w:pPr>
      <w:rPr>
        <w:rFonts w:ascii="Symbol" w:hAnsi="Symbol"/>
      </w:rPr>
    </w:lvl>
    <w:lvl w:ilvl="3" w:tplc="1AF23F18">
      <w:start w:val="1"/>
      <w:numFmt w:val="bullet"/>
      <w:lvlText w:val=""/>
      <w:lvlJc w:val="left"/>
      <w:pPr>
        <w:ind w:left="1080" w:hanging="360"/>
      </w:pPr>
      <w:rPr>
        <w:rFonts w:ascii="Symbol" w:hAnsi="Symbol"/>
      </w:rPr>
    </w:lvl>
    <w:lvl w:ilvl="4" w:tplc="1122C6FA">
      <w:start w:val="1"/>
      <w:numFmt w:val="bullet"/>
      <w:lvlText w:val=""/>
      <w:lvlJc w:val="left"/>
      <w:pPr>
        <w:ind w:left="1080" w:hanging="360"/>
      </w:pPr>
      <w:rPr>
        <w:rFonts w:ascii="Symbol" w:hAnsi="Symbol"/>
      </w:rPr>
    </w:lvl>
    <w:lvl w:ilvl="5" w:tplc="F2D479D6">
      <w:start w:val="1"/>
      <w:numFmt w:val="bullet"/>
      <w:lvlText w:val=""/>
      <w:lvlJc w:val="left"/>
      <w:pPr>
        <w:ind w:left="1080" w:hanging="360"/>
      </w:pPr>
      <w:rPr>
        <w:rFonts w:ascii="Symbol" w:hAnsi="Symbol"/>
      </w:rPr>
    </w:lvl>
    <w:lvl w:ilvl="6" w:tplc="62AA93EC">
      <w:start w:val="1"/>
      <w:numFmt w:val="bullet"/>
      <w:lvlText w:val=""/>
      <w:lvlJc w:val="left"/>
      <w:pPr>
        <w:ind w:left="1080" w:hanging="360"/>
      </w:pPr>
      <w:rPr>
        <w:rFonts w:ascii="Symbol" w:hAnsi="Symbol"/>
      </w:rPr>
    </w:lvl>
    <w:lvl w:ilvl="7" w:tplc="5352D1FA">
      <w:start w:val="1"/>
      <w:numFmt w:val="bullet"/>
      <w:lvlText w:val=""/>
      <w:lvlJc w:val="left"/>
      <w:pPr>
        <w:ind w:left="1080" w:hanging="360"/>
      </w:pPr>
      <w:rPr>
        <w:rFonts w:ascii="Symbol" w:hAnsi="Symbol"/>
      </w:rPr>
    </w:lvl>
    <w:lvl w:ilvl="8" w:tplc="0E948D00">
      <w:start w:val="1"/>
      <w:numFmt w:val="bullet"/>
      <w:lvlText w:val=""/>
      <w:lvlJc w:val="left"/>
      <w:pPr>
        <w:ind w:left="1080" w:hanging="360"/>
      </w:pPr>
      <w:rPr>
        <w:rFonts w:ascii="Symbol" w:hAnsi="Symbol"/>
      </w:rPr>
    </w:lvl>
  </w:abstractNum>
  <w:abstractNum w:abstractNumId="6" w15:restartNumberingAfterBreak="0">
    <w:nsid w:val="35996D3F"/>
    <w:multiLevelType w:val="hybridMultilevel"/>
    <w:tmpl w:val="EDF68B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E97502"/>
    <w:multiLevelType w:val="hybridMultilevel"/>
    <w:tmpl w:val="8DCC69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C1127B"/>
    <w:multiLevelType w:val="hybridMultilevel"/>
    <w:tmpl w:val="731090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826A13"/>
    <w:multiLevelType w:val="hybridMultilevel"/>
    <w:tmpl w:val="507C0F5E"/>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8B0572"/>
    <w:multiLevelType w:val="hybridMultilevel"/>
    <w:tmpl w:val="6518CA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6F3E82"/>
    <w:multiLevelType w:val="hybridMultilevel"/>
    <w:tmpl w:val="FCD400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F957D2"/>
    <w:multiLevelType w:val="hybridMultilevel"/>
    <w:tmpl w:val="B34C04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4B7FD9"/>
    <w:multiLevelType w:val="hybridMultilevel"/>
    <w:tmpl w:val="16F8772C"/>
    <w:lvl w:ilvl="0" w:tplc="6552599E">
      <w:start w:val="1"/>
      <w:numFmt w:val="decimal"/>
      <w:lvlText w:val="%1)"/>
      <w:lvlJc w:val="left"/>
      <w:pPr>
        <w:ind w:left="720" w:hanging="360"/>
      </w:pPr>
    </w:lvl>
    <w:lvl w:ilvl="1" w:tplc="962A30A0">
      <w:start w:val="1"/>
      <w:numFmt w:val="decimal"/>
      <w:lvlText w:val="%2)"/>
      <w:lvlJc w:val="left"/>
      <w:pPr>
        <w:ind w:left="720" w:hanging="360"/>
      </w:pPr>
    </w:lvl>
    <w:lvl w:ilvl="2" w:tplc="E6EED9A4">
      <w:start w:val="1"/>
      <w:numFmt w:val="decimal"/>
      <w:lvlText w:val="%3)"/>
      <w:lvlJc w:val="left"/>
      <w:pPr>
        <w:ind w:left="720" w:hanging="360"/>
      </w:pPr>
    </w:lvl>
    <w:lvl w:ilvl="3" w:tplc="F0DE1F8C">
      <w:start w:val="1"/>
      <w:numFmt w:val="decimal"/>
      <w:lvlText w:val="%4)"/>
      <w:lvlJc w:val="left"/>
      <w:pPr>
        <w:ind w:left="720" w:hanging="360"/>
      </w:pPr>
    </w:lvl>
    <w:lvl w:ilvl="4" w:tplc="884AF080">
      <w:start w:val="1"/>
      <w:numFmt w:val="decimal"/>
      <w:lvlText w:val="%5)"/>
      <w:lvlJc w:val="left"/>
      <w:pPr>
        <w:ind w:left="720" w:hanging="360"/>
      </w:pPr>
    </w:lvl>
    <w:lvl w:ilvl="5" w:tplc="E018ADF4">
      <w:start w:val="1"/>
      <w:numFmt w:val="decimal"/>
      <w:lvlText w:val="%6)"/>
      <w:lvlJc w:val="left"/>
      <w:pPr>
        <w:ind w:left="720" w:hanging="360"/>
      </w:pPr>
    </w:lvl>
    <w:lvl w:ilvl="6" w:tplc="E96A4A4E">
      <w:start w:val="1"/>
      <w:numFmt w:val="decimal"/>
      <w:lvlText w:val="%7)"/>
      <w:lvlJc w:val="left"/>
      <w:pPr>
        <w:ind w:left="720" w:hanging="360"/>
      </w:pPr>
    </w:lvl>
    <w:lvl w:ilvl="7" w:tplc="06BA87C2">
      <w:start w:val="1"/>
      <w:numFmt w:val="decimal"/>
      <w:lvlText w:val="%8)"/>
      <w:lvlJc w:val="left"/>
      <w:pPr>
        <w:ind w:left="720" w:hanging="360"/>
      </w:pPr>
    </w:lvl>
    <w:lvl w:ilvl="8" w:tplc="8ADA4BD0">
      <w:start w:val="1"/>
      <w:numFmt w:val="decimal"/>
      <w:lvlText w:val="%9)"/>
      <w:lvlJc w:val="left"/>
      <w:pPr>
        <w:ind w:left="720" w:hanging="360"/>
      </w:pPr>
    </w:lvl>
  </w:abstractNum>
  <w:abstractNum w:abstractNumId="14" w15:restartNumberingAfterBreak="0">
    <w:nsid w:val="65677C1F"/>
    <w:multiLevelType w:val="hybridMultilevel"/>
    <w:tmpl w:val="0584D3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30500"/>
    <w:multiLevelType w:val="hybridMultilevel"/>
    <w:tmpl w:val="15A8472A"/>
    <w:lvl w:ilvl="0" w:tplc="A69ACB4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A533B3"/>
    <w:multiLevelType w:val="hybridMultilevel"/>
    <w:tmpl w:val="1666A2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8954580">
    <w:abstractNumId w:val="15"/>
  </w:num>
  <w:num w:numId="2" w16cid:durableId="1794708570">
    <w:abstractNumId w:val="1"/>
  </w:num>
  <w:num w:numId="3" w16cid:durableId="293869322">
    <w:abstractNumId w:val="9"/>
  </w:num>
  <w:num w:numId="4" w16cid:durableId="710419811">
    <w:abstractNumId w:val="11"/>
  </w:num>
  <w:num w:numId="5" w16cid:durableId="1544168216">
    <w:abstractNumId w:val="17"/>
  </w:num>
  <w:num w:numId="6" w16cid:durableId="1131243166">
    <w:abstractNumId w:val="14"/>
  </w:num>
  <w:num w:numId="7" w16cid:durableId="1379283348">
    <w:abstractNumId w:val="0"/>
  </w:num>
  <w:num w:numId="8" w16cid:durableId="1689719229">
    <w:abstractNumId w:val="16"/>
  </w:num>
  <w:num w:numId="9" w16cid:durableId="1725986578">
    <w:abstractNumId w:val="2"/>
  </w:num>
  <w:num w:numId="10" w16cid:durableId="725566042">
    <w:abstractNumId w:val="7"/>
  </w:num>
  <w:num w:numId="11" w16cid:durableId="1038436902">
    <w:abstractNumId w:val="12"/>
  </w:num>
  <w:num w:numId="12" w16cid:durableId="1331132411">
    <w:abstractNumId w:val="8"/>
  </w:num>
  <w:num w:numId="13" w16cid:durableId="1778208662">
    <w:abstractNumId w:val="6"/>
  </w:num>
  <w:num w:numId="14" w16cid:durableId="1596665629">
    <w:abstractNumId w:val="10"/>
  </w:num>
  <w:num w:numId="15" w16cid:durableId="1215699943">
    <w:abstractNumId w:val="4"/>
  </w:num>
  <w:num w:numId="16" w16cid:durableId="1550259066">
    <w:abstractNumId w:val="13"/>
  </w:num>
  <w:num w:numId="17" w16cid:durableId="1492060961">
    <w:abstractNumId w:val="5"/>
  </w:num>
  <w:num w:numId="18" w16cid:durableId="120475080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5AE1"/>
    <w:rsid w:val="0001138A"/>
    <w:rsid w:val="00012300"/>
    <w:rsid w:val="0001314E"/>
    <w:rsid w:val="00021441"/>
    <w:rsid w:val="000269AA"/>
    <w:rsid w:val="00027670"/>
    <w:rsid w:val="0003143F"/>
    <w:rsid w:val="0003186C"/>
    <w:rsid w:val="00031DF0"/>
    <w:rsid w:val="00035362"/>
    <w:rsid w:val="000363A8"/>
    <w:rsid w:val="00036F2C"/>
    <w:rsid w:val="000371D6"/>
    <w:rsid w:val="000372B7"/>
    <w:rsid w:val="00040940"/>
    <w:rsid w:val="00040BAE"/>
    <w:rsid w:val="00041287"/>
    <w:rsid w:val="00041AFA"/>
    <w:rsid w:val="00045196"/>
    <w:rsid w:val="00046AE1"/>
    <w:rsid w:val="0004708C"/>
    <w:rsid w:val="000522C2"/>
    <w:rsid w:val="00053761"/>
    <w:rsid w:val="000674A5"/>
    <w:rsid w:val="0007244A"/>
    <w:rsid w:val="000735CA"/>
    <w:rsid w:val="0007385A"/>
    <w:rsid w:val="00074CB4"/>
    <w:rsid w:val="00075862"/>
    <w:rsid w:val="00075AAF"/>
    <w:rsid w:val="000770F2"/>
    <w:rsid w:val="00082B86"/>
    <w:rsid w:val="00085969"/>
    <w:rsid w:val="00086BCD"/>
    <w:rsid w:val="00090AF8"/>
    <w:rsid w:val="000918F4"/>
    <w:rsid w:val="00095EF1"/>
    <w:rsid w:val="000A50B5"/>
    <w:rsid w:val="000A5627"/>
    <w:rsid w:val="000A6B06"/>
    <w:rsid w:val="000A7846"/>
    <w:rsid w:val="000B18DB"/>
    <w:rsid w:val="000B5521"/>
    <w:rsid w:val="000B5FF2"/>
    <w:rsid w:val="000C0741"/>
    <w:rsid w:val="000C0FC3"/>
    <w:rsid w:val="000C1BEE"/>
    <w:rsid w:val="000C22ED"/>
    <w:rsid w:val="000C25CD"/>
    <w:rsid w:val="000C2880"/>
    <w:rsid w:val="000C2CD9"/>
    <w:rsid w:val="000C3974"/>
    <w:rsid w:val="000C5BA5"/>
    <w:rsid w:val="000C627F"/>
    <w:rsid w:val="000C6C21"/>
    <w:rsid w:val="000D029D"/>
    <w:rsid w:val="000D0447"/>
    <w:rsid w:val="000D26DF"/>
    <w:rsid w:val="000D4DCC"/>
    <w:rsid w:val="000D4F60"/>
    <w:rsid w:val="000D561F"/>
    <w:rsid w:val="000D78DD"/>
    <w:rsid w:val="000E12CE"/>
    <w:rsid w:val="000E39D8"/>
    <w:rsid w:val="000E4981"/>
    <w:rsid w:val="000E604C"/>
    <w:rsid w:val="000E775B"/>
    <w:rsid w:val="000F09F5"/>
    <w:rsid w:val="000F1D54"/>
    <w:rsid w:val="000F21DC"/>
    <w:rsid w:val="000F377F"/>
    <w:rsid w:val="000F3D54"/>
    <w:rsid w:val="000F607E"/>
    <w:rsid w:val="000F7AA0"/>
    <w:rsid w:val="00103013"/>
    <w:rsid w:val="00104AB8"/>
    <w:rsid w:val="00105427"/>
    <w:rsid w:val="0010688C"/>
    <w:rsid w:val="00110E52"/>
    <w:rsid w:val="001110C9"/>
    <w:rsid w:val="0011121C"/>
    <w:rsid w:val="00113646"/>
    <w:rsid w:val="0012029C"/>
    <w:rsid w:val="001207CA"/>
    <w:rsid w:val="00120FA7"/>
    <w:rsid w:val="0012242E"/>
    <w:rsid w:val="00123D43"/>
    <w:rsid w:val="0012446C"/>
    <w:rsid w:val="00125A00"/>
    <w:rsid w:val="00131A43"/>
    <w:rsid w:val="00131FBC"/>
    <w:rsid w:val="00136365"/>
    <w:rsid w:val="00137F01"/>
    <w:rsid w:val="00142F75"/>
    <w:rsid w:val="00143811"/>
    <w:rsid w:val="00144A52"/>
    <w:rsid w:val="001464CA"/>
    <w:rsid w:val="00146D4F"/>
    <w:rsid w:val="001511F0"/>
    <w:rsid w:val="001519F1"/>
    <w:rsid w:val="00152076"/>
    <w:rsid w:val="00152817"/>
    <w:rsid w:val="00156623"/>
    <w:rsid w:val="001600BD"/>
    <w:rsid w:val="00160299"/>
    <w:rsid w:val="001623FD"/>
    <w:rsid w:val="00163517"/>
    <w:rsid w:val="00163FA4"/>
    <w:rsid w:val="00166CB8"/>
    <w:rsid w:val="0017206E"/>
    <w:rsid w:val="00175B78"/>
    <w:rsid w:val="00180D77"/>
    <w:rsid w:val="001829AF"/>
    <w:rsid w:val="00182DD3"/>
    <w:rsid w:val="001837D1"/>
    <w:rsid w:val="00184409"/>
    <w:rsid w:val="00184643"/>
    <w:rsid w:val="00187CDB"/>
    <w:rsid w:val="00190354"/>
    <w:rsid w:val="00191DD3"/>
    <w:rsid w:val="001924EA"/>
    <w:rsid w:val="001A0C71"/>
    <w:rsid w:val="001A302E"/>
    <w:rsid w:val="001A6541"/>
    <w:rsid w:val="001A66C3"/>
    <w:rsid w:val="001B0D52"/>
    <w:rsid w:val="001B3370"/>
    <w:rsid w:val="001B421C"/>
    <w:rsid w:val="001B4D1D"/>
    <w:rsid w:val="001B65AD"/>
    <w:rsid w:val="001B7783"/>
    <w:rsid w:val="001C1033"/>
    <w:rsid w:val="001C4B51"/>
    <w:rsid w:val="001C6547"/>
    <w:rsid w:val="001C795D"/>
    <w:rsid w:val="001C7AB9"/>
    <w:rsid w:val="001D079D"/>
    <w:rsid w:val="001D2F60"/>
    <w:rsid w:val="001D5A21"/>
    <w:rsid w:val="001D75A5"/>
    <w:rsid w:val="001E3BC5"/>
    <w:rsid w:val="001E3F74"/>
    <w:rsid w:val="001E46D0"/>
    <w:rsid w:val="001E5113"/>
    <w:rsid w:val="001E52A6"/>
    <w:rsid w:val="001E7A09"/>
    <w:rsid w:val="001F3AEF"/>
    <w:rsid w:val="001F63CE"/>
    <w:rsid w:val="001F6C64"/>
    <w:rsid w:val="001F76C4"/>
    <w:rsid w:val="001F7FC2"/>
    <w:rsid w:val="002006BB"/>
    <w:rsid w:val="00201F51"/>
    <w:rsid w:val="00203316"/>
    <w:rsid w:val="002063B7"/>
    <w:rsid w:val="00207E71"/>
    <w:rsid w:val="0021009D"/>
    <w:rsid w:val="002102F2"/>
    <w:rsid w:val="00212839"/>
    <w:rsid w:val="00214443"/>
    <w:rsid w:val="002155DC"/>
    <w:rsid w:val="00220A1E"/>
    <w:rsid w:val="0022100F"/>
    <w:rsid w:val="0022163B"/>
    <w:rsid w:val="00224D4E"/>
    <w:rsid w:val="00225B94"/>
    <w:rsid w:val="00225C41"/>
    <w:rsid w:val="00225F9D"/>
    <w:rsid w:val="002279B5"/>
    <w:rsid w:val="002304F0"/>
    <w:rsid w:val="00233A55"/>
    <w:rsid w:val="00235EE6"/>
    <w:rsid w:val="00240D72"/>
    <w:rsid w:val="002447A8"/>
    <w:rsid w:val="00245D0E"/>
    <w:rsid w:val="0024740E"/>
    <w:rsid w:val="00250519"/>
    <w:rsid w:val="00253A13"/>
    <w:rsid w:val="0025547C"/>
    <w:rsid w:val="00256C25"/>
    <w:rsid w:val="00257E31"/>
    <w:rsid w:val="00260F3B"/>
    <w:rsid w:val="002629E1"/>
    <w:rsid w:val="00263EBD"/>
    <w:rsid w:val="00263FF5"/>
    <w:rsid w:val="00265D38"/>
    <w:rsid w:val="00274F64"/>
    <w:rsid w:val="002752D2"/>
    <w:rsid w:val="00276BC5"/>
    <w:rsid w:val="00276F42"/>
    <w:rsid w:val="002779A6"/>
    <w:rsid w:val="00281F13"/>
    <w:rsid w:val="0028230E"/>
    <w:rsid w:val="00292F65"/>
    <w:rsid w:val="00294A8B"/>
    <w:rsid w:val="00295B68"/>
    <w:rsid w:val="002977B6"/>
    <w:rsid w:val="002A174A"/>
    <w:rsid w:val="002A5960"/>
    <w:rsid w:val="002A66B4"/>
    <w:rsid w:val="002B2E35"/>
    <w:rsid w:val="002B2EF2"/>
    <w:rsid w:val="002B4DFE"/>
    <w:rsid w:val="002B5891"/>
    <w:rsid w:val="002B7EE7"/>
    <w:rsid w:val="002C1D50"/>
    <w:rsid w:val="002C444B"/>
    <w:rsid w:val="002C621A"/>
    <w:rsid w:val="002D3514"/>
    <w:rsid w:val="002D545A"/>
    <w:rsid w:val="002E2BB8"/>
    <w:rsid w:val="002E2E3D"/>
    <w:rsid w:val="002E39CA"/>
    <w:rsid w:val="002E48CF"/>
    <w:rsid w:val="002E55CC"/>
    <w:rsid w:val="002F3E5B"/>
    <w:rsid w:val="00303A3F"/>
    <w:rsid w:val="00311237"/>
    <w:rsid w:val="00311886"/>
    <w:rsid w:val="00311F89"/>
    <w:rsid w:val="00312874"/>
    <w:rsid w:val="00315D1E"/>
    <w:rsid w:val="00323779"/>
    <w:rsid w:val="003237BB"/>
    <w:rsid w:val="00326069"/>
    <w:rsid w:val="00326130"/>
    <w:rsid w:val="00327055"/>
    <w:rsid w:val="00327508"/>
    <w:rsid w:val="003304B2"/>
    <w:rsid w:val="003318FE"/>
    <w:rsid w:val="00331E79"/>
    <w:rsid w:val="00332F55"/>
    <w:rsid w:val="003339E6"/>
    <w:rsid w:val="003352C3"/>
    <w:rsid w:val="00335756"/>
    <w:rsid w:val="0033622D"/>
    <w:rsid w:val="00340987"/>
    <w:rsid w:val="00340AAA"/>
    <w:rsid w:val="003430E3"/>
    <w:rsid w:val="00345662"/>
    <w:rsid w:val="003470F6"/>
    <w:rsid w:val="003525EB"/>
    <w:rsid w:val="003527D1"/>
    <w:rsid w:val="00353125"/>
    <w:rsid w:val="003540C4"/>
    <w:rsid w:val="003547ED"/>
    <w:rsid w:val="00355AFD"/>
    <w:rsid w:val="003566EF"/>
    <w:rsid w:val="003573BA"/>
    <w:rsid w:val="003607B2"/>
    <w:rsid w:val="00360B81"/>
    <w:rsid w:val="0036202C"/>
    <w:rsid w:val="0036205F"/>
    <w:rsid w:val="00363B38"/>
    <w:rsid w:val="00365AA4"/>
    <w:rsid w:val="00367764"/>
    <w:rsid w:val="00367AF1"/>
    <w:rsid w:val="0037085D"/>
    <w:rsid w:val="003779AA"/>
    <w:rsid w:val="00377BC8"/>
    <w:rsid w:val="00380721"/>
    <w:rsid w:val="00381684"/>
    <w:rsid w:val="0038183C"/>
    <w:rsid w:val="00381D23"/>
    <w:rsid w:val="00383602"/>
    <w:rsid w:val="003836F4"/>
    <w:rsid w:val="00384F26"/>
    <w:rsid w:val="0038790B"/>
    <w:rsid w:val="00397290"/>
    <w:rsid w:val="003A0015"/>
    <w:rsid w:val="003A007D"/>
    <w:rsid w:val="003A2901"/>
    <w:rsid w:val="003A30F0"/>
    <w:rsid w:val="003A6654"/>
    <w:rsid w:val="003A6F90"/>
    <w:rsid w:val="003B1928"/>
    <w:rsid w:val="003B3671"/>
    <w:rsid w:val="003B4B23"/>
    <w:rsid w:val="003B66F1"/>
    <w:rsid w:val="003B6F66"/>
    <w:rsid w:val="003B7673"/>
    <w:rsid w:val="003C08E2"/>
    <w:rsid w:val="003C11A9"/>
    <w:rsid w:val="003C1A70"/>
    <w:rsid w:val="003C1CDE"/>
    <w:rsid w:val="003C23AB"/>
    <w:rsid w:val="003C2C10"/>
    <w:rsid w:val="003C4B45"/>
    <w:rsid w:val="003C544F"/>
    <w:rsid w:val="003C6F72"/>
    <w:rsid w:val="003D1517"/>
    <w:rsid w:val="003D176E"/>
    <w:rsid w:val="003D1B5C"/>
    <w:rsid w:val="003D1C93"/>
    <w:rsid w:val="003D4172"/>
    <w:rsid w:val="003D5BFB"/>
    <w:rsid w:val="003D7E34"/>
    <w:rsid w:val="003E138B"/>
    <w:rsid w:val="003E235D"/>
    <w:rsid w:val="003E5743"/>
    <w:rsid w:val="003E68E6"/>
    <w:rsid w:val="003F11AD"/>
    <w:rsid w:val="003F187C"/>
    <w:rsid w:val="003F2CAD"/>
    <w:rsid w:val="003F6073"/>
    <w:rsid w:val="003F7D8F"/>
    <w:rsid w:val="004036A8"/>
    <w:rsid w:val="004041D2"/>
    <w:rsid w:val="00406C71"/>
    <w:rsid w:val="004075AC"/>
    <w:rsid w:val="00407DBE"/>
    <w:rsid w:val="00411D22"/>
    <w:rsid w:val="0041398E"/>
    <w:rsid w:val="0041421E"/>
    <w:rsid w:val="0042165D"/>
    <w:rsid w:val="0042362F"/>
    <w:rsid w:val="00426EB5"/>
    <w:rsid w:val="004340DD"/>
    <w:rsid w:val="00435F6F"/>
    <w:rsid w:val="00440A43"/>
    <w:rsid w:val="00444380"/>
    <w:rsid w:val="00445EFB"/>
    <w:rsid w:val="004519D4"/>
    <w:rsid w:val="00452DE2"/>
    <w:rsid w:val="00453CFE"/>
    <w:rsid w:val="004542CA"/>
    <w:rsid w:val="0045491F"/>
    <w:rsid w:val="00457B93"/>
    <w:rsid w:val="00463B33"/>
    <w:rsid w:val="00465F2F"/>
    <w:rsid w:val="00466BE6"/>
    <w:rsid w:val="0046702B"/>
    <w:rsid w:val="004676B9"/>
    <w:rsid w:val="00470314"/>
    <w:rsid w:val="00473A14"/>
    <w:rsid w:val="00474588"/>
    <w:rsid w:val="004752FA"/>
    <w:rsid w:val="00476968"/>
    <w:rsid w:val="00484B05"/>
    <w:rsid w:val="00487304"/>
    <w:rsid w:val="004876FA"/>
    <w:rsid w:val="00491A56"/>
    <w:rsid w:val="00492EDB"/>
    <w:rsid w:val="004949C6"/>
    <w:rsid w:val="0049523B"/>
    <w:rsid w:val="00495355"/>
    <w:rsid w:val="00497A82"/>
    <w:rsid w:val="004A10F8"/>
    <w:rsid w:val="004A241E"/>
    <w:rsid w:val="004A252C"/>
    <w:rsid w:val="004A471A"/>
    <w:rsid w:val="004A4B94"/>
    <w:rsid w:val="004A5DC3"/>
    <w:rsid w:val="004A614D"/>
    <w:rsid w:val="004A6176"/>
    <w:rsid w:val="004A64FD"/>
    <w:rsid w:val="004B391A"/>
    <w:rsid w:val="004B7923"/>
    <w:rsid w:val="004C006F"/>
    <w:rsid w:val="004C02E3"/>
    <w:rsid w:val="004C2C6E"/>
    <w:rsid w:val="004C5B07"/>
    <w:rsid w:val="004C6071"/>
    <w:rsid w:val="004C67DD"/>
    <w:rsid w:val="004C685C"/>
    <w:rsid w:val="004C6F67"/>
    <w:rsid w:val="004D0621"/>
    <w:rsid w:val="004D072F"/>
    <w:rsid w:val="004D3E24"/>
    <w:rsid w:val="004D3EE3"/>
    <w:rsid w:val="004D49F9"/>
    <w:rsid w:val="004D4C1A"/>
    <w:rsid w:val="004D62D5"/>
    <w:rsid w:val="004D6469"/>
    <w:rsid w:val="004E0B00"/>
    <w:rsid w:val="004E0C26"/>
    <w:rsid w:val="004E14F5"/>
    <w:rsid w:val="004E2C11"/>
    <w:rsid w:val="004E5D61"/>
    <w:rsid w:val="004E6A22"/>
    <w:rsid w:val="004E6D06"/>
    <w:rsid w:val="004E74A9"/>
    <w:rsid w:val="004E7EC2"/>
    <w:rsid w:val="004F0272"/>
    <w:rsid w:val="004F1769"/>
    <w:rsid w:val="004F2E52"/>
    <w:rsid w:val="004F532C"/>
    <w:rsid w:val="004F5544"/>
    <w:rsid w:val="004F680F"/>
    <w:rsid w:val="005115C2"/>
    <w:rsid w:val="00512B95"/>
    <w:rsid w:val="00512DD8"/>
    <w:rsid w:val="005139A4"/>
    <w:rsid w:val="00514A72"/>
    <w:rsid w:val="00517DF1"/>
    <w:rsid w:val="0052065C"/>
    <w:rsid w:val="00523C8C"/>
    <w:rsid w:val="00527DAF"/>
    <w:rsid w:val="00532EF8"/>
    <w:rsid w:val="00534391"/>
    <w:rsid w:val="0053555A"/>
    <w:rsid w:val="00537BE2"/>
    <w:rsid w:val="00544E5E"/>
    <w:rsid w:val="00545110"/>
    <w:rsid w:val="00551681"/>
    <w:rsid w:val="00552AFC"/>
    <w:rsid w:val="00553949"/>
    <w:rsid w:val="005540CE"/>
    <w:rsid w:val="00554CC6"/>
    <w:rsid w:val="00555608"/>
    <w:rsid w:val="00561225"/>
    <w:rsid w:val="00562A51"/>
    <w:rsid w:val="00563514"/>
    <w:rsid w:val="0056450F"/>
    <w:rsid w:val="0056484F"/>
    <w:rsid w:val="005650F6"/>
    <w:rsid w:val="005672C3"/>
    <w:rsid w:val="005746EB"/>
    <w:rsid w:val="00575605"/>
    <w:rsid w:val="00575D42"/>
    <w:rsid w:val="005763E0"/>
    <w:rsid w:val="00577BCC"/>
    <w:rsid w:val="00581295"/>
    <w:rsid w:val="00585D7A"/>
    <w:rsid w:val="005875AB"/>
    <w:rsid w:val="0059100D"/>
    <w:rsid w:val="0059174B"/>
    <w:rsid w:val="005923D6"/>
    <w:rsid w:val="005969ED"/>
    <w:rsid w:val="00597131"/>
    <w:rsid w:val="005975EB"/>
    <w:rsid w:val="00597D2B"/>
    <w:rsid w:val="005A0F26"/>
    <w:rsid w:val="005A1779"/>
    <w:rsid w:val="005A2275"/>
    <w:rsid w:val="005A2432"/>
    <w:rsid w:val="005A4948"/>
    <w:rsid w:val="005A4CD4"/>
    <w:rsid w:val="005A52DE"/>
    <w:rsid w:val="005A5951"/>
    <w:rsid w:val="005B3D1B"/>
    <w:rsid w:val="005B4B47"/>
    <w:rsid w:val="005B5411"/>
    <w:rsid w:val="005C0132"/>
    <w:rsid w:val="005C1C38"/>
    <w:rsid w:val="005C218F"/>
    <w:rsid w:val="005C2B25"/>
    <w:rsid w:val="005C4175"/>
    <w:rsid w:val="005C4EEE"/>
    <w:rsid w:val="005C5706"/>
    <w:rsid w:val="005C6B9B"/>
    <w:rsid w:val="005C6F85"/>
    <w:rsid w:val="005C737F"/>
    <w:rsid w:val="005C75CC"/>
    <w:rsid w:val="005C7C84"/>
    <w:rsid w:val="005C7F72"/>
    <w:rsid w:val="005C7F98"/>
    <w:rsid w:val="005D0200"/>
    <w:rsid w:val="005D3B01"/>
    <w:rsid w:val="005D499A"/>
    <w:rsid w:val="005D4D1C"/>
    <w:rsid w:val="005D774A"/>
    <w:rsid w:val="005E05D0"/>
    <w:rsid w:val="005E0DBA"/>
    <w:rsid w:val="005E4359"/>
    <w:rsid w:val="005E6E5A"/>
    <w:rsid w:val="005F15DE"/>
    <w:rsid w:val="005F1880"/>
    <w:rsid w:val="005F4524"/>
    <w:rsid w:val="005F4BFB"/>
    <w:rsid w:val="005F6D0B"/>
    <w:rsid w:val="005F7D49"/>
    <w:rsid w:val="005F7F5B"/>
    <w:rsid w:val="00603836"/>
    <w:rsid w:val="00604AE7"/>
    <w:rsid w:val="006058A6"/>
    <w:rsid w:val="00610FCD"/>
    <w:rsid w:val="006123C7"/>
    <w:rsid w:val="00613D64"/>
    <w:rsid w:val="0061487C"/>
    <w:rsid w:val="006150D5"/>
    <w:rsid w:val="006151F4"/>
    <w:rsid w:val="006164CF"/>
    <w:rsid w:val="0062051E"/>
    <w:rsid w:val="006223C4"/>
    <w:rsid w:val="0062332D"/>
    <w:rsid w:val="006238AB"/>
    <w:rsid w:val="006241A4"/>
    <w:rsid w:val="0062467D"/>
    <w:rsid w:val="00625EF6"/>
    <w:rsid w:val="00627737"/>
    <w:rsid w:val="00630066"/>
    <w:rsid w:val="0063114D"/>
    <w:rsid w:val="00631397"/>
    <w:rsid w:val="00631F7D"/>
    <w:rsid w:val="006321E7"/>
    <w:rsid w:val="00632552"/>
    <w:rsid w:val="006327D3"/>
    <w:rsid w:val="00633B93"/>
    <w:rsid w:val="00642AD7"/>
    <w:rsid w:val="006502D0"/>
    <w:rsid w:val="006504E5"/>
    <w:rsid w:val="006515CF"/>
    <w:rsid w:val="006524FA"/>
    <w:rsid w:val="00652E77"/>
    <w:rsid w:val="006538EF"/>
    <w:rsid w:val="006568BA"/>
    <w:rsid w:val="006570D7"/>
    <w:rsid w:val="006571CA"/>
    <w:rsid w:val="006657C8"/>
    <w:rsid w:val="00665A13"/>
    <w:rsid w:val="00674864"/>
    <w:rsid w:val="0067520C"/>
    <w:rsid w:val="006758D3"/>
    <w:rsid w:val="00676B45"/>
    <w:rsid w:val="0068031C"/>
    <w:rsid w:val="00685CF6"/>
    <w:rsid w:val="00687015"/>
    <w:rsid w:val="00687F0C"/>
    <w:rsid w:val="006906F3"/>
    <w:rsid w:val="00690C38"/>
    <w:rsid w:val="00693F48"/>
    <w:rsid w:val="00694052"/>
    <w:rsid w:val="00695053"/>
    <w:rsid w:val="00696129"/>
    <w:rsid w:val="006A05FE"/>
    <w:rsid w:val="006A61F1"/>
    <w:rsid w:val="006A63DD"/>
    <w:rsid w:val="006B1FB9"/>
    <w:rsid w:val="006B4951"/>
    <w:rsid w:val="006C0B1C"/>
    <w:rsid w:val="006C5E2A"/>
    <w:rsid w:val="006D184A"/>
    <w:rsid w:val="006D1E0E"/>
    <w:rsid w:val="006D3647"/>
    <w:rsid w:val="006D5AEB"/>
    <w:rsid w:val="006D5FA9"/>
    <w:rsid w:val="006D6C45"/>
    <w:rsid w:val="006E4247"/>
    <w:rsid w:val="006E4808"/>
    <w:rsid w:val="006E768F"/>
    <w:rsid w:val="006F17CF"/>
    <w:rsid w:val="006F20FD"/>
    <w:rsid w:val="006F6CD9"/>
    <w:rsid w:val="00702649"/>
    <w:rsid w:val="007038B6"/>
    <w:rsid w:val="007077E2"/>
    <w:rsid w:val="007105C8"/>
    <w:rsid w:val="0071242E"/>
    <w:rsid w:val="00716D0B"/>
    <w:rsid w:val="00717B57"/>
    <w:rsid w:val="007207DC"/>
    <w:rsid w:val="0072240D"/>
    <w:rsid w:val="00724577"/>
    <w:rsid w:val="00724ECB"/>
    <w:rsid w:val="007253D3"/>
    <w:rsid w:val="00726DD4"/>
    <w:rsid w:val="0073032D"/>
    <w:rsid w:val="00731BA7"/>
    <w:rsid w:val="00733531"/>
    <w:rsid w:val="007377E8"/>
    <w:rsid w:val="00743DF3"/>
    <w:rsid w:val="0074468F"/>
    <w:rsid w:val="00745A62"/>
    <w:rsid w:val="0074612A"/>
    <w:rsid w:val="00747EF0"/>
    <w:rsid w:val="007524BD"/>
    <w:rsid w:val="00752B99"/>
    <w:rsid w:val="007539C3"/>
    <w:rsid w:val="007546D1"/>
    <w:rsid w:val="00755498"/>
    <w:rsid w:val="00760371"/>
    <w:rsid w:val="0076321A"/>
    <w:rsid w:val="00764BC7"/>
    <w:rsid w:val="00765A86"/>
    <w:rsid w:val="0077201D"/>
    <w:rsid w:val="00774C39"/>
    <w:rsid w:val="007752AB"/>
    <w:rsid w:val="00777598"/>
    <w:rsid w:val="0078451A"/>
    <w:rsid w:val="00791501"/>
    <w:rsid w:val="00795F94"/>
    <w:rsid w:val="007A0718"/>
    <w:rsid w:val="007A1E4D"/>
    <w:rsid w:val="007A388C"/>
    <w:rsid w:val="007A3B81"/>
    <w:rsid w:val="007A40BA"/>
    <w:rsid w:val="007A6A99"/>
    <w:rsid w:val="007A748D"/>
    <w:rsid w:val="007A7EB9"/>
    <w:rsid w:val="007B14A9"/>
    <w:rsid w:val="007B4DAB"/>
    <w:rsid w:val="007C01E9"/>
    <w:rsid w:val="007C1ACC"/>
    <w:rsid w:val="007C35AC"/>
    <w:rsid w:val="007D47FF"/>
    <w:rsid w:val="007D56EF"/>
    <w:rsid w:val="007D6746"/>
    <w:rsid w:val="007E02BE"/>
    <w:rsid w:val="007E042E"/>
    <w:rsid w:val="007E0EB3"/>
    <w:rsid w:val="007E2052"/>
    <w:rsid w:val="007E3F98"/>
    <w:rsid w:val="007E421F"/>
    <w:rsid w:val="007F0DB6"/>
    <w:rsid w:val="007F4017"/>
    <w:rsid w:val="007F5931"/>
    <w:rsid w:val="007F60C2"/>
    <w:rsid w:val="0080588A"/>
    <w:rsid w:val="00806819"/>
    <w:rsid w:val="008100ED"/>
    <w:rsid w:val="00810C8B"/>
    <w:rsid w:val="0081102C"/>
    <w:rsid w:val="008111E4"/>
    <w:rsid w:val="00811BEB"/>
    <w:rsid w:val="00815CE8"/>
    <w:rsid w:val="00815D13"/>
    <w:rsid w:val="00815D1B"/>
    <w:rsid w:val="00816AFF"/>
    <w:rsid w:val="00821735"/>
    <w:rsid w:val="00821BEF"/>
    <w:rsid w:val="00823CDF"/>
    <w:rsid w:val="008246D5"/>
    <w:rsid w:val="00825614"/>
    <w:rsid w:val="00825B96"/>
    <w:rsid w:val="00827A27"/>
    <w:rsid w:val="00833340"/>
    <w:rsid w:val="0083424C"/>
    <w:rsid w:val="00840703"/>
    <w:rsid w:val="00840B3A"/>
    <w:rsid w:val="0084270D"/>
    <w:rsid w:val="00843E22"/>
    <w:rsid w:val="00844C22"/>
    <w:rsid w:val="00846319"/>
    <w:rsid w:val="008503EE"/>
    <w:rsid w:val="008538D2"/>
    <w:rsid w:val="0085535B"/>
    <w:rsid w:val="0086199C"/>
    <w:rsid w:val="00861C06"/>
    <w:rsid w:val="008623FC"/>
    <w:rsid w:val="00864F3B"/>
    <w:rsid w:val="00864FCA"/>
    <w:rsid w:val="00866F19"/>
    <w:rsid w:val="00870552"/>
    <w:rsid w:val="00872A57"/>
    <w:rsid w:val="008732E1"/>
    <w:rsid w:val="00874799"/>
    <w:rsid w:val="008754CF"/>
    <w:rsid w:val="0087713E"/>
    <w:rsid w:val="00880708"/>
    <w:rsid w:val="00885A16"/>
    <w:rsid w:val="00885B7E"/>
    <w:rsid w:val="00891BAD"/>
    <w:rsid w:val="008923AA"/>
    <w:rsid w:val="0089487E"/>
    <w:rsid w:val="00894F3E"/>
    <w:rsid w:val="008A08E3"/>
    <w:rsid w:val="008A18CC"/>
    <w:rsid w:val="008A30A9"/>
    <w:rsid w:val="008A3E18"/>
    <w:rsid w:val="008A4514"/>
    <w:rsid w:val="008A5838"/>
    <w:rsid w:val="008A5E4F"/>
    <w:rsid w:val="008A7E72"/>
    <w:rsid w:val="008B14FC"/>
    <w:rsid w:val="008B5C18"/>
    <w:rsid w:val="008B6785"/>
    <w:rsid w:val="008C0F5F"/>
    <w:rsid w:val="008C11B9"/>
    <w:rsid w:val="008C170B"/>
    <w:rsid w:val="008C1975"/>
    <w:rsid w:val="008C2171"/>
    <w:rsid w:val="008C2E48"/>
    <w:rsid w:val="008C64D7"/>
    <w:rsid w:val="008C64F8"/>
    <w:rsid w:val="008C6B66"/>
    <w:rsid w:val="008C7D4D"/>
    <w:rsid w:val="008D3B5D"/>
    <w:rsid w:val="008D69FE"/>
    <w:rsid w:val="008E5668"/>
    <w:rsid w:val="008F0489"/>
    <w:rsid w:val="008F1C1B"/>
    <w:rsid w:val="008F24E7"/>
    <w:rsid w:val="008F2817"/>
    <w:rsid w:val="008F2A33"/>
    <w:rsid w:val="008F50FF"/>
    <w:rsid w:val="008F6D21"/>
    <w:rsid w:val="009006A7"/>
    <w:rsid w:val="00900FFC"/>
    <w:rsid w:val="00901343"/>
    <w:rsid w:val="00902ED9"/>
    <w:rsid w:val="00903A12"/>
    <w:rsid w:val="0090448F"/>
    <w:rsid w:val="00905498"/>
    <w:rsid w:val="009074EF"/>
    <w:rsid w:val="00911622"/>
    <w:rsid w:val="00912313"/>
    <w:rsid w:val="0091431F"/>
    <w:rsid w:val="009208A7"/>
    <w:rsid w:val="00920DC3"/>
    <w:rsid w:val="00924EE9"/>
    <w:rsid w:val="00925848"/>
    <w:rsid w:val="00927EE8"/>
    <w:rsid w:val="009334D8"/>
    <w:rsid w:val="009342AF"/>
    <w:rsid w:val="009349CA"/>
    <w:rsid w:val="00937A43"/>
    <w:rsid w:val="009408BD"/>
    <w:rsid w:val="00940F3D"/>
    <w:rsid w:val="00941490"/>
    <w:rsid w:val="0094200C"/>
    <w:rsid w:val="0094217E"/>
    <w:rsid w:val="00945025"/>
    <w:rsid w:val="00945BE1"/>
    <w:rsid w:val="00947E70"/>
    <w:rsid w:val="00952846"/>
    <w:rsid w:val="00952890"/>
    <w:rsid w:val="00953449"/>
    <w:rsid w:val="009550B9"/>
    <w:rsid w:val="00955361"/>
    <w:rsid w:val="0095677B"/>
    <w:rsid w:val="0096518A"/>
    <w:rsid w:val="00965DEF"/>
    <w:rsid w:val="00971941"/>
    <w:rsid w:val="009762C7"/>
    <w:rsid w:val="0097671A"/>
    <w:rsid w:val="00980C64"/>
    <w:rsid w:val="00980F35"/>
    <w:rsid w:val="00981956"/>
    <w:rsid w:val="0098392E"/>
    <w:rsid w:val="009841AD"/>
    <w:rsid w:val="00986E12"/>
    <w:rsid w:val="009874F4"/>
    <w:rsid w:val="00987BF1"/>
    <w:rsid w:val="00991DFE"/>
    <w:rsid w:val="0099562A"/>
    <w:rsid w:val="00996700"/>
    <w:rsid w:val="009A0F08"/>
    <w:rsid w:val="009A4152"/>
    <w:rsid w:val="009A4877"/>
    <w:rsid w:val="009A4F20"/>
    <w:rsid w:val="009A5DC6"/>
    <w:rsid w:val="009A7D09"/>
    <w:rsid w:val="009B0139"/>
    <w:rsid w:val="009B2F63"/>
    <w:rsid w:val="009B46F3"/>
    <w:rsid w:val="009B5856"/>
    <w:rsid w:val="009B6B43"/>
    <w:rsid w:val="009B6CAB"/>
    <w:rsid w:val="009C06B1"/>
    <w:rsid w:val="009C160A"/>
    <w:rsid w:val="009C17F6"/>
    <w:rsid w:val="009C3738"/>
    <w:rsid w:val="009C49AD"/>
    <w:rsid w:val="009C51DD"/>
    <w:rsid w:val="009C5E17"/>
    <w:rsid w:val="009C6BC1"/>
    <w:rsid w:val="009C7600"/>
    <w:rsid w:val="009D03D9"/>
    <w:rsid w:val="009D08EA"/>
    <w:rsid w:val="009D0DD7"/>
    <w:rsid w:val="009E0D2E"/>
    <w:rsid w:val="009E4546"/>
    <w:rsid w:val="009E4B65"/>
    <w:rsid w:val="009E61BC"/>
    <w:rsid w:val="009E7C81"/>
    <w:rsid w:val="009F4E89"/>
    <w:rsid w:val="009F5BEA"/>
    <w:rsid w:val="009F7998"/>
    <w:rsid w:val="009F7A0B"/>
    <w:rsid w:val="00A16865"/>
    <w:rsid w:val="00A169A0"/>
    <w:rsid w:val="00A24F48"/>
    <w:rsid w:val="00A260E2"/>
    <w:rsid w:val="00A306C5"/>
    <w:rsid w:val="00A3269F"/>
    <w:rsid w:val="00A33333"/>
    <w:rsid w:val="00A339B1"/>
    <w:rsid w:val="00A34902"/>
    <w:rsid w:val="00A351D9"/>
    <w:rsid w:val="00A377F2"/>
    <w:rsid w:val="00A41E63"/>
    <w:rsid w:val="00A43CBC"/>
    <w:rsid w:val="00A51357"/>
    <w:rsid w:val="00A53697"/>
    <w:rsid w:val="00A53A86"/>
    <w:rsid w:val="00A55858"/>
    <w:rsid w:val="00A60631"/>
    <w:rsid w:val="00A647C7"/>
    <w:rsid w:val="00A6555B"/>
    <w:rsid w:val="00A6595A"/>
    <w:rsid w:val="00A66725"/>
    <w:rsid w:val="00A67E79"/>
    <w:rsid w:val="00A70367"/>
    <w:rsid w:val="00A707A7"/>
    <w:rsid w:val="00A7589D"/>
    <w:rsid w:val="00A75F4F"/>
    <w:rsid w:val="00A75FB5"/>
    <w:rsid w:val="00A7719C"/>
    <w:rsid w:val="00A807A0"/>
    <w:rsid w:val="00A80C76"/>
    <w:rsid w:val="00A83821"/>
    <w:rsid w:val="00A83A4B"/>
    <w:rsid w:val="00A84B09"/>
    <w:rsid w:val="00A8635A"/>
    <w:rsid w:val="00A86CA4"/>
    <w:rsid w:val="00A871F2"/>
    <w:rsid w:val="00A905AD"/>
    <w:rsid w:val="00A90CFC"/>
    <w:rsid w:val="00A94E2C"/>
    <w:rsid w:val="00A9523C"/>
    <w:rsid w:val="00AA1E51"/>
    <w:rsid w:val="00AA2B74"/>
    <w:rsid w:val="00AA3688"/>
    <w:rsid w:val="00AA5D63"/>
    <w:rsid w:val="00AA7CB1"/>
    <w:rsid w:val="00AB11D8"/>
    <w:rsid w:val="00AB400D"/>
    <w:rsid w:val="00AB6AA0"/>
    <w:rsid w:val="00AB6D93"/>
    <w:rsid w:val="00AB7BFD"/>
    <w:rsid w:val="00AC158F"/>
    <w:rsid w:val="00AC2A03"/>
    <w:rsid w:val="00AC44A6"/>
    <w:rsid w:val="00AD0695"/>
    <w:rsid w:val="00AD1DEB"/>
    <w:rsid w:val="00AD1F4E"/>
    <w:rsid w:val="00AD6C17"/>
    <w:rsid w:val="00AE24BF"/>
    <w:rsid w:val="00AE24F5"/>
    <w:rsid w:val="00AE5EDE"/>
    <w:rsid w:val="00AE7043"/>
    <w:rsid w:val="00AE76C0"/>
    <w:rsid w:val="00AE7747"/>
    <w:rsid w:val="00AF0ED0"/>
    <w:rsid w:val="00AF1482"/>
    <w:rsid w:val="00AF593B"/>
    <w:rsid w:val="00B02C44"/>
    <w:rsid w:val="00B0394D"/>
    <w:rsid w:val="00B043C5"/>
    <w:rsid w:val="00B04ADE"/>
    <w:rsid w:val="00B0529F"/>
    <w:rsid w:val="00B10429"/>
    <w:rsid w:val="00B124FE"/>
    <w:rsid w:val="00B13040"/>
    <w:rsid w:val="00B13093"/>
    <w:rsid w:val="00B13903"/>
    <w:rsid w:val="00B147FE"/>
    <w:rsid w:val="00B14AF9"/>
    <w:rsid w:val="00B15919"/>
    <w:rsid w:val="00B15C26"/>
    <w:rsid w:val="00B165E5"/>
    <w:rsid w:val="00B213FF"/>
    <w:rsid w:val="00B23BBF"/>
    <w:rsid w:val="00B240EB"/>
    <w:rsid w:val="00B256C2"/>
    <w:rsid w:val="00B33587"/>
    <w:rsid w:val="00B3404C"/>
    <w:rsid w:val="00B34249"/>
    <w:rsid w:val="00B35E97"/>
    <w:rsid w:val="00B36F46"/>
    <w:rsid w:val="00B36F82"/>
    <w:rsid w:val="00B37BBB"/>
    <w:rsid w:val="00B4301E"/>
    <w:rsid w:val="00B434ED"/>
    <w:rsid w:val="00B44FB7"/>
    <w:rsid w:val="00B450F4"/>
    <w:rsid w:val="00B4701C"/>
    <w:rsid w:val="00B47CE0"/>
    <w:rsid w:val="00B528BB"/>
    <w:rsid w:val="00B54DE4"/>
    <w:rsid w:val="00B5699F"/>
    <w:rsid w:val="00B609CC"/>
    <w:rsid w:val="00B64A9F"/>
    <w:rsid w:val="00B64E8B"/>
    <w:rsid w:val="00B66337"/>
    <w:rsid w:val="00B66990"/>
    <w:rsid w:val="00B70813"/>
    <w:rsid w:val="00B71BFD"/>
    <w:rsid w:val="00B7310A"/>
    <w:rsid w:val="00B81D6E"/>
    <w:rsid w:val="00B823AC"/>
    <w:rsid w:val="00B82736"/>
    <w:rsid w:val="00B833E8"/>
    <w:rsid w:val="00B83DD2"/>
    <w:rsid w:val="00B84682"/>
    <w:rsid w:val="00B860D4"/>
    <w:rsid w:val="00B87F94"/>
    <w:rsid w:val="00B92C07"/>
    <w:rsid w:val="00B93202"/>
    <w:rsid w:val="00BA0699"/>
    <w:rsid w:val="00BA25D1"/>
    <w:rsid w:val="00BA4E80"/>
    <w:rsid w:val="00BA6146"/>
    <w:rsid w:val="00BA62E4"/>
    <w:rsid w:val="00BA7FF7"/>
    <w:rsid w:val="00BB1A63"/>
    <w:rsid w:val="00BB6688"/>
    <w:rsid w:val="00BB70D4"/>
    <w:rsid w:val="00BB7222"/>
    <w:rsid w:val="00BC060F"/>
    <w:rsid w:val="00BC0B96"/>
    <w:rsid w:val="00BC12F2"/>
    <w:rsid w:val="00BC1DE3"/>
    <w:rsid w:val="00BC43F9"/>
    <w:rsid w:val="00BC48A8"/>
    <w:rsid w:val="00BC7E43"/>
    <w:rsid w:val="00BD163A"/>
    <w:rsid w:val="00BD3779"/>
    <w:rsid w:val="00BD4A42"/>
    <w:rsid w:val="00BE0ACA"/>
    <w:rsid w:val="00BE3E44"/>
    <w:rsid w:val="00BE3E9F"/>
    <w:rsid w:val="00BE54F7"/>
    <w:rsid w:val="00BE7306"/>
    <w:rsid w:val="00BE7B75"/>
    <w:rsid w:val="00BE7DE6"/>
    <w:rsid w:val="00BF09CD"/>
    <w:rsid w:val="00BF585B"/>
    <w:rsid w:val="00BF5E0C"/>
    <w:rsid w:val="00BF79A6"/>
    <w:rsid w:val="00C0108F"/>
    <w:rsid w:val="00C01407"/>
    <w:rsid w:val="00C014E1"/>
    <w:rsid w:val="00C026B4"/>
    <w:rsid w:val="00C02FA4"/>
    <w:rsid w:val="00C04BD3"/>
    <w:rsid w:val="00C05683"/>
    <w:rsid w:val="00C07B3F"/>
    <w:rsid w:val="00C1161B"/>
    <w:rsid w:val="00C12525"/>
    <w:rsid w:val="00C131B6"/>
    <w:rsid w:val="00C20044"/>
    <w:rsid w:val="00C20E92"/>
    <w:rsid w:val="00C21032"/>
    <w:rsid w:val="00C23F84"/>
    <w:rsid w:val="00C244E8"/>
    <w:rsid w:val="00C26AB1"/>
    <w:rsid w:val="00C27AC4"/>
    <w:rsid w:val="00C27E7C"/>
    <w:rsid w:val="00C3017E"/>
    <w:rsid w:val="00C32C85"/>
    <w:rsid w:val="00C3545C"/>
    <w:rsid w:val="00C3585A"/>
    <w:rsid w:val="00C4022A"/>
    <w:rsid w:val="00C42FD2"/>
    <w:rsid w:val="00C4715D"/>
    <w:rsid w:val="00C4770A"/>
    <w:rsid w:val="00C53C74"/>
    <w:rsid w:val="00C53E8F"/>
    <w:rsid w:val="00C54217"/>
    <w:rsid w:val="00C57A73"/>
    <w:rsid w:val="00C62F5C"/>
    <w:rsid w:val="00C62F84"/>
    <w:rsid w:val="00C64858"/>
    <w:rsid w:val="00C65911"/>
    <w:rsid w:val="00C67AD0"/>
    <w:rsid w:val="00C70AC4"/>
    <w:rsid w:val="00C70F7F"/>
    <w:rsid w:val="00C76EC1"/>
    <w:rsid w:val="00C82A01"/>
    <w:rsid w:val="00C833CE"/>
    <w:rsid w:val="00C87722"/>
    <w:rsid w:val="00C87DBA"/>
    <w:rsid w:val="00C9270E"/>
    <w:rsid w:val="00C93C2F"/>
    <w:rsid w:val="00C94492"/>
    <w:rsid w:val="00C94CD6"/>
    <w:rsid w:val="00C973CF"/>
    <w:rsid w:val="00C978AA"/>
    <w:rsid w:val="00C97D87"/>
    <w:rsid w:val="00CA1259"/>
    <w:rsid w:val="00CA1B5E"/>
    <w:rsid w:val="00CA263A"/>
    <w:rsid w:val="00CA3D74"/>
    <w:rsid w:val="00CA4C32"/>
    <w:rsid w:val="00CA6662"/>
    <w:rsid w:val="00CA73EA"/>
    <w:rsid w:val="00CB2722"/>
    <w:rsid w:val="00CB71A3"/>
    <w:rsid w:val="00CB7A1C"/>
    <w:rsid w:val="00CC0A31"/>
    <w:rsid w:val="00CC14B5"/>
    <w:rsid w:val="00CC40D3"/>
    <w:rsid w:val="00CC4A8C"/>
    <w:rsid w:val="00CD1184"/>
    <w:rsid w:val="00CD13F3"/>
    <w:rsid w:val="00CD2EED"/>
    <w:rsid w:val="00CD3322"/>
    <w:rsid w:val="00CD616E"/>
    <w:rsid w:val="00CD6C33"/>
    <w:rsid w:val="00CD6DA8"/>
    <w:rsid w:val="00CD7521"/>
    <w:rsid w:val="00CE05D4"/>
    <w:rsid w:val="00CE1AEF"/>
    <w:rsid w:val="00CE58A3"/>
    <w:rsid w:val="00CE5BC4"/>
    <w:rsid w:val="00CE6D86"/>
    <w:rsid w:val="00CE76DC"/>
    <w:rsid w:val="00CF103E"/>
    <w:rsid w:val="00CF30E3"/>
    <w:rsid w:val="00CF32C5"/>
    <w:rsid w:val="00CF5538"/>
    <w:rsid w:val="00CF7015"/>
    <w:rsid w:val="00CF7463"/>
    <w:rsid w:val="00CF7AB9"/>
    <w:rsid w:val="00D00F3A"/>
    <w:rsid w:val="00D01E5A"/>
    <w:rsid w:val="00D10725"/>
    <w:rsid w:val="00D1200A"/>
    <w:rsid w:val="00D141B8"/>
    <w:rsid w:val="00D14453"/>
    <w:rsid w:val="00D16862"/>
    <w:rsid w:val="00D17315"/>
    <w:rsid w:val="00D1772C"/>
    <w:rsid w:val="00D20510"/>
    <w:rsid w:val="00D22952"/>
    <w:rsid w:val="00D2433E"/>
    <w:rsid w:val="00D24C8A"/>
    <w:rsid w:val="00D27573"/>
    <w:rsid w:val="00D352A4"/>
    <w:rsid w:val="00D41496"/>
    <w:rsid w:val="00D457ED"/>
    <w:rsid w:val="00D45AC1"/>
    <w:rsid w:val="00D4649A"/>
    <w:rsid w:val="00D47661"/>
    <w:rsid w:val="00D536CE"/>
    <w:rsid w:val="00D55656"/>
    <w:rsid w:val="00D55821"/>
    <w:rsid w:val="00D55C7F"/>
    <w:rsid w:val="00D56D67"/>
    <w:rsid w:val="00D614D3"/>
    <w:rsid w:val="00D62D5A"/>
    <w:rsid w:val="00D736E7"/>
    <w:rsid w:val="00D7604E"/>
    <w:rsid w:val="00D801F4"/>
    <w:rsid w:val="00D80ABF"/>
    <w:rsid w:val="00D8197B"/>
    <w:rsid w:val="00D82CC9"/>
    <w:rsid w:val="00D83762"/>
    <w:rsid w:val="00D862F5"/>
    <w:rsid w:val="00D87381"/>
    <w:rsid w:val="00D905E6"/>
    <w:rsid w:val="00D93960"/>
    <w:rsid w:val="00D96EDC"/>
    <w:rsid w:val="00DA0854"/>
    <w:rsid w:val="00DA1259"/>
    <w:rsid w:val="00DA3319"/>
    <w:rsid w:val="00DA3A11"/>
    <w:rsid w:val="00DA78FB"/>
    <w:rsid w:val="00DA7D0D"/>
    <w:rsid w:val="00DB0DC1"/>
    <w:rsid w:val="00DB1C0F"/>
    <w:rsid w:val="00DB2166"/>
    <w:rsid w:val="00DB2993"/>
    <w:rsid w:val="00DB29A5"/>
    <w:rsid w:val="00DB477E"/>
    <w:rsid w:val="00DB4A67"/>
    <w:rsid w:val="00DB639C"/>
    <w:rsid w:val="00DC300E"/>
    <w:rsid w:val="00DC4CB8"/>
    <w:rsid w:val="00DC789B"/>
    <w:rsid w:val="00DD156F"/>
    <w:rsid w:val="00DD7AC7"/>
    <w:rsid w:val="00DD7C11"/>
    <w:rsid w:val="00DE38E5"/>
    <w:rsid w:val="00DE4F93"/>
    <w:rsid w:val="00DE7B86"/>
    <w:rsid w:val="00DF1815"/>
    <w:rsid w:val="00DF5568"/>
    <w:rsid w:val="00E0000D"/>
    <w:rsid w:val="00E01E64"/>
    <w:rsid w:val="00E03A4E"/>
    <w:rsid w:val="00E03E40"/>
    <w:rsid w:val="00E04A0E"/>
    <w:rsid w:val="00E1246D"/>
    <w:rsid w:val="00E13154"/>
    <w:rsid w:val="00E14BC7"/>
    <w:rsid w:val="00E14D11"/>
    <w:rsid w:val="00E14DA4"/>
    <w:rsid w:val="00E20846"/>
    <w:rsid w:val="00E24780"/>
    <w:rsid w:val="00E253D2"/>
    <w:rsid w:val="00E25C3A"/>
    <w:rsid w:val="00E26850"/>
    <w:rsid w:val="00E27B1C"/>
    <w:rsid w:val="00E32CB6"/>
    <w:rsid w:val="00E32E7E"/>
    <w:rsid w:val="00E3316B"/>
    <w:rsid w:val="00E36D54"/>
    <w:rsid w:val="00E44CDB"/>
    <w:rsid w:val="00E466C4"/>
    <w:rsid w:val="00E55832"/>
    <w:rsid w:val="00E55CA9"/>
    <w:rsid w:val="00E63FD2"/>
    <w:rsid w:val="00E64504"/>
    <w:rsid w:val="00E66D62"/>
    <w:rsid w:val="00E70289"/>
    <w:rsid w:val="00E724C6"/>
    <w:rsid w:val="00E74596"/>
    <w:rsid w:val="00E7731A"/>
    <w:rsid w:val="00E82E6E"/>
    <w:rsid w:val="00E8314E"/>
    <w:rsid w:val="00E83157"/>
    <w:rsid w:val="00E836B6"/>
    <w:rsid w:val="00E84A9F"/>
    <w:rsid w:val="00E86EDC"/>
    <w:rsid w:val="00E904C7"/>
    <w:rsid w:val="00E913F6"/>
    <w:rsid w:val="00E92DEB"/>
    <w:rsid w:val="00E96938"/>
    <w:rsid w:val="00E96C44"/>
    <w:rsid w:val="00E979AE"/>
    <w:rsid w:val="00EA00FA"/>
    <w:rsid w:val="00EA0B6B"/>
    <w:rsid w:val="00EA37CD"/>
    <w:rsid w:val="00EA4D23"/>
    <w:rsid w:val="00EA5E03"/>
    <w:rsid w:val="00EB1707"/>
    <w:rsid w:val="00EB1C3D"/>
    <w:rsid w:val="00EB1F7A"/>
    <w:rsid w:val="00EB4F4E"/>
    <w:rsid w:val="00EB603E"/>
    <w:rsid w:val="00EB7A1B"/>
    <w:rsid w:val="00EC1F32"/>
    <w:rsid w:val="00EC2405"/>
    <w:rsid w:val="00EC27E9"/>
    <w:rsid w:val="00EC29F9"/>
    <w:rsid w:val="00EC3E4B"/>
    <w:rsid w:val="00ED44CD"/>
    <w:rsid w:val="00ED4A16"/>
    <w:rsid w:val="00ED4D65"/>
    <w:rsid w:val="00ED6847"/>
    <w:rsid w:val="00EE1085"/>
    <w:rsid w:val="00EE10FB"/>
    <w:rsid w:val="00EE4673"/>
    <w:rsid w:val="00EE467B"/>
    <w:rsid w:val="00EE7044"/>
    <w:rsid w:val="00EE71D1"/>
    <w:rsid w:val="00EE77FD"/>
    <w:rsid w:val="00EE7DB3"/>
    <w:rsid w:val="00EF3704"/>
    <w:rsid w:val="00EF3720"/>
    <w:rsid w:val="00EF3837"/>
    <w:rsid w:val="00EF5BDC"/>
    <w:rsid w:val="00EF7B82"/>
    <w:rsid w:val="00F01419"/>
    <w:rsid w:val="00F06338"/>
    <w:rsid w:val="00F07B64"/>
    <w:rsid w:val="00F10E34"/>
    <w:rsid w:val="00F125C8"/>
    <w:rsid w:val="00F13952"/>
    <w:rsid w:val="00F14D21"/>
    <w:rsid w:val="00F1506A"/>
    <w:rsid w:val="00F15C2C"/>
    <w:rsid w:val="00F17735"/>
    <w:rsid w:val="00F217B2"/>
    <w:rsid w:val="00F22641"/>
    <w:rsid w:val="00F22FC2"/>
    <w:rsid w:val="00F24A26"/>
    <w:rsid w:val="00F252A8"/>
    <w:rsid w:val="00F2604E"/>
    <w:rsid w:val="00F26DB4"/>
    <w:rsid w:val="00F27047"/>
    <w:rsid w:val="00F3016E"/>
    <w:rsid w:val="00F307D7"/>
    <w:rsid w:val="00F31E43"/>
    <w:rsid w:val="00F36686"/>
    <w:rsid w:val="00F373F8"/>
    <w:rsid w:val="00F41194"/>
    <w:rsid w:val="00F42CEB"/>
    <w:rsid w:val="00F430AD"/>
    <w:rsid w:val="00F453DF"/>
    <w:rsid w:val="00F453FD"/>
    <w:rsid w:val="00F4622C"/>
    <w:rsid w:val="00F502E2"/>
    <w:rsid w:val="00F50C96"/>
    <w:rsid w:val="00F53620"/>
    <w:rsid w:val="00F54851"/>
    <w:rsid w:val="00F55E4A"/>
    <w:rsid w:val="00F6213C"/>
    <w:rsid w:val="00F64B1A"/>
    <w:rsid w:val="00F72011"/>
    <w:rsid w:val="00F72A8D"/>
    <w:rsid w:val="00F73285"/>
    <w:rsid w:val="00F73F96"/>
    <w:rsid w:val="00F740D2"/>
    <w:rsid w:val="00F75F57"/>
    <w:rsid w:val="00F7664D"/>
    <w:rsid w:val="00F801FB"/>
    <w:rsid w:val="00F802C5"/>
    <w:rsid w:val="00F802CF"/>
    <w:rsid w:val="00F8152D"/>
    <w:rsid w:val="00F816D3"/>
    <w:rsid w:val="00F84E0B"/>
    <w:rsid w:val="00F84F99"/>
    <w:rsid w:val="00F85272"/>
    <w:rsid w:val="00F86052"/>
    <w:rsid w:val="00F87350"/>
    <w:rsid w:val="00F90374"/>
    <w:rsid w:val="00F9098A"/>
    <w:rsid w:val="00F90FF5"/>
    <w:rsid w:val="00F9149D"/>
    <w:rsid w:val="00F914E4"/>
    <w:rsid w:val="00F91F41"/>
    <w:rsid w:val="00F95A09"/>
    <w:rsid w:val="00FA18ED"/>
    <w:rsid w:val="00FA263F"/>
    <w:rsid w:val="00FA3A02"/>
    <w:rsid w:val="00FA6743"/>
    <w:rsid w:val="00FA6B98"/>
    <w:rsid w:val="00FB0C25"/>
    <w:rsid w:val="00FB14EE"/>
    <w:rsid w:val="00FB22D0"/>
    <w:rsid w:val="00FB26F4"/>
    <w:rsid w:val="00FB2A70"/>
    <w:rsid w:val="00FB2F4A"/>
    <w:rsid w:val="00FB3118"/>
    <w:rsid w:val="00FB46FE"/>
    <w:rsid w:val="00FB5FC5"/>
    <w:rsid w:val="00FB67D6"/>
    <w:rsid w:val="00FC0619"/>
    <w:rsid w:val="00FC33AB"/>
    <w:rsid w:val="00FC4518"/>
    <w:rsid w:val="00FC5BAE"/>
    <w:rsid w:val="00FC6AB6"/>
    <w:rsid w:val="00FD3C60"/>
    <w:rsid w:val="00FD43EE"/>
    <w:rsid w:val="00FD62F7"/>
    <w:rsid w:val="00FD6F42"/>
    <w:rsid w:val="00FE6E00"/>
    <w:rsid w:val="00FF065A"/>
    <w:rsid w:val="00FF0D83"/>
    <w:rsid w:val="00FF394E"/>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A2B74"/>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 w:type="character" w:styleId="Strong">
    <w:name w:val="Strong"/>
    <w:basedOn w:val="DefaultParagraphFont"/>
    <w:uiPriority w:val="22"/>
    <w:qFormat/>
    <w:rsid w:val="00046AE1"/>
    <w:rPr>
      <w:b/>
      <w:bCs/>
    </w:rPr>
  </w:style>
  <w:style w:type="paragraph" w:styleId="HTMLPreformatted">
    <w:name w:val="HTML Preformatted"/>
    <w:basedOn w:val="Normal"/>
    <w:link w:val="HTMLPreformattedChar"/>
    <w:uiPriority w:val="99"/>
    <w:semiHidden/>
    <w:unhideWhenUsed/>
    <w:rsid w:val="00864FCA"/>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64FCA"/>
    <w:rPr>
      <w:rFonts w:ascii="Consolas" w:hAnsi="Consolas"/>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34591">
      <w:bodyDiv w:val="1"/>
      <w:marLeft w:val="0"/>
      <w:marRight w:val="0"/>
      <w:marTop w:val="0"/>
      <w:marBottom w:val="0"/>
      <w:divBdr>
        <w:top w:val="none" w:sz="0" w:space="0" w:color="auto"/>
        <w:left w:val="none" w:sz="0" w:space="0" w:color="auto"/>
        <w:bottom w:val="none" w:sz="0" w:space="0" w:color="auto"/>
        <w:right w:val="none" w:sz="0" w:space="0" w:color="auto"/>
      </w:divBdr>
    </w:div>
    <w:div w:id="412624238">
      <w:bodyDiv w:val="1"/>
      <w:marLeft w:val="0"/>
      <w:marRight w:val="0"/>
      <w:marTop w:val="0"/>
      <w:marBottom w:val="0"/>
      <w:divBdr>
        <w:top w:val="none" w:sz="0" w:space="0" w:color="auto"/>
        <w:left w:val="none" w:sz="0" w:space="0" w:color="auto"/>
        <w:bottom w:val="none" w:sz="0" w:space="0" w:color="auto"/>
        <w:right w:val="none" w:sz="0" w:space="0" w:color="auto"/>
      </w:divBdr>
    </w:div>
    <w:div w:id="488206445">
      <w:bodyDiv w:val="1"/>
      <w:marLeft w:val="0"/>
      <w:marRight w:val="0"/>
      <w:marTop w:val="0"/>
      <w:marBottom w:val="0"/>
      <w:divBdr>
        <w:top w:val="none" w:sz="0" w:space="0" w:color="auto"/>
        <w:left w:val="none" w:sz="0" w:space="0" w:color="auto"/>
        <w:bottom w:val="none" w:sz="0" w:space="0" w:color="auto"/>
        <w:right w:val="none" w:sz="0" w:space="0" w:color="auto"/>
      </w:divBdr>
    </w:div>
    <w:div w:id="713507929">
      <w:bodyDiv w:val="1"/>
      <w:marLeft w:val="0"/>
      <w:marRight w:val="0"/>
      <w:marTop w:val="0"/>
      <w:marBottom w:val="0"/>
      <w:divBdr>
        <w:top w:val="none" w:sz="0" w:space="0" w:color="auto"/>
        <w:left w:val="none" w:sz="0" w:space="0" w:color="auto"/>
        <w:bottom w:val="none" w:sz="0" w:space="0" w:color="auto"/>
        <w:right w:val="none" w:sz="0" w:space="0" w:color="auto"/>
      </w:divBdr>
    </w:div>
    <w:div w:id="958145848">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0AA30BA-AEE5-45FC-B3B1-F1AF670E1629}">
  <ds:schemaRefs>
    <ds:schemaRef ds:uri="http://schemas.openxmlformats.org/officeDocument/2006/bibliography"/>
  </ds:schemaRefs>
</ds:datastoreItem>
</file>

<file path=customXml/itemProps4.xml><?xml version="1.0" encoding="utf-8"?>
<ds:datastoreItem xmlns:ds="http://schemas.openxmlformats.org/officeDocument/2006/customXml" ds:itemID="{08ECAAAA-6ADE-4999-8B3F-0C52C55B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0</TotalTime>
  <Pages>20</Pages>
  <Words>15424</Words>
  <Characters>8792</Characters>
  <Application>Microsoft Office Word</Application>
  <DocSecurity>0</DocSecurity>
  <Lines>73</Lines>
  <Paragraphs>48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2_Technical specification [EN]</vt:lpstr>
      <vt:lpstr>2_Technical specification [EN]</vt:lpstr>
      <vt:lpstr>2_Technical specification [EN]</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Karolis Vaičiulis</dc:creator>
  <cp:keywords/>
  <cp:lastModifiedBy>Laura Sungailaitė-Jurčė</cp:lastModifiedBy>
  <cp:revision>2</cp:revision>
  <dcterms:created xsi:type="dcterms:W3CDTF">2026-06-12T06:56:00Z</dcterms:created>
  <dcterms:modified xsi:type="dcterms:W3CDTF">2026-06-12T06:56:00Z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Kontrimas;#283;#Karolis Vaičiulis;#1779;#Ana Stefanova</vt:lpwstr>
  </property>
  <property fmtid="{D5CDD505-2E9C-101B-9397-08002B2CF9AE}" pid="8" name="DmsCommChanPerm">
    <vt:lpwstr/>
  </property>
  <property fmtid="{D5CDD505-2E9C-101B-9397-08002B2CF9AE}" pid="9" name="DmsPermissionsConfid">
    <vt:bool>false</vt:bool>
  </property>
</Properties>
</file>