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078"/>
        <w:gridCol w:w="4292"/>
        <w:gridCol w:w="2190"/>
      </w:tblGrid>
      <w:tr w:rsidR="00622B2F" w:rsidRPr="00F0631A" w14:paraId="25307F91" w14:textId="77777777" w:rsidTr="003F1C3B">
        <w:trPr>
          <w:trHeight w:val="55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C9B37AD" w14:textId="1128245E" w:rsidR="00622B2F" w:rsidRPr="00F0631A" w:rsidRDefault="00E068AC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bookmarkStart w:id="0" w:name="_Hlk209440670"/>
            <w:r>
              <w:rPr>
                <w:b/>
                <w:szCs w:val="24"/>
              </w:rPr>
              <w:t>Techninė specifikacija</w:t>
            </w:r>
          </w:p>
          <w:p w14:paraId="19B3E3A2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</w:p>
        </w:tc>
      </w:tr>
      <w:tr w:rsidR="00622B2F" w:rsidRPr="00F0631A" w14:paraId="756C37FE" w14:textId="77777777" w:rsidTr="003F1C3B">
        <w:tc>
          <w:tcPr>
            <w:tcW w:w="427" w:type="pct"/>
            <w:vAlign w:val="center"/>
          </w:tcPr>
          <w:p w14:paraId="509A9C9D" w14:textId="77777777" w:rsidR="00622B2F" w:rsidRPr="00F0631A" w:rsidRDefault="00622B2F" w:rsidP="00F0631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631A">
              <w:rPr>
                <w:b/>
                <w:szCs w:val="24"/>
                <w:lang w:val="en-US"/>
              </w:rPr>
              <w:t>I.</w:t>
            </w:r>
          </w:p>
        </w:tc>
        <w:tc>
          <w:tcPr>
            <w:tcW w:w="1110" w:type="pct"/>
          </w:tcPr>
          <w:p w14:paraId="5677230D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szCs w:val="24"/>
              </w:rPr>
            </w:pPr>
            <w:r w:rsidRPr="00F0631A">
              <w:rPr>
                <w:b/>
                <w:szCs w:val="24"/>
              </w:rPr>
              <w:t>Parametrai</w:t>
            </w:r>
          </w:p>
        </w:tc>
        <w:tc>
          <w:tcPr>
            <w:tcW w:w="2293" w:type="pct"/>
          </w:tcPr>
          <w:p w14:paraId="338898C4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F0631A">
              <w:rPr>
                <w:b/>
                <w:szCs w:val="24"/>
              </w:rPr>
              <w:t>Reikalaujama charakteristika</w:t>
            </w:r>
          </w:p>
        </w:tc>
        <w:tc>
          <w:tcPr>
            <w:tcW w:w="1170" w:type="pct"/>
          </w:tcPr>
          <w:p w14:paraId="1A597863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F0631A">
              <w:rPr>
                <w:b/>
                <w:szCs w:val="24"/>
              </w:rPr>
              <w:t>Siūloma charakteristika</w:t>
            </w:r>
          </w:p>
        </w:tc>
      </w:tr>
      <w:tr w:rsidR="00A06FE5" w:rsidRPr="00F0631A" w14:paraId="0A5CE1AA" w14:textId="77777777" w:rsidTr="003F1C3B">
        <w:trPr>
          <w:trHeight w:val="311"/>
        </w:trPr>
        <w:tc>
          <w:tcPr>
            <w:tcW w:w="427" w:type="pct"/>
          </w:tcPr>
          <w:p w14:paraId="53ACF6CB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2D84BCC3" w14:textId="6ECC76B1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Naudojimo paskirtis</w:t>
            </w:r>
          </w:p>
        </w:tc>
        <w:tc>
          <w:tcPr>
            <w:tcW w:w="2293" w:type="pct"/>
          </w:tcPr>
          <w:p w14:paraId="584A57B6" w14:textId="511AC537" w:rsidR="00A06FE5" w:rsidRPr="00F0631A" w:rsidRDefault="00A06FE5" w:rsidP="00A06FE5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Rinkinys skirtas DNR molekulėms modeliuoti</w:t>
            </w:r>
          </w:p>
        </w:tc>
        <w:tc>
          <w:tcPr>
            <w:tcW w:w="1170" w:type="pct"/>
          </w:tcPr>
          <w:p w14:paraId="3713B6E9" w14:textId="219ABA6F" w:rsidR="00A06FE5" w:rsidRPr="00F0631A" w:rsidRDefault="00A06FE5" w:rsidP="00A06FE5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A06FE5" w:rsidRPr="00F0631A" w14:paraId="7B8FD1D4" w14:textId="77777777" w:rsidTr="003F1C3B">
        <w:trPr>
          <w:trHeight w:val="296"/>
        </w:trPr>
        <w:tc>
          <w:tcPr>
            <w:tcW w:w="427" w:type="pct"/>
          </w:tcPr>
          <w:p w14:paraId="2849E225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5755F70" w14:textId="7F95B361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Sluoksniai</w:t>
            </w:r>
          </w:p>
        </w:tc>
        <w:tc>
          <w:tcPr>
            <w:tcW w:w="2293" w:type="pct"/>
          </w:tcPr>
          <w:p w14:paraId="72DB15CA" w14:textId="4A1F259F" w:rsidR="00A06FE5" w:rsidRPr="00A06FE5" w:rsidRDefault="00A06FE5" w:rsidP="00A06FE5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06FE5">
              <w:rPr>
                <w:rFonts w:eastAsiaTheme="minorEastAsia"/>
                <w:lang w:eastAsia="lt-LT"/>
              </w:rPr>
              <w:t xml:space="preserve">Turi būti sudarytas iš ne mažiau, kaip </w:t>
            </w:r>
            <w:r w:rsidRPr="00A06FE5">
              <w:rPr>
                <w:rFonts w:eastAsiaTheme="minorEastAsia"/>
                <w:lang w:val="lt" w:eastAsia="lt-LT"/>
              </w:rPr>
              <w:t>22</w:t>
            </w:r>
            <w:r w:rsidRPr="00A06FE5">
              <w:rPr>
                <w:rFonts w:eastAsiaTheme="minorEastAsia"/>
                <w:lang w:eastAsia="lt-LT"/>
              </w:rPr>
              <w:t xml:space="preserve"> sluoksnių.</w:t>
            </w:r>
          </w:p>
        </w:tc>
        <w:tc>
          <w:tcPr>
            <w:tcW w:w="1170" w:type="pct"/>
          </w:tcPr>
          <w:p w14:paraId="59DFD8DF" w14:textId="77777777" w:rsidR="00A06FE5" w:rsidRPr="00F0631A" w:rsidRDefault="00A06FE5" w:rsidP="00A06FE5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A06FE5" w:rsidRPr="00F0631A" w14:paraId="58F39992" w14:textId="77777777" w:rsidTr="003F1C3B">
        <w:trPr>
          <w:trHeight w:val="351"/>
        </w:trPr>
        <w:tc>
          <w:tcPr>
            <w:tcW w:w="427" w:type="pct"/>
          </w:tcPr>
          <w:p w14:paraId="5771A4A8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DC69793" w14:textId="34F26B3B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Formos</w:t>
            </w:r>
          </w:p>
        </w:tc>
        <w:tc>
          <w:tcPr>
            <w:tcW w:w="2293" w:type="pct"/>
          </w:tcPr>
          <w:p w14:paraId="3CBBB109" w14:textId="08A81538" w:rsidR="00A06FE5" w:rsidRPr="00F0631A" w:rsidRDefault="00A06FE5" w:rsidP="00A06FE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val="lt" w:eastAsia="lt-LT"/>
              </w:rPr>
              <w:t>Šie mini DNR molekulių rinkiniai turi  susidaryti iš abstrakčių formų, spalvomis koduotų dal</w:t>
            </w:r>
            <w:r>
              <w:rPr>
                <w:rFonts w:eastAsiaTheme="minorEastAsia"/>
                <w:lang w:val="lt" w:eastAsia="lt-LT"/>
              </w:rPr>
              <w:t>ių</w:t>
            </w:r>
            <w:r w:rsidRPr="00B00704">
              <w:rPr>
                <w:rFonts w:eastAsiaTheme="minorEastAsia"/>
                <w:lang w:val="lt" w:eastAsia="lt-LT"/>
              </w:rPr>
              <w:t>, vaizduojančių azotines bazes, penkiakampį cukrų ir piramidės formos fosfato komponentus, esančius DNR dviguboje spiralėje</w:t>
            </w:r>
          </w:p>
        </w:tc>
        <w:tc>
          <w:tcPr>
            <w:tcW w:w="1170" w:type="pct"/>
          </w:tcPr>
          <w:p w14:paraId="07837386" w14:textId="77777777" w:rsidR="00A06FE5" w:rsidRPr="00F0631A" w:rsidRDefault="00A06FE5" w:rsidP="00A06FE5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A06FE5" w:rsidRPr="00F0631A" w14:paraId="423F5984" w14:textId="77777777" w:rsidTr="003F1C3B">
        <w:trPr>
          <w:trHeight w:val="562"/>
        </w:trPr>
        <w:tc>
          <w:tcPr>
            <w:tcW w:w="427" w:type="pct"/>
          </w:tcPr>
          <w:p w14:paraId="1457513B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4D3FA14" w14:textId="23C72A4C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Tvirtinimas</w:t>
            </w:r>
          </w:p>
        </w:tc>
        <w:tc>
          <w:tcPr>
            <w:tcW w:w="2293" w:type="pct"/>
          </w:tcPr>
          <w:p w14:paraId="101A36B9" w14:textId="7F823CCE" w:rsidR="00A06FE5" w:rsidRPr="00F0631A" w:rsidRDefault="00A06FE5" w:rsidP="00A06FE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eastAsia="lt-LT"/>
              </w:rPr>
              <w:t xml:space="preserve">Kiekviena dalis turi būti sukurta taip, kad ją būtų galima pritvirtinti tik teisingoje vietoje, pvz., timinas jungiasi tik su </w:t>
            </w:r>
            <w:proofErr w:type="spellStart"/>
            <w:r w:rsidRPr="00B00704">
              <w:rPr>
                <w:rFonts w:eastAsiaTheme="minorEastAsia"/>
                <w:lang w:eastAsia="lt-LT"/>
              </w:rPr>
              <w:t>adeninu</w:t>
            </w:r>
            <w:proofErr w:type="spellEnd"/>
            <w:r w:rsidRPr="00B00704">
              <w:rPr>
                <w:rFonts w:eastAsiaTheme="minorEastAsia"/>
                <w:lang w:eastAsia="lt-LT"/>
              </w:rPr>
              <w:t xml:space="preserve">. Modelį turi būti galima surinkti ant stovo arba be pateiktų </w:t>
            </w:r>
            <w:proofErr w:type="spellStart"/>
            <w:r w:rsidRPr="00B00704">
              <w:rPr>
                <w:rFonts w:eastAsiaTheme="minorEastAsia"/>
                <w:lang w:eastAsia="lt-LT"/>
              </w:rPr>
              <w:t>atskyrėjų</w:t>
            </w:r>
            <w:proofErr w:type="spellEnd"/>
            <w:r w:rsidRPr="00B00704">
              <w:rPr>
                <w:rFonts w:eastAsiaTheme="minorEastAsia"/>
                <w:lang w:eastAsia="lt-LT"/>
              </w:rPr>
              <w:t>. Modelį taip pat turi būti galima išvynioti ir „atsegti“, kad susidarytų dvi grandinės.</w:t>
            </w:r>
          </w:p>
        </w:tc>
        <w:tc>
          <w:tcPr>
            <w:tcW w:w="1170" w:type="pct"/>
          </w:tcPr>
          <w:p w14:paraId="58B210E7" w14:textId="77777777" w:rsidR="00A06FE5" w:rsidRPr="00F0631A" w:rsidRDefault="00A06FE5" w:rsidP="00A06FE5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A06FE5" w:rsidRPr="00F0631A" w14:paraId="4E94F8B0" w14:textId="77777777" w:rsidTr="003F1C3B">
        <w:trPr>
          <w:trHeight w:val="562"/>
        </w:trPr>
        <w:tc>
          <w:tcPr>
            <w:tcW w:w="427" w:type="pct"/>
          </w:tcPr>
          <w:p w14:paraId="1359F080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C6C2647" w14:textId="03B11B74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Komplektacija</w:t>
            </w:r>
          </w:p>
        </w:tc>
        <w:tc>
          <w:tcPr>
            <w:tcW w:w="2293" w:type="pct"/>
          </w:tcPr>
          <w:p w14:paraId="5804549B" w14:textId="3C76D0C3" w:rsidR="00A06FE5" w:rsidRPr="00F0631A" w:rsidRDefault="00A06FE5" w:rsidP="00A06FE5">
            <w:pPr>
              <w:pStyle w:val="ListParagraph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eastAsia="lt-LT"/>
              </w:rPr>
              <w:t>Kiekviename rinkinyje turi būti visos reikalingos dalys, įskaitant stovą, atraminį strypą ir instrukcijas.</w:t>
            </w:r>
          </w:p>
        </w:tc>
        <w:tc>
          <w:tcPr>
            <w:tcW w:w="1170" w:type="pct"/>
          </w:tcPr>
          <w:p w14:paraId="392EAC4E" w14:textId="77777777" w:rsidR="00A06FE5" w:rsidRPr="00F0631A" w:rsidRDefault="00A06FE5" w:rsidP="00A06FE5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A06FE5" w:rsidRPr="00F0631A" w14:paraId="458AB902" w14:textId="77777777" w:rsidTr="003F1C3B">
        <w:trPr>
          <w:trHeight w:val="562"/>
        </w:trPr>
        <w:tc>
          <w:tcPr>
            <w:tcW w:w="427" w:type="pct"/>
          </w:tcPr>
          <w:p w14:paraId="4415554C" w14:textId="77777777" w:rsidR="00A06FE5" w:rsidRPr="00F0631A" w:rsidRDefault="00A06FE5" w:rsidP="00A06FE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01762AE4" w14:textId="16F515E8" w:rsidR="00A06FE5" w:rsidRPr="00F0631A" w:rsidRDefault="00A06FE5" w:rsidP="00A06FE5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4E4133">
              <w:rPr>
                <w:lang w:val="lt"/>
              </w:rPr>
              <w:t>Garantija</w:t>
            </w:r>
          </w:p>
        </w:tc>
        <w:tc>
          <w:tcPr>
            <w:tcW w:w="2293" w:type="pct"/>
          </w:tcPr>
          <w:p w14:paraId="2D581DFC" w14:textId="29A194E8" w:rsidR="00A06FE5" w:rsidRPr="00F0631A" w:rsidRDefault="00A06FE5" w:rsidP="00A06FE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E4133">
              <w:rPr>
                <w:lang w:val="lt"/>
              </w:rPr>
              <w:t>Ne trumpesnė kaip 24 mėnesių gamintojo garantija nuo prekių perdavimo – priėmimo akto pasirašymo dienos</w:t>
            </w:r>
          </w:p>
        </w:tc>
        <w:tc>
          <w:tcPr>
            <w:tcW w:w="1170" w:type="pct"/>
          </w:tcPr>
          <w:p w14:paraId="28830605" w14:textId="77777777" w:rsidR="00A06FE5" w:rsidRPr="00F0631A" w:rsidRDefault="00A06FE5" w:rsidP="00A06FE5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bookmarkEnd w:id="0"/>
    </w:tbl>
    <w:p w14:paraId="20743DFD" w14:textId="77777777" w:rsidR="009E2323" w:rsidRPr="00F0631A" w:rsidRDefault="009E2323" w:rsidP="00F0631A">
      <w:pPr>
        <w:spacing w:after="0" w:line="240" w:lineRule="auto"/>
        <w:rPr>
          <w:szCs w:val="24"/>
        </w:rPr>
      </w:pPr>
    </w:p>
    <w:sectPr w:rsidR="009E2323" w:rsidRPr="00F0631A" w:rsidSect="004D33E0">
      <w:pgSz w:w="12240" w:h="15840"/>
      <w:pgMar w:top="13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44B7623D"/>
    <w:multiLevelType w:val="multilevel"/>
    <w:tmpl w:val="02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A6D83"/>
    <w:multiLevelType w:val="hybridMultilevel"/>
    <w:tmpl w:val="1E7E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F"/>
    <w:rsid w:val="001C1F6F"/>
    <w:rsid w:val="00491031"/>
    <w:rsid w:val="00622B2F"/>
    <w:rsid w:val="00836A8E"/>
    <w:rsid w:val="009227DE"/>
    <w:rsid w:val="00982DF8"/>
    <w:rsid w:val="009E2323"/>
    <w:rsid w:val="00A06FE5"/>
    <w:rsid w:val="00E068AC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E19"/>
  <w15:chartTrackingRefBased/>
  <w15:docId w15:val="{F666718E-8A1C-4486-9037-E716880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2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2026-06-12T08:17:00Z</dcterms:created>
  <dcterms:modified xsi:type="dcterms:W3CDTF">2026-06-12T08:17:00Z</dcterms:modified>
</cp:coreProperties>
</file>