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7F82F77E"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D47B61">
            <w:rPr>
              <w:rFonts w:ascii="Arial" w:hAnsi="Arial" w:cs="Arial"/>
              <w:sz w:val="24"/>
              <w:szCs w:val="24"/>
              <w:lang w:val="lt-LT"/>
            </w:rPr>
            <w:t>6</w:t>
          </w:r>
          <w:r w:rsidRPr="00426537">
            <w:rPr>
              <w:rFonts w:ascii="Arial" w:hAnsi="Arial" w:cs="Arial"/>
              <w:sz w:val="24"/>
              <w:szCs w:val="24"/>
              <w:lang w:val="lt-LT"/>
            </w:rPr>
            <w:t>-</w:t>
          </w:r>
          <w:r w:rsidR="00050835">
            <w:rPr>
              <w:rFonts w:ascii="Arial" w:hAnsi="Arial" w:cs="Arial"/>
              <w:sz w:val="24"/>
              <w:szCs w:val="24"/>
              <w:lang w:val="lt-LT"/>
            </w:rPr>
            <w:t>....</w:t>
          </w:r>
          <w:r w:rsidRPr="00426537">
            <w:rPr>
              <w:rFonts w:ascii="Arial" w:hAnsi="Arial" w:cs="Arial"/>
              <w:sz w:val="24"/>
              <w:szCs w:val="24"/>
              <w:lang w:val="lt-LT"/>
            </w:rPr>
            <w:t>-</w:t>
          </w:r>
          <w:r w:rsidR="00050835">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CK</w:t>
      </w:r>
      <w:r w:rsidRPr="007874FD">
        <w:rPr>
          <w:rFonts w:ascii="Arial" w:hAnsi="Arial" w:cs="Arial"/>
          <w:sz w:val="24"/>
          <w:szCs w:val="24"/>
          <w:lang w:val="lt-LT"/>
        </w:rPr>
        <w:t xml:space="preserve"> – Lietuvos Respublikos civilinis kodeksas.</w:t>
      </w:r>
    </w:p>
    <w:p w14:paraId="1D945945" w14:textId="343CA483"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CVP IS</w:t>
      </w:r>
      <w:r w:rsidRPr="007874FD">
        <w:rPr>
          <w:rFonts w:ascii="Arial" w:hAnsi="Arial" w:cs="Arial"/>
          <w:sz w:val="24"/>
          <w:szCs w:val="24"/>
          <w:lang w:val="lt-LT"/>
        </w:rPr>
        <w:t xml:space="preserve"> – </w:t>
      </w:r>
      <w:r w:rsidRPr="007874FD">
        <w:rPr>
          <w:rFonts w:ascii="Arial" w:eastAsia="Calibri" w:hAnsi="Arial" w:cs="Arial"/>
          <w:sz w:val="24"/>
          <w:szCs w:val="24"/>
          <w:lang w:val="lt-LT"/>
        </w:rPr>
        <w:t xml:space="preserve">Centrinės viešųjų pirkimų informacinė sistema, adresu </w:t>
      </w:r>
      <w:r w:rsidR="00F06FF2" w:rsidRPr="00F06FF2">
        <w:rPr>
          <w:rFonts w:ascii="Arial" w:eastAsia="Calibri" w:hAnsi="Arial" w:cs="Arial"/>
          <w:sz w:val="24"/>
          <w:szCs w:val="24"/>
        </w:rPr>
        <w:t>https://viesiejipirkimai.lt/epps/home.do</w:t>
      </w:r>
      <w:hyperlink r:id="rId11" w:history="1"/>
      <w:r w:rsidR="007874FD">
        <w:rPr>
          <w:rFonts w:ascii="Arial" w:eastAsia="Calibri" w:hAnsi="Arial" w:cs="Arial"/>
          <w:sz w:val="24"/>
          <w:szCs w:val="24"/>
          <w:lang w:val="lt-LT"/>
        </w:rPr>
        <w:t xml:space="preserve">. </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lastRenderedPageBreak/>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lastRenderedPageBreak/>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w:t>
      </w:r>
      <w:r w:rsidR="00EF250A" w:rsidRPr="00426537">
        <w:rPr>
          <w:rFonts w:ascii="Arial" w:eastAsia="Calibri" w:hAnsi="Arial" w:cs="Arial"/>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4A28370D"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430158" w:rsidRPr="00430158">
        <w:rPr>
          <w:rFonts w:ascii="Arial" w:hAnsi="Arial" w:cs="Arial"/>
          <w:color w:val="0070C0"/>
          <w:sz w:val="24"/>
          <w:szCs w:val="24"/>
          <w:u w:val="single"/>
          <w:lang w:val="lt-LT"/>
        </w:rPr>
        <w:t>https://viesiejipirkimai.lt/epps/home.do</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46E1C960"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430158" w:rsidRPr="00430158">
        <w:rPr>
          <w:rFonts w:ascii="Arial" w:hAnsi="Arial" w:cs="Arial"/>
          <w:color w:val="0070C0"/>
          <w:sz w:val="24"/>
          <w:szCs w:val="24"/>
          <w:u w:val="single"/>
        </w:rPr>
        <w:t>https://viesiejipirkimai.lt/epps/home.do</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lastRenderedPageBreak/>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lastRenderedPageBreak/>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lastRenderedPageBreak/>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w:t>
      </w:r>
      <w:proofErr w:type="spellStart"/>
      <w:r w:rsidR="00B62CFE" w:rsidRPr="00B62CFE">
        <w:rPr>
          <w:rFonts w:ascii="Arial" w:hAnsi="Arial" w:cs="Arial"/>
          <w:sz w:val="24"/>
          <w:szCs w:val="24"/>
        </w:rPr>
        <w:t>išskyrus</w:t>
      </w:r>
      <w:proofErr w:type="spellEnd"/>
      <w:r w:rsidR="00B62CFE" w:rsidRPr="00B62CFE">
        <w:rPr>
          <w:rFonts w:ascii="Arial" w:hAnsi="Arial" w:cs="Arial"/>
          <w:sz w:val="24"/>
          <w:szCs w:val="24"/>
        </w:rPr>
        <w:t xml:space="preserve"> </w:t>
      </w:r>
      <w:proofErr w:type="spellStart"/>
      <w:r w:rsidR="00B62CFE" w:rsidRPr="00B62CFE">
        <w:rPr>
          <w:rFonts w:ascii="Arial" w:hAnsi="Arial" w:cs="Arial"/>
          <w:sz w:val="24"/>
          <w:szCs w:val="24"/>
        </w:rPr>
        <w:t>kvazisubtiekėjus</w:t>
      </w:r>
      <w:proofErr w:type="spellEnd"/>
      <w:r w:rsidR="00B62CFE" w:rsidRPr="00B62CFE">
        <w:rPr>
          <w:rFonts w:ascii="Arial" w:hAnsi="Arial" w:cs="Arial"/>
          <w:sz w:val="24"/>
          <w:szCs w:val="24"/>
        </w:rPr>
        <w:t>)</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w:t>
      </w:r>
      <w:r w:rsidR="00C00143" w:rsidRPr="00426537">
        <w:rPr>
          <w:rFonts w:ascii="Arial" w:hAnsi="Arial" w:cs="Arial"/>
          <w:sz w:val="24"/>
          <w:szCs w:val="24"/>
          <w:lang w:val="lt-LT"/>
        </w:rPr>
        <w:lastRenderedPageBreak/>
        <w:t xml:space="preserve">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w:t>
      </w:r>
      <w:r w:rsidR="0077267D" w:rsidRPr="00426537">
        <w:rPr>
          <w:rFonts w:ascii="Arial" w:hAnsi="Arial" w:cs="Arial"/>
          <w:sz w:val="24"/>
          <w:szCs w:val="24"/>
          <w:lang w:val="lt-LT"/>
        </w:rPr>
        <w:lastRenderedPageBreak/>
        <w:t xml:space="preserve">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lastRenderedPageBreak/>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 xml:space="preserve">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w:t>
      </w:r>
      <w:r w:rsidR="00B17E6E" w:rsidRPr="00B17E6E">
        <w:rPr>
          <w:rFonts w:ascii="Arial" w:hAnsi="Arial" w:cs="Arial"/>
          <w:sz w:val="24"/>
          <w:szCs w:val="24"/>
          <w:lang w:val="lt-LT"/>
        </w:rPr>
        <w:lastRenderedPageBreak/>
        <w:t>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w:t>
      </w:r>
      <w:r w:rsidRPr="00426537">
        <w:rPr>
          <w:rFonts w:ascii="Arial" w:hAnsi="Arial" w:cs="Arial"/>
          <w:sz w:val="24"/>
          <w:szCs w:val="24"/>
          <w:lang w:val="lt-LT"/>
        </w:rPr>
        <w:lastRenderedPageBreak/>
        <w:t xml:space="preserve">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lastRenderedPageBreak/>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w:t>
      </w:r>
      <w:r w:rsidR="00E94B94" w:rsidRPr="00426537">
        <w:rPr>
          <w:rFonts w:ascii="Arial" w:hAnsi="Arial" w:cs="Arial"/>
          <w:sz w:val="24"/>
          <w:szCs w:val="24"/>
          <w:lang w:val="lt-LT"/>
        </w:rPr>
        <w:lastRenderedPageBreak/>
        <w:t xml:space="preserve">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50105DE5" w14:textId="2D7C85D6" w:rsidR="0041281F" w:rsidRPr="00427C59" w:rsidRDefault="0041281F" w:rsidP="00910341">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tgtFrame="_blank" w:history="1">
        <w:r w:rsidR="00910341" w:rsidRPr="00910341">
          <w:rPr>
            <w:rStyle w:val="Hipersaitas"/>
          </w:rPr>
          <w:t>https://vpt.lrv.lt/lt/nauja-cvp-is-aktuali-nuo-2024-12-01/metodine-medziaga-instrukcijos/tiekejamsnaujaCVPIS/</w:t>
        </w:r>
      </w:hyperlink>
      <w:r w:rsidR="00910341" w:rsidRPr="00910341">
        <w:t>  </w:t>
      </w:r>
    </w:p>
  </w:footnote>
  <w:footnote w:id="3">
    <w:p w14:paraId="05A78CD8" w14:textId="27605FB2"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781EF4" w:rsidRPr="00781EF4">
        <w:t>https://vpt.lrv.lt/uploads/vpt/documents/files/uzssisfravimo%20instrukcija(1).pdf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835"/>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986"/>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0C12"/>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D7935"/>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0158"/>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EF4"/>
    <w:rsid w:val="007820E5"/>
    <w:rsid w:val="00782FF3"/>
    <w:rsid w:val="00783272"/>
    <w:rsid w:val="00783E88"/>
    <w:rsid w:val="0078409D"/>
    <w:rsid w:val="007845E8"/>
    <w:rsid w:val="00784BA0"/>
    <w:rsid w:val="0078516B"/>
    <w:rsid w:val="00785640"/>
    <w:rsid w:val="00785703"/>
    <w:rsid w:val="007874F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0341"/>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C0D"/>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47B61"/>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06FF2"/>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A5986"/>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D7935"/>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27C0D"/>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42053</Words>
  <Characters>23971</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46</cp:revision>
  <dcterms:created xsi:type="dcterms:W3CDTF">2023-07-18T08:56:00Z</dcterms:created>
  <dcterms:modified xsi:type="dcterms:W3CDTF">2026-06-11T06:59:00Z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