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0ED28370"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CE2A14">
        <w:rPr>
          <w:rFonts w:ascii="Times New Roman" w:eastAsia="Times New Roman" w:hAnsi="Times New Roman" w:cs="Times New Roman"/>
          <w:i/>
          <w:iCs/>
          <w:noProof w:val="0"/>
          <w:sz w:val="24"/>
          <w:szCs w:val="24"/>
          <w:lang w:val="pt-PT"/>
        </w:rPr>
        <w:t>7</w:t>
      </w:r>
      <w:r w:rsidRPr="00CC48C7">
        <w:rPr>
          <w:rFonts w:ascii="Times New Roman" w:eastAsia="Times New Roman" w:hAnsi="Times New Roman" w:cs="Times New Roman"/>
          <w:i/>
          <w:iCs/>
          <w:noProof w:val="0"/>
          <w:sz w:val="24"/>
          <w:szCs w:val="24"/>
        </w:rPr>
        <w:t xml:space="preserve"> priedas</w:t>
      </w:r>
    </w:p>
    <w:p w14:paraId="1ECF73D7" w14:textId="77777777" w:rsidR="00CE2A14" w:rsidRDefault="00CE2A14" w:rsidP="003F36DD">
      <w:pPr>
        <w:jc w:val="center"/>
        <w:rPr>
          <w:rFonts w:ascii="Times New Roman" w:eastAsia="Times New Roman" w:hAnsi="Times New Roman" w:cs="Times New Roman"/>
          <w:noProof w:val="0"/>
          <w:sz w:val="24"/>
          <w:szCs w:val="24"/>
        </w:rPr>
      </w:pPr>
    </w:p>
    <w:p w14:paraId="7286DB24" w14:textId="3D0909F3"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10201" w:type="dxa"/>
        <w:tblLook w:val="04A0" w:firstRow="1" w:lastRow="0" w:firstColumn="1" w:lastColumn="0" w:noHBand="0" w:noVBand="1"/>
      </w:tblPr>
      <w:tblGrid>
        <w:gridCol w:w="704"/>
        <w:gridCol w:w="4678"/>
        <w:gridCol w:w="4819"/>
      </w:tblGrid>
      <w:tr w:rsidR="003D5464" w:rsidRPr="00CC48C7" w14:paraId="190A663F" w14:textId="77777777" w:rsidTr="0049518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4678"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4819" w:type="dxa"/>
          </w:tcPr>
          <w:p w14:paraId="3AC54EA7" w14:textId="3E4284AC" w:rsidR="003D5464" w:rsidRPr="00CC48C7" w:rsidRDefault="006F4DA0" w:rsidP="00337BF2">
            <w:pPr>
              <w:jc w:val="both"/>
              <w:rPr>
                <w:b/>
                <w:bCs/>
              </w:rPr>
            </w:pPr>
            <w:r w:rsidRPr="00CC48C7">
              <w:rPr>
                <w:rFonts w:ascii="Times New Roman" w:eastAsia="Times New Roman" w:hAnsi="Times New Roman" w:cs="Times New Roman"/>
                <w:b/>
                <w:noProof w:val="0"/>
                <w:sz w:val="24"/>
                <w:szCs w:val="24"/>
              </w:rPr>
              <w:t xml:space="preserve">Specialistas Nr. 1 – </w:t>
            </w:r>
            <w:r w:rsidR="00495188" w:rsidRPr="00B10644">
              <w:rPr>
                <w:rFonts w:ascii="Times New Roman" w:eastAsia="Calibri" w:hAnsi="Times New Roman" w:cs="Times New Roman"/>
                <w:b/>
                <w:bCs/>
                <w:sz w:val="24"/>
                <w:szCs w:val="24"/>
              </w:rPr>
              <w:t xml:space="preserve">Microsoft </w:t>
            </w:r>
            <w:r w:rsidR="00495188" w:rsidRPr="00B10644">
              <w:rPr>
                <w:rFonts w:ascii="Times New Roman" w:hAnsi="Times New Roman" w:cs="Times New Roman"/>
                <w:b/>
                <w:sz w:val="24"/>
                <w:szCs w:val="24"/>
              </w:rPr>
              <w:t>SharePoint Server administratori</w:t>
            </w:r>
            <w:r w:rsidR="00495188">
              <w:rPr>
                <w:rFonts w:ascii="Times New Roman" w:hAnsi="Times New Roman" w:cs="Times New Roman"/>
                <w:b/>
                <w:sz w:val="24"/>
                <w:szCs w:val="24"/>
              </w:rPr>
              <w:t>us</w:t>
            </w:r>
          </w:p>
        </w:tc>
      </w:tr>
      <w:tr w:rsidR="00A11C2D" w:rsidRPr="00CC48C7" w14:paraId="58A60080" w14:textId="77777777" w:rsidTr="0049518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4678"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4819"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49518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4678"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4819"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49518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4678"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2A0BAC">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4819"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10201" w:type="dxa"/>
        <w:tblLook w:val="04A0" w:firstRow="1" w:lastRow="0" w:firstColumn="1" w:lastColumn="0" w:noHBand="0" w:noVBand="1"/>
      </w:tblPr>
      <w:tblGrid>
        <w:gridCol w:w="704"/>
        <w:gridCol w:w="3827"/>
        <w:gridCol w:w="5670"/>
      </w:tblGrid>
      <w:tr w:rsidR="00012855" w:rsidRPr="00CC48C7" w14:paraId="27B260B5" w14:textId="77777777" w:rsidTr="00495188">
        <w:trPr>
          <w:trHeight w:val="557"/>
        </w:trPr>
        <w:tc>
          <w:tcPr>
            <w:tcW w:w="704" w:type="dxa"/>
          </w:tcPr>
          <w:p w14:paraId="31DEF819" w14:textId="34D9E7C4" w:rsidR="00012855" w:rsidRPr="00CC48C7" w:rsidRDefault="00495188" w:rsidP="008016C1">
            <w:pPr>
              <w:jc w:val="center"/>
              <w:rPr>
                <w:rFonts w:ascii="Times New Roman" w:hAnsi="Times New Roman" w:cs="Times New Roman"/>
                <w:sz w:val="24"/>
                <w:szCs w:val="24"/>
              </w:rPr>
            </w:pPr>
            <w:r>
              <w:rPr>
                <w:rFonts w:ascii="Times New Roman" w:hAnsi="Times New Roman" w:cs="Times New Roman"/>
                <w:sz w:val="24"/>
                <w:szCs w:val="24"/>
              </w:rPr>
              <w:t>1</w:t>
            </w:r>
            <w:r w:rsidR="00012855" w:rsidRPr="00CC48C7">
              <w:rPr>
                <w:rFonts w:ascii="Times New Roman" w:hAnsi="Times New Roman" w:cs="Times New Roman"/>
                <w:sz w:val="24"/>
                <w:szCs w:val="24"/>
              </w:rPr>
              <w:t>.</w:t>
            </w:r>
          </w:p>
        </w:tc>
        <w:tc>
          <w:tcPr>
            <w:tcW w:w="9497"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69D0DDE" w14:textId="10A56C7D" w:rsidR="00495188" w:rsidRDefault="00495188" w:rsidP="00495188">
            <w:pPr>
              <w:tabs>
                <w:tab w:val="left" w:pos="32"/>
                <w:tab w:val="left" w:pos="411"/>
              </w:tabs>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B10644">
              <w:rPr>
                <w:rFonts w:ascii="Times New Roman" w:eastAsia="Times New Roman" w:hAnsi="Times New Roman" w:cs="Times New Roman"/>
                <w:sz w:val="24"/>
                <w:szCs w:val="24"/>
                <w:lang w:eastAsia="lt-LT"/>
              </w:rPr>
              <w:t>er paskutinius 5</w:t>
            </w:r>
            <w:r w:rsidRPr="00B10644">
              <w:rPr>
                <w:rStyle w:val="FootnoteReference"/>
                <w:rFonts w:ascii="Times New Roman" w:eastAsia="Times New Roman" w:hAnsi="Times New Roman" w:cs="Times New Roman"/>
                <w:sz w:val="24"/>
                <w:szCs w:val="24"/>
                <w:lang w:eastAsia="lt-LT"/>
              </w:rPr>
              <w:footnoteReference w:id="2"/>
            </w:r>
            <w:r w:rsidRPr="00B10644">
              <w:rPr>
                <w:rFonts w:ascii="Times New Roman" w:eastAsia="Times New Roman" w:hAnsi="Times New Roman" w:cs="Times New Roman"/>
                <w:sz w:val="24"/>
                <w:szCs w:val="24"/>
                <w:lang w:eastAsia="lt-LT"/>
              </w:rPr>
              <w:t xml:space="preserve"> (penkerius) metus iki pasiūlymų pateikimo termino dienos turi turėti ne trumpesnę kaip 12 mėn.  praktinės darbo patirties, dalyvaujant paslaugų teikime (sutartis / sutartys gali būti tebevykdomos; paslaugos suteiktos / tebeteikiamos) Microsoft SharePoint Server administratoriaus</w:t>
            </w:r>
            <w:r>
              <w:rPr>
                <w:rFonts w:ascii="Times New Roman" w:eastAsia="Times New Roman" w:hAnsi="Times New Roman" w:cs="Times New Roman"/>
                <w:sz w:val="24"/>
                <w:szCs w:val="24"/>
                <w:lang w:eastAsia="lt-LT"/>
              </w:rPr>
              <w:t xml:space="preserve"> </w:t>
            </w:r>
            <w:r w:rsidRPr="00B1064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10644">
              <w:rPr>
                <w:rFonts w:ascii="Times New Roman" w:eastAsia="Times New Roman" w:hAnsi="Times New Roman" w:cs="Times New Roman"/>
                <w:sz w:val="24"/>
                <w:szCs w:val="24"/>
                <w:lang w:eastAsia="lt-LT"/>
              </w:rPr>
              <w:t xml:space="preserve">priežiūros specialisto rolėje. </w:t>
            </w:r>
          </w:p>
          <w:p w14:paraId="1D44F86B" w14:textId="77777777" w:rsidR="00495188" w:rsidRPr="00B10644" w:rsidRDefault="00495188" w:rsidP="00495188">
            <w:pPr>
              <w:tabs>
                <w:tab w:val="left" w:pos="32"/>
                <w:tab w:val="left" w:pos="411"/>
              </w:tabs>
              <w:contextualSpacing/>
              <w:jc w:val="both"/>
              <w:rPr>
                <w:rFonts w:ascii="Times New Roman" w:eastAsia="Times New Roman" w:hAnsi="Times New Roman" w:cs="Times New Roman"/>
                <w:sz w:val="24"/>
                <w:szCs w:val="24"/>
                <w:lang w:eastAsia="lt-LT"/>
              </w:rPr>
            </w:pPr>
          </w:p>
          <w:p w14:paraId="7229B1F2" w14:textId="57CD3D4F" w:rsidR="00495188" w:rsidRPr="00B10644" w:rsidRDefault="00495188" w:rsidP="00495188">
            <w:pPr>
              <w:tabs>
                <w:tab w:val="left" w:pos="32"/>
                <w:tab w:val="left" w:pos="411"/>
              </w:tabs>
              <w:contextualSpacing/>
              <w:jc w:val="both"/>
              <w:rPr>
                <w:rFonts w:ascii="Times New Roman" w:eastAsia="Times New Roman" w:hAnsi="Times New Roman" w:cs="Times New Roman"/>
                <w:sz w:val="24"/>
                <w:szCs w:val="24"/>
                <w:lang w:eastAsia="lt-LT"/>
              </w:rPr>
            </w:pPr>
            <w:r w:rsidRPr="00B10644">
              <w:rPr>
                <w:rFonts w:ascii="Times New Roman" w:eastAsia="Times New Roman" w:hAnsi="Times New Roman" w:cs="Times New Roman"/>
                <w:sz w:val="24"/>
                <w:szCs w:val="24"/>
                <w:lang w:eastAsia="lt-LT"/>
              </w:rPr>
              <w:t>Teiktų paslaugų turinys: teiktos / teikiamos Microsoft SharePoint Server sprendimų priežiūros (administravimo) paslaugos.</w:t>
            </w:r>
          </w:p>
          <w:p w14:paraId="07D5FC65" w14:textId="77777777" w:rsidR="00CE2A14" w:rsidRDefault="00CE2A14"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495188">
        <w:tc>
          <w:tcPr>
            <w:tcW w:w="704" w:type="dxa"/>
          </w:tcPr>
          <w:p w14:paraId="0134BA5A" w14:textId="26D0CA95" w:rsidR="00012855" w:rsidRPr="00CC48C7" w:rsidRDefault="00495188" w:rsidP="008016C1">
            <w:pPr>
              <w:jc w:val="center"/>
              <w:rPr>
                <w:rFonts w:ascii="Times New Roman" w:hAnsi="Times New Roman" w:cs="Times New Roman"/>
                <w:sz w:val="24"/>
                <w:szCs w:val="24"/>
              </w:rPr>
            </w:pPr>
            <w:r>
              <w:rPr>
                <w:rFonts w:ascii="Times New Roman" w:hAnsi="Times New Roman" w:cs="Times New Roman"/>
                <w:sz w:val="24"/>
                <w:szCs w:val="24"/>
              </w:rPr>
              <w:t>2</w:t>
            </w:r>
            <w:r w:rsidR="00012855" w:rsidRPr="00CC48C7">
              <w:rPr>
                <w:rFonts w:ascii="Times New Roman" w:hAnsi="Times New Roman" w:cs="Times New Roman"/>
                <w:sz w:val="24"/>
                <w:szCs w:val="24"/>
              </w:rPr>
              <w:t>.</w:t>
            </w:r>
          </w:p>
        </w:tc>
        <w:tc>
          <w:tcPr>
            <w:tcW w:w="9497" w:type="dxa"/>
            <w:gridSpan w:val="2"/>
          </w:tcPr>
          <w:p w14:paraId="7CAE20CF" w14:textId="30618569" w:rsidR="005119D8" w:rsidRPr="003830BB"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012855" w:rsidRPr="00CC48C7" w14:paraId="1803F966" w14:textId="77777777" w:rsidTr="00495188">
        <w:tc>
          <w:tcPr>
            <w:tcW w:w="704" w:type="dxa"/>
          </w:tcPr>
          <w:p w14:paraId="54BF1722" w14:textId="039E3B72" w:rsidR="00012855" w:rsidRPr="00CC48C7" w:rsidRDefault="00495188"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5670" w:type="dxa"/>
          </w:tcPr>
          <w:p w14:paraId="628EB6B4" w14:textId="776AE6BA" w:rsidR="00190252" w:rsidRPr="002A0BAC" w:rsidRDefault="00F279FB" w:rsidP="00190252">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tc>
      </w:tr>
      <w:tr w:rsidR="00F279FB" w:rsidRPr="00CC48C7" w14:paraId="70FC6FD3" w14:textId="77777777" w:rsidTr="00495188">
        <w:tc>
          <w:tcPr>
            <w:tcW w:w="704" w:type="dxa"/>
          </w:tcPr>
          <w:p w14:paraId="6B838802" w14:textId="0BB31794" w:rsidR="00F279FB" w:rsidRPr="00CC48C7" w:rsidRDefault="00495188"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5670"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495188">
        <w:tc>
          <w:tcPr>
            <w:tcW w:w="704" w:type="dxa"/>
          </w:tcPr>
          <w:p w14:paraId="1F5AED36" w14:textId="329DC0C5" w:rsidR="00012855" w:rsidRPr="00CC48C7" w:rsidRDefault="00495188"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2</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3"/>
            </w:r>
          </w:p>
        </w:tc>
        <w:tc>
          <w:tcPr>
            <w:tcW w:w="5670"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495188">
        <w:tc>
          <w:tcPr>
            <w:tcW w:w="704" w:type="dxa"/>
          </w:tcPr>
          <w:p w14:paraId="6A1B06D0" w14:textId="34C15249" w:rsidR="00012855" w:rsidRPr="00CC48C7" w:rsidRDefault="00495188"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2</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5670"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495188">
        <w:tc>
          <w:tcPr>
            <w:tcW w:w="704" w:type="dxa"/>
          </w:tcPr>
          <w:p w14:paraId="468443F2" w14:textId="4E7B9A2E" w:rsidR="00F279FB" w:rsidRPr="00CC48C7" w:rsidRDefault="00495188"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77B5EF7D" w:rsidR="00F279FB" w:rsidRPr="00144882" w:rsidRDefault="00190252" w:rsidP="00F279FB">
            <w:pPr>
              <w:jc w:val="both"/>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495188" w:rsidRPr="00495188">
              <w:rPr>
                <w:rFonts w:ascii="Times New Roman" w:eastAsia="Times New Roman" w:hAnsi="Times New Roman" w:cs="Times New Roman"/>
                <w:bCs/>
                <w:i/>
                <w:iCs/>
                <w:noProof w:val="0"/>
                <w:color w:val="000000"/>
                <w:sz w:val="24"/>
                <w:szCs w:val="20"/>
                <w:lang w:eastAsia="lt-LT"/>
              </w:rPr>
              <w:t>teiktos / teikiamos Microsoft SharePoint Server sprendimų priežiūros (administravimo) paslaugos</w:t>
            </w:r>
            <w:r w:rsidR="00CE2A14">
              <w:rPr>
                <w:rFonts w:ascii="Times New Roman" w:eastAsia="Times New Roman" w:hAnsi="Times New Roman" w:cs="Times New Roman"/>
                <w:bCs/>
                <w:i/>
                <w:iCs/>
                <w:noProof w:val="0"/>
                <w:color w:val="000000"/>
                <w:sz w:val="24"/>
                <w:szCs w:val="24"/>
                <w:lang w:eastAsia="lt-LT"/>
              </w:rPr>
              <w:t>.</w:t>
            </w:r>
          </w:p>
        </w:tc>
        <w:tc>
          <w:tcPr>
            <w:tcW w:w="5670" w:type="dxa"/>
          </w:tcPr>
          <w:p w14:paraId="0F701993" w14:textId="77777777" w:rsidR="009647EC" w:rsidRDefault="00F279FB" w:rsidP="00495188">
            <w:pPr>
              <w:jc w:val="both"/>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2A7B72E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0A91A41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473A1ACD" w14:textId="1451ED00" w:rsidR="00144882" w:rsidRPr="009647EC" w:rsidRDefault="00144882" w:rsidP="00144882">
            <w:pPr>
              <w:pStyle w:val="ListParagraph"/>
              <w:tabs>
                <w:tab w:val="left" w:pos="318"/>
              </w:tabs>
              <w:spacing w:after="0" w:line="240" w:lineRule="auto"/>
              <w:ind w:left="0"/>
              <w:jc w:val="both"/>
              <w:rPr>
                <w:bCs/>
                <w:i/>
                <w:iCs/>
                <w:noProof w:val="0"/>
                <w:color w:val="000000"/>
                <w:szCs w:val="20"/>
                <w:lang w:eastAsia="lt-LT"/>
              </w:rPr>
            </w:pPr>
          </w:p>
        </w:tc>
      </w:tr>
      <w:tr w:rsidR="00F279FB" w:rsidRPr="00CC48C7" w14:paraId="6D4235EE" w14:textId="77777777" w:rsidTr="00495188">
        <w:tc>
          <w:tcPr>
            <w:tcW w:w="704" w:type="dxa"/>
          </w:tcPr>
          <w:p w14:paraId="03384C1E" w14:textId="24B5E91B" w:rsidR="00F279FB" w:rsidRPr="00CC48C7" w:rsidRDefault="00495188"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21CCDCFD" w14:textId="19B18EEA" w:rsidR="00655584" w:rsidRPr="00144882" w:rsidRDefault="00340A01" w:rsidP="0014488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495188">
              <w:rPr>
                <w:rFonts w:ascii="Times New Roman" w:hAnsi="Times New Roman" w:cs="Times New Roman"/>
                <w:i/>
                <w:iCs/>
                <w:sz w:val="24"/>
                <w:szCs w:val="24"/>
              </w:rPr>
              <w:t xml:space="preserve">buvo </w:t>
            </w:r>
            <w:r w:rsidR="00495188" w:rsidRPr="00495188">
              <w:rPr>
                <w:rFonts w:ascii="Times New Roman" w:hAnsi="Times New Roman" w:cs="Times New Roman"/>
                <w:i/>
                <w:iCs/>
                <w:sz w:val="24"/>
                <w:szCs w:val="24"/>
              </w:rPr>
              <w:t xml:space="preserve">teiktos / teikiamos Microsoft SharePoint Server sprendimų priežiūros (administravimo)  paslaugos Microsoft SharePoint Server administratoriaus / priežiūros specialisto </w:t>
            </w:r>
            <w:r w:rsidR="00CE2A14" w:rsidRPr="00CE2A14">
              <w:rPr>
                <w:rFonts w:ascii="Times New Roman" w:eastAsia="Times New Roman" w:hAnsi="Times New Roman" w:cs="Times New Roman"/>
                <w:bCs/>
                <w:i/>
                <w:iCs/>
                <w:noProof w:val="0"/>
                <w:color w:val="000000"/>
                <w:sz w:val="24"/>
                <w:szCs w:val="24"/>
                <w:lang w:eastAsia="lt-LT"/>
              </w:rPr>
              <w:t>rolėje</w:t>
            </w:r>
            <w:r w:rsidR="00CE2A14">
              <w:rPr>
                <w:rFonts w:ascii="Times New Roman" w:eastAsia="Times New Roman" w:hAnsi="Times New Roman" w:cs="Times New Roman"/>
                <w:bCs/>
                <w:i/>
                <w:iCs/>
                <w:noProof w:val="0"/>
                <w:color w:val="000000"/>
                <w:sz w:val="24"/>
                <w:szCs w:val="24"/>
                <w:lang w:eastAsia="lt-LT"/>
              </w:rPr>
              <w:t>.</w:t>
            </w:r>
          </w:p>
        </w:tc>
        <w:tc>
          <w:tcPr>
            <w:tcW w:w="5670" w:type="dxa"/>
          </w:tcPr>
          <w:p w14:paraId="667F1E7A" w14:textId="77777777" w:rsidR="00CE0DFB" w:rsidRDefault="00F279FB" w:rsidP="00495188">
            <w:pPr>
              <w:jc w:val="both"/>
              <w:rPr>
                <w:rFonts w:ascii="Times New Roman" w:hAnsi="Times New Roman" w:cs="Times New Roman"/>
                <w:i/>
                <w:iCs/>
                <w:sz w:val="24"/>
                <w:szCs w:val="24"/>
              </w:rPr>
            </w:pPr>
            <w:r w:rsidRPr="00655584">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4B469155" w14:textId="37B7845E" w:rsidR="00655584" w:rsidRPr="00655584" w:rsidRDefault="00655584" w:rsidP="00F279FB">
            <w:pPr>
              <w:rPr>
                <w:rFonts w:ascii="Times New Roman" w:hAnsi="Times New Roman" w:cs="Times New Roman"/>
                <w:i/>
                <w:iCs/>
                <w:sz w:val="24"/>
                <w:szCs w:val="24"/>
              </w:rPr>
            </w:pPr>
          </w:p>
        </w:tc>
      </w:tr>
      <w:tr w:rsidR="00F279FB" w:rsidRPr="00CC48C7" w14:paraId="34CDBF76" w14:textId="77777777" w:rsidTr="00495188">
        <w:tc>
          <w:tcPr>
            <w:tcW w:w="704" w:type="dxa"/>
          </w:tcPr>
          <w:p w14:paraId="289EA7CE" w14:textId="643A8C5C" w:rsidR="00F279FB" w:rsidRPr="00CC48C7" w:rsidRDefault="00495188"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5670"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495188">
        <w:tc>
          <w:tcPr>
            <w:tcW w:w="704" w:type="dxa"/>
          </w:tcPr>
          <w:p w14:paraId="406531C6" w14:textId="4C0CC82D" w:rsidR="00F279FB" w:rsidRPr="00CC48C7" w:rsidRDefault="00495188"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5670" w:type="dxa"/>
          </w:tcPr>
          <w:p w14:paraId="1DB5F8D6" w14:textId="5019D670" w:rsidR="00F279FB" w:rsidRPr="002A0BAC" w:rsidRDefault="00F279FB" w:rsidP="00495188">
            <w:pPr>
              <w:jc w:val="both"/>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F279FB" w:rsidRPr="00CC48C7" w14:paraId="65DF7F8C" w14:textId="77777777" w:rsidTr="00495188">
        <w:tc>
          <w:tcPr>
            <w:tcW w:w="704" w:type="dxa"/>
          </w:tcPr>
          <w:p w14:paraId="1E3C0F42" w14:textId="39FCE5E2" w:rsidR="00F279FB" w:rsidRPr="00CC48C7" w:rsidRDefault="00495188"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2</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5670"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2057EC1D" w14:textId="111583C1" w:rsidR="00AA21CA" w:rsidRPr="00CC48C7" w:rsidRDefault="00AA21CA" w:rsidP="00CE2A14">
      <w:pPr>
        <w:rPr>
          <w:rFonts w:ascii="Times New Roman" w:hAnsi="Times New Roman" w:cs="Times New Roman"/>
          <w:sz w:val="24"/>
          <w:szCs w:val="24"/>
        </w:rPr>
      </w:pPr>
    </w:p>
    <w:sectPr w:rsidR="00AA21CA" w:rsidRPr="00CC48C7" w:rsidSect="00495188">
      <w:footerReference w:type="default" r:id="rId9"/>
      <w:pgSz w:w="12240" w:h="15840"/>
      <w:pgMar w:top="851" w:right="616"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6462" w14:textId="77777777" w:rsidR="002C61BC" w:rsidRDefault="002C61BC" w:rsidP="003D5464">
      <w:pPr>
        <w:spacing w:after="0" w:line="240" w:lineRule="auto"/>
      </w:pPr>
      <w:r>
        <w:separator/>
      </w:r>
    </w:p>
  </w:endnote>
  <w:endnote w:type="continuationSeparator" w:id="0">
    <w:p w14:paraId="6E70AE73" w14:textId="77777777" w:rsidR="002C61BC" w:rsidRDefault="002C61BC"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D3D6" w14:textId="77777777" w:rsidR="002C61BC" w:rsidRDefault="002C61BC" w:rsidP="003D5464">
      <w:pPr>
        <w:spacing w:after="0" w:line="240" w:lineRule="auto"/>
      </w:pPr>
      <w:r>
        <w:separator/>
      </w:r>
    </w:p>
  </w:footnote>
  <w:footnote w:type="continuationSeparator" w:id="0">
    <w:p w14:paraId="5D586BDD" w14:textId="77777777" w:rsidR="002C61BC" w:rsidRDefault="002C61BC"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449C88E0" w14:textId="77777777" w:rsidR="00495188" w:rsidRPr="00EB53B3" w:rsidRDefault="00495188" w:rsidP="00495188">
      <w:pPr>
        <w:pStyle w:val="FootnoteText"/>
        <w:jc w:val="both"/>
        <w:rPr>
          <w:rFonts w:ascii="Times New Roman" w:hAnsi="Times New Roman" w:cs="Times New Roman"/>
        </w:rPr>
      </w:pPr>
      <w:r w:rsidRPr="00EB53B3">
        <w:rPr>
          <w:rStyle w:val="FootnoteReference"/>
          <w:rFonts w:ascii="Times New Roman" w:hAnsi="Times New Roman" w:cs="Times New Roman"/>
        </w:rPr>
        <w:footnoteRef/>
      </w:r>
      <w:r w:rsidRPr="00EB53B3">
        <w:rPr>
          <w:rFonts w:ascii="Times New Roman" w:hAnsi="Times New Roman" w:cs="Times New Roman"/>
        </w:rPr>
        <w:t xml:space="preserve"> </w:t>
      </w:r>
      <w:r w:rsidRPr="00EB53B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66829F01" w14:textId="4CA72E90" w:rsidR="007D0E0B" w:rsidRPr="00A74BEF" w:rsidRDefault="00012855" w:rsidP="00495188">
      <w:pPr>
        <w:pStyle w:val="FootnoteText"/>
        <w:ind w:right="-22"/>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6B5C54"/>
    <w:multiLevelType w:val="hybridMultilevel"/>
    <w:tmpl w:val="9DAE82D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6"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3"/>
  </w:num>
  <w:num w:numId="2" w16cid:durableId="1084492814">
    <w:abstractNumId w:val="6"/>
  </w:num>
  <w:num w:numId="3" w16cid:durableId="1251235785">
    <w:abstractNumId w:val="0"/>
  </w:num>
  <w:num w:numId="4" w16cid:durableId="1933196510">
    <w:abstractNumId w:val="1"/>
  </w:num>
  <w:num w:numId="5" w16cid:durableId="1622420319">
    <w:abstractNumId w:val="5"/>
  </w:num>
  <w:num w:numId="6" w16cid:durableId="1389765531">
    <w:abstractNumId w:val="7"/>
  </w:num>
  <w:num w:numId="7" w16cid:durableId="1929535461">
    <w:abstractNumId w:val="2"/>
  </w:num>
  <w:num w:numId="8" w16cid:durableId="2506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430A6"/>
    <w:rsid w:val="000535A9"/>
    <w:rsid w:val="00073AF5"/>
    <w:rsid w:val="0008055A"/>
    <w:rsid w:val="000853D5"/>
    <w:rsid w:val="000855F8"/>
    <w:rsid w:val="000A1775"/>
    <w:rsid w:val="000B4A07"/>
    <w:rsid w:val="000D1267"/>
    <w:rsid w:val="000D346C"/>
    <w:rsid w:val="000E1ED9"/>
    <w:rsid w:val="00116FED"/>
    <w:rsid w:val="00135390"/>
    <w:rsid w:val="00144882"/>
    <w:rsid w:val="00146FA3"/>
    <w:rsid w:val="001536A9"/>
    <w:rsid w:val="00156272"/>
    <w:rsid w:val="00185EB5"/>
    <w:rsid w:val="00190252"/>
    <w:rsid w:val="001A1A49"/>
    <w:rsid w:val="001A7478"/>
    <w:rsid w:val="001D6612"/>
    <w:rsid w:val="001D6B9D"/>
    <w:rsid w:val="001D7743"/>
    <w:rsid w:val="001E70C7"/>
    <w:rsid w:val="00210007"/>
    <w:rsid w:val="00224080"/>
    <w:rsid w:val="0023153D"/>
    <w:rsid w:val="00245DCD"/>
    <w:rsid w:val="002553A9"/>
    <w:rsid w:val="00256F40"/>
    <w:rsid w:val="00266D02"/>
    <w:rsid w:val="002730E6"/>
    <w:rsid w:val="002824C8"/>
    <w:rsid w:val="00294150"/>
    <w:rsid w:val="002A0BAC"/>
    <w:rsid w:val="002A6456"/>
    <w:rsid w:val="002A65AE"/>
    <w:rsid w:val="002B4915"/>
    <w:rsid w:val="002C61BC"/>
    <w:rsid w:val="002F3C0D"/>
    <w:rsid w:val="002F3F46"/>
    <w:rsid w:val="002F43C4"/>
    <w:rsid w:val="002F5F4F"/>
    <w:rsid w:val="00311952"/>
    <w:rsid w:val="00317CEE"/>
    <w:rsid w:val="00337BF2"/>
    <w:rsid w:val="00340A01"/>
    <w:rsid w:val="0034339F"/>
    <w:rsid w:val="00346112"/>
    <w:rsid w:val="003802AB"/>
    <w:rsid w:val="003830BB"/>
    <w:rsid w:val="00383CD2"/>
    <w:rsid w:val="003A5EC9"/>
    <w:rsid w:val="003B6C12"/>
    <w:rsid w:val="003D5464"/>
    <w:rsid w:val="003F0017"/>
    <w:rsid w:val="003F36DD"/>
    <w:rsid w:val="00402016"/>
    <w:rsid w:val="004051BE"/>
    <w:rsid w:val="00433F65"/>
    <w:rsid w:val="00451208"/>
    <w:rsid w:val="00483ED5"/>
    <w:rsid w:val="00495188"/>
    <w:rsid w:val="004A040B"/>
    <w:rsid w:val="004A50BA"/>
    <w:rsid w:val="004A73E4"/>
    <w:rsid w:val="004C0EFC"/>
    <w:rsid w:val="004D028F"/>
    <w:rsid w:val="004D2F2B"/>
    <w:rsid w:val="004D712F"/>
    <w:rsid w:val="004D71D4"/>
    <w:rsid w:val="004E0CCF"/>
    <w:rsid w:val="004E541A"/>
    <w:rsid w:val="004E78A7"/>
    <w:rsid w:val="004F2EEE"/>
    <w:rsid w:val="00504207"/>
    <w:rsid w:val="005101E6"/>
    <w:rsid w:val="005119D8"/>
    <w:rsid w:val="00531A86"/>
    <w:rsid w:val="00561A95"/>
    <w:rsid w:val="005875A7"/>
    <w:rsid w:val="00591C67"/>
    <w:rsid w:val="005D0BB8"/>
    <w:rsid w:val="005D4CCA"/>
    <w:rsid w:val="00610C7F"/>
    <w:rsid w:val="0062156A"/>
    <w:rsid w:val="00646667"/>
    <w:rsid w:val="006472F9"/>
    <w:rsid w:val="00655584"/>
    <w:rsid w:val="00656256"/>
    <w:rsid w:val="006600C7"/>
    <w:rsid w:val="0068301A"/>
    <w:rsid w:val="00683A83"/>
    <w:rsid w:val="00684AA4"/>
    <w:rsid w:val="0068624A"/>
    <w:rsid w:val="006C3205"/>
    <w:rsid w:val="006C57DD"/>
    <w:rsid w:val="006E385C"/>
    <w:rsid w:val="006E38B3"/>
    <w:rsid w:val="006F15C3"/>
    <w:rsid w:val="006F4DA0"/>
    <w:rsid w:val="00704914"/>
    <w:rsid w:val="0071255E"/>
    <w:rsid w:val="00722915"/>
    <w:rsid w:val="00730C52"/>
    <w:rsid w:val="00745EFD"/>
    <w:rsid w:val="00756BA3"/>
    <w:rsid w:val="00770940"/>
    <w:rsid w:val="0078174F"/>
    <w:rsid w:val="0079521A"/>
    <w:rsid w:val="00797BD1"/>
    <w:rsid w:val="007A2D3E"/>
    <w:rsid w:val="007A3A4A"/>
    <w:rsid w:val="007A4971"/>
    <w:rsid w:val="007D0E0B"/>
    <w:rsid w:val="007E56AB"/>
    <w:rsid w:val="007F5967"/>
    <w:rsid w:val="007F5D7F"/>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B6A9C"/>
    <w:rsid w:val="008D3124"/>
    <w:rsid w:val="008E06E1"/>
    <w:rsid w:val="00916036"/>
    <w:rsid w:val="00940FBC"/>
    <w:rsid w:val="0095179D"/>
    <w:rsid w:val="00957D12"/>
    <w:rsid w:val="009647EC"/>
    <w:rsid w:val="00964820"/>
    <w:rsid w:val="00967B8A"/>
    <w:rsid w:val="009857B1"/>
    <w:rsid w:val="00986444"/>
    <w:rsid w:val="009C0D8A"/>
    <w:rsid w:val="009D64BC"/>
    <w:rsid w:val="009E2BE7"/>
    <w:rsid w:val="009F036E"/>
    <w:rsid w:val="009F2385"/>
    <w:rsid w:val="00A04968"/>
    <w:rsid w:val="00A11C2D"/>
    <w:rsid w:val="00A1570C"/>
    <w:rsid w:val="00A249B0"/>
    <w:rsid w:val="00A351F3"/>
    <w:rsid w:val="00A52F59"/>
    <w:rsid w:val="00A6179F"/>
    <w:rsid w:val="00A61CDC"/>
    <w:rsid w:val="00A718EB"/>
    <w:rsid w:val="00A7580C"/>
    <w:rsid w:val="00A758A9"/>
    <w:rsid w:val="00A83E5A"/>
    <w:rsid w:val="00AA21CA"/>
    <w:rsid w:val="00AA3DD9"/>
    <w:rsid w:val="00AB0D90"/>
    <w:rsid w:val="00AB4730"/>
    <w:rsid w:val="00AC165B"/>
    <w:rsid w:val="00AC2C32"/>
    <w:rsid w:val="00AC4C39"/>
    <w:rsid w:val="00AD20E6"/>
    <w:rsid w:val="00AD2ACE"/>
    <w:rsid w:val="00AE0F22"/>
    <w:rsid w:val="00AF2AE8"/>
    <w:rsid w:val="00B069B1"/>
    <w:rsid w:val="00B23AE1"/>
    <w:rsid w:val="00B37E3B"/>
    <w:rsid w:val="00B41298"/>
    <w:rsid w:val="00B451BB"/>
    <w:rsid w:val="00B55289"/>
    <w:rsid w:val="00B64EBB"/>
    <w:rsid w:val="00BA1CF4"/>
    <w:rsid w:val="00BB7A29"/>
    <w:rsid w:val="00BC1D31"/>
    <w:rsid w:val="00BE2E3E"/>
    <w:rsid w:val="00BE4A8E"/>
    <w:rsid w:val="00BF4C93"/>
    <w:rsid w:val="00BF539B"/>
    <w:rsid w:val="00C24C87"/>
    <w:rsid w:val="00C36A91"/>
    <w:rsid w:val="00C40A2D"/>
    <w:rsid w:val="00C44E19"/>
    <w:rsid w:val="00C45EC7"/>
    <w:rsid w:val="00C70F9F"/>
    <w:rsid w:val="00C8068F"/>
    <w:rsid w:val="00C80D48"/>
    <w:rsid w:val="00C8116E"/>
    <w:rsid w:val="00C965C2"/>
    <w:rsid w:val="00CC48C7"/>
    <w:rsid w:val="00CC4F2C"/>
    <w:rsid w:val="00CD1AD0"/>
    <w:rsid w:val="00CE0DFB"/>
    <w:rsid w:val="00CE2A14"/>
    <w:rsid w:val="00D03D81"/>
    <w:rsid w:val="00D33C6B"/>
    <w:rsid w:val="00D51C9C"/>
    <w:rsid w:val="00D7008F"/>
    <w:rsid w:val="00D74980"/>
    <w:rsid w:val="00D8784A"/>
    <w:rsid w:val="00D970CB"/>
    <w:rsid w:val="00DA17E2"/>
    <w:rsid w:val="00DD4DBD"/>
    <w:rsid w:val="00DE27A8"/>
    <w:rsid w:val="00DE4380"/>
    <w:rsid w:val="00DE5910"/>
    <w:rsid w:val="00DF4D86"/>
    <w:rsid w:val="00E11E74"/>
    <w:rsid w:val="00E27349"/>
    <w:rsid w:val="00E3532D"/>
    <w:rsid w:val="00E441F7"/>
    <w:rsid w:val="00E54C15"/>
    <w:rsid w:val="00E761F9"/>
    <w:rsid w:val="00E824CE"/>
    <w:rsid w:val="00E93A2E"/>
    <w:rsid w:val="00EA36D9"/>
    <w:rsid w:val="00EC583E"/>
    <w:rsid w:val="00ED08ED"/>
    <w:rsid w:val="00EE056B"/>
    <w:rsid w:val="00F10E30"/>
    <w:rsid w:val="00F12A35"/>
    <w:rsid w:val="00F2204B"/>
    <w:rsid w:val="00F279FB"/>
    <w:rsid w:val="00F31466"/>
    <w:rsid w:val="00F43BDB"/>
    <w:rsid w:val="00F53BC2"/>
    <w:rsid w:val="00F5512E"/>
    <w:rsid w:val="00F56B0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2"/>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1868</Words>
  <Characters>1065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6</cp:revision>
  <dcterms:created xsi:type="dcterms:W3CDTF">2026-06-11T13:09:00Z</dcterms:created>
  <dcterms:modified xsi:type="dcterms:W3CDTF">2026-06-12T08:32:00Z</dcterms:modified>
</cp:coreProperties>
</file>