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1DD4" w14:textId="148C2036" w:rsidR="00A27FBA" w:rsidRDefault="00A27FBA" w:rsidP="007B7719">
      <w:pPr>
        <w:jc w:val="right"/>
        <w:rPr>
          <w:rFonts w:ascii="Times New Roman" w:hAnsi="Times New Roman" w:cs="Times New Roman"/>
          <w:b/>
          <w:sz w:val="24"/>
          <w:szCs w:val="24"/>
          <w:lang w:val="lt-LT"/>
        </w:rPr>
      </w:pPr>
      <w:r w:rsidRPr="00A27FBA">
        <w:rPr>
          <w:rFonts w:ascii="Aptos" w:eastAsia="Aptos" w:hAnsi="Aptos" w:cs="Times New Roman"/>
          <w:noProof/>
          <w:kern w:val="2"/>
          <w14:ligatures w14:val="standardContextual"/>
        </w:rPr>
        <w:drawing>
          <wp:inline distT="0" distB="0" distL="0" distR="0" wp14:anchorId="5EBC823F" wp14:editId="00DD816F">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78D7B7BA" w14:textId="77777777" w:rsidR="00A27FBA" w:rsidRDefault="00D308B6" w:rsidP="007B7719">
      <w:pPr>
        <w:jc w:val="right"/>
        <w:rPr>
          <w:rFonts w:ascii="Times New Roman" w:hAnsi="Times New Roman" w:cs="Times New Roman"/>
          <w:b/>
          <w:sz w:val="24"/>
          <w:szCs w:val="24"/>
          <w:lang w:val="lt-LT"/>
        </w:rPr>
      </w:pPr>
      <w:r w:rsidRPr="002616A1">
        <w:rPr>
          <w:rFonts w:ascii="Times New Roman" w:hAnsi="Times New Roman" w:cs="Times New Roman"/>
          <w:b/>
          <w:sz w:val="24"/>
          <w:szCs w:val="24"/>
          <w:lang w:val="lt-LT"/>
        </w:rPr>
        <w:t>Priedas Nr. 1</w:t>
      </w:r>
    </w:p>
    <w:p w14:paraId="76ECCA1D" w14:textId="578A89DD" w:rsidR="006312B2" w:rsidRPr="002616A1" w:rsidRDefault="00D308B6" w:rsidP="00A27FBA">
      <w:pPr>
        <w:jc w:val="center"/>
        <w:rPr>
          <w:rFonts w:ascii="Times New Roman" w:hAnsi="Times New Roman" w:cs="Times New Roman"/>
          <w:sz w:val="24"/>
          <w:szCs w:val="24"/>
          <w:lang w:val="lt-LT"/>
        </w:rPr>
      </w:pPr>
      <w:r w:rsidRPr="002616A1">
        <w:rPr>
          <w:rFonts w:ascii="Times New Roman" w:hAnsi="Times New Roman" w:cs="Times New Roman"/>
          <w:b/>
          <w:sz w:val="24"/>
          <w:szCs w:val="24"/>
          <w:lang w:val="lt-LT"/>
        </w:rPr>
        <w:br/>
        <w:t>Techninė specifikacija</w:t>
      </w:r>
    </w:p>
    <w:p w14:paraId="73A472B9" w14:textId="1CCF0757" w:rsidR="00DC4B6F" w:rsidRPr="002616A1" w:rsidRDefault="00A347AB" w:rsidP="0012483D">
      <w:pPr>
        <w:pStyle w:val="ListParagraph"/>
        <w:spacing w:line="240" w:lineRule="auto"/>
        <w:jc w:val="both"/>
        <w:rPr>
          <w:rFonts w:ascii="Times New Roman" w:hAnsi="Times New Roman" w:cs="Times New Roman"/>
          <w:b/>
          <w:bCs/>
          <w:sz w:val="24"/>
          <w:szCs w:val="24"/>
          <w:lang w:val="lt-LT"/>
        </w:rPr>
      </w:pPr>
      <w:proofErr w:type="spellStart"/>
      <w:r>
        <w:rPr>
          <w:rFonts w:ascii="Times New Roman" w:hAnsi="Times New Roman" w:cs="Times New Roman"/>
          <w:b/>
          <w:bCs/>
          <w:sz w:val="24"/>
          <w:szCs w:val="24"/>
          <w:lang w:val="lt-LT"/>
        </w:rPr>
        <w:t>F</w:t>
      </w:r>
      <w:r w:rsidRPr="00A347AB">
        <w:rPr>
          <w:rFonts w:ascii="Times New Roman" w:hAnsi="Times New Roman" w:cs="Times New Roman"/>
          <w:b/>
          <w:bCs/>
          <w:sz w:val="24"/>
          <w:szCs w:val="24"/>
          <w:lang w:val="lt-LT"/>
        </w:rPr>
        <w:t>otoakustinis</w:t>
      </w:r>
      <w:proofErr w:type="spellEnd"/>
      <w:r w:rsidRPr="00A347AB">
        <w:rPr>
          <w:rFonts w:ascii="Times New Roman" w:hAnsi="Times New Roman" w:cs="Times New Roman"/>
          <w:b/>
          <w:bCs/>
          <w:sz w:val="24"/>
          <w:szCs w:val="24"/>
          <w:lang w:val="lt-LT"/>
        </w:rPr>
        <w:t xml:space="preserve"> dujų sudėties analizatorius</w:t>
      </w:r>
      <w:r w:rsidR="00520787" w:rsidRPr="002616A1">
        <w:rPr>
          <w:rFonts w:ascii="Times New Roman" w:hAnsi="Times New Roman" w:cs="Times New Roman"/>
          <w:b/>
          <w:bCs/>
          <w:sz w:val="24"/>
          <w:szCs w:val="24"/>
          <w:lang w:val="lt-LT"/>
        </w:rPr>
        <w:t xml:space="preserve"> – 1 </w:t>
      </w:r>
      <w:proofErr w:type="spellStart"/>
      <w:r w:rsidR="00520787" w:rsidRPr="002616A1">
        <w:rPr>
          <w:rFonts w:ascii="Times New Roman" w:hAnsi="Times New Roman" w:cs="Times New Roman"/>
          <w:b/>
          <w:bCs/>
          <w:sz w:val="24"/>
          <w:szCs w:val="24"/>
          <w:lang w:val="lt-LT"/>
        </w:rPr>
        <w:t>kompl</w:t>
      </w:r>
      <w:proofErr w:type="spellEnd"/>
      <w:r w:rsidR="00520787" w:rsidRPr="002616A1">
        <w:rPr>
          <w:rFonts w:ascii="Times New Roman" w:hAnsi="Times New Roman" w:cs="Times New Roman"/>
          <w:b/>
          <w:bCs/>
          <w:sz w:val="24"/>
          <w:szCs w:val="24"/>
          <w:lang w:val="lt-LT"/>
        </w:rPr>
        <w:t>.</w:t>
      </w:r>
    </w:p>
    <w:p w14:paraId="5D48714F" w14:textId="4EDE89FD" w:rsidR="00520787" w:rsidRPr="002616A1" w:rsidRDefault="00D308B6" w:rsidP="00DC4B6F">
      <w:pPr>
        <w:pStyle w:val="ListParagraph"/>
        <w:spacing w:line="240" w:lineRule="auto"/>
        <w:jc w:val="both"/>
        <w:rPr>
          <w:rFonts w:ascii="Times New Roman" w:hAnsi="Times New Roman" w:cs="Times New Roman"/>
          <w:b/>
          <w:bCs/>
          <w:sz w:val="24"/>
          <w:szCs w:val="24"/>
          <w:lang w:val="lt-LT"/>
        </w:rPr>
      </w:pPr>
      <w:r w:rsidRPr="002616A1">
        <w:rPr>
          <w:rFonts w:ascii="Times New Roman" w:hAnsi="Times New Roman" w:cs="Times New Roman"/>
          <w:sz w:val="24"/>
          <w:szCs w:val="24"/>
          <w:lang w:val="lt-LT"/>
        </w:rPr>
        <w:br/>
      </w:r>
      <w:r w:rsidR="00520787" w:rsidRPr="002616A1">
        <w:rPr>
          <w:rFonts w:ascii="Times New Roman" w:hAnsi="Times New Roman" w:cs="Times New Roman"/>
          <w:sz w:val="24"/>
          <w:szCs w:val="24"/>
          <w:lang w:val="lt-LT"/>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00520787" w:rsidRPr="002616A1">
        <w:rPr>
          <w:rFonts w:ascii="Times New Roman" w:eastAsia="MS Mincho" w:hAnsi="Times New Roman" w:cs="Times New Roman"/>
          <w:sz w:val="24"/>
          <w:szCs w:val="24"/>
          <w:lang w:val="lt-LT"/>
        </w:rPr>
        <w:t>tiekėjo ar gamintojo parengti komplektacijos aprašai arba kiti lygiaverčiai dokumentai</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b/>
          <w:bCs/>
          <w:sz w:val="24"/>
          <w:szCs w:val="24"/>
          <w:lang w:val="lt-LT"/>
        </w:rPr>
        <w:t>toliau – pagrindžiantys dokumentai</w:t>
      </w:r>
      <w:r w:rsidR="00520787" w:rsidRPr="002616A1">
        <w:rPr>
          <w:rFonts w:ascii="Times New Roman" w:hAnsi="Times New Roman" w:cs="Times New Roman"/>
          <w:sz w:val="24"/>
          <w:szCs w:val="24"/>
          <w:lang w:val="lt-LT"/>
        </w:rPr>
        <w:t>)</w:t>
      </w:r>
      <w:r w:rsidR="007B7719">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bl>
      <w:tblPr>
        <w:tblStyle w:val="TableGrid"/>
        <w:tblW w:w="9209" w:type="dxa"/>
        <w:jc w:val="center"/>
        <w:tblLook w:val="04A0" w:firstRow="1" w:lastRow="0" w:firstColumn="1" w:lastColumn="0" w:noHBand="0" w:noVBand="1"/>
      </w:tblPr>
      <w:tblGrid>
        <w:gridCol w:w="709"/>
        <w:gridCol w:w="1842"/>
        <w:gridCol w:w="2830"/>
        <w:gridCol w:w="3828"/>
      </w:tblGrid>
      <w:tr w:rsidR="00520787" w:rsidRPr="00A347AB" w14:paraId="4DADFAE0" w14:textId="77777777" w:rsidTr="007915AC">
        <w:trPr>
          <w:jc w:val="center"/>
        </w:trPr>
        <w:tc>
          <w:tcPr>
            <w:tcW w:w="709" w:type="dxa"/>
          </w:tcPr>
          <w:p w14:paraId="6A6D5829" w14:textId="10DDD76D"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Eil. Nr.</w:t>
            </w:r>
          </w:p>
        </w:tc>
        <w:tc>
          <w:tcPr>
            <w:tcW w:w="1842" w:type="dxa"/>
          </w:tcPr>
          <w:p w14:paraId="7FDC1381" w14:textId="32FD3D06"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Parametrai</w:t>
            </w:r>
          </w:p>
        </w:tc>
        <w:tc>
          <w:tcPr>
            <w:tcW w:w="2830" w:type="dxa"/>
          </w:tcPr>
          <w:p w14:paraId="38E52A4F" w14:textId="79AF8A67" w:rsidR="00520787" w:rsidRPr="002616A1" w:rsidRDefault="00520787" w:rsidP="00520787">
            <w:pPr>
              <w:rPr>
                <w:rFonts w:ascii="Times New Roman" w:hAnsi="Times New Roman" w:cs="Times New Roman"/>
                <w:sz w:val="24"/>
                <w:szCs w:val="24"/>
                <w:lang w:val="lt-LT"/>
              </w:rPr>
            </w:pPr>
            <w:r w:rsidRPr="002616A1">
              <w:rPr>
                <w:rFonts w:ascii="Times New Roman" w:hAnsi="Times New Roman" w:cs="Times New Roman"/>
                <w:b/>
                <w:bCs/>
                <w:sz w:val="24"/>
                <w:szCs w:val="24"/>
                <w:lang w:val="lt-LT"/>
              </w:rPr>
              <w:t>Reikalavimai parametrams</w:t>
            </w:r>
          </w:p>
        </w:tc>
        <w:tc>
          <w:tcPr>
            <w:tcW w:w="3828" w:type="dxa"/>
          </w:tcPr>
          <w:p w14:paraId="43F6718C" w14:textId="77777777" w:rsidR="00520787" w:rsidRPr="002616A1" w:rsidRDefault="00520787" w:rsidP="00520787">
            <w:pPr>
              <w:jc w:val="both"/>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Tiekėjo siūloma charakteristika</w:t>
            </w:r>
          </w:p>
          <w:p w14:paraId="606EDFD3" w14:textId="77777777" w:rsidR="00520787" w:rsidRPr="002616A1" w:rsidRDefault="00520787" w:rsidP="00520787">
            <w:pPr>
              <w:jc w:val="center"/>
              <w:rPr>
                <w:rFonts w:ascii="Times New Roman" w:hAnsi="Times New Roman" w:cs="Times New Roman"/>
                <w:b/>
                <w:bCs/>
                <w:i/>
                <w:iCs/>
                <w:sz w:val="24"/>
                <w:szCs w:val="24"/>
                <w:u w:val="single"/>
                <w:lang w:val="lt-LT"/>
              </w:rPr>
            </w:pPr>
            <w:r w:rsidRPr="002616A1">
              <w:rPr>
                <w:rFonts w:ascii="Times New Roman" w:hAnsi="Times New Roman" w:cs="Times New Roman"/>
                <w:b/>
                <w:bCs/>
                <w:i/>
                <w:iCs/>
                <w:sz w:val="24"/>
                <w:szCs w:val="24"/>
                <w:u w:val="single"/>
                <w:lang w:val="lt-LT"/>
              </w:rPr>
              <w:t>(pildo tiekėjas)</w:t>
            </w:r>
          </w:p>
          <w:p w14:paraId="188D84EF" w14:textId="77777777" w:rsidR="00520787" w:rsidRPr="002616A1" w:rsidRDefault="00520787" w:rsidP="00520787">
            <w:pPr>
              <w:jc w:val="center"/>
              <w:rPr>
                <w:rFonts w:ascii="Times New Roman" w:hAnsi="Times New Roman" w:cs="Times New Roman"/>
                <w:b/>
                <w:bCs/>
                <w:sz w:val="24"/>
                <w:szCs w:val="24"/>
                <w:u w:val="single"/>
                <w:lang w:val="lt-LT"/>
              </w:rPr>
            </w:pPr>
          </w:p>
          <w:p w14:paraId="08319227" w14:textId="77777777" w:rsidR="00520787" w:rsidRPr="002616A1" w:rsidRDefault="00520787" w:rsidP="00520787">
            <w:pPr>
              <w:spacing w:line="259" w:lineRule="auto"/>
              <w:jc w:val="both"/>
              <w:rPr>
                <w:rFonts w:ascii="Times New Roman" w:eastAsia="Aptos" w:hAnsi="Times New Roman" w:cs="Times New Roman"/>
                <w:b/>
                <w:bCs/>
                <w:sz w:val="24"/>
                <w:szCs w:val="24"/>
                <w:lang w:val="lt-LT" w:eastAsia="lt-LT"/>
              </w:rPr>
            </w:pPr>
            <w:r w:rsidRPr="002616A1">
              <w:rPr>
                <w:rFonts w:ascii="Times New Roman" w:eastAsia="Aptos" w:hAnsi="Times New Roman" w:cs="Times New Roman"/>
                <w:b/>
                <w:bCs/>
                <w:sz w:val="24"/>
                <w:szCs w:val="24"/>
                <w:lang w:val="lt-LT" w:eastAsia="lt-LT"/>
              </w:rPr>
              <w:t>Tiekėjas pildo kiekvieną reikalavimą su atitinkama siūloma reikšme.</w:t>
            </w:r>
          </w:p>
          <w:p w14:paraId="4A94E8A6" w14:textId="70C0A706" w:rsidR="00520787" w:rsidRPr="002616A1" w:rsidRDefault="00520787" w:rsidP="00520787">
            <w:pPr>
              <w:rPr>
                <w:rFonts w:ascii="Times New Roman" w:hAnsi="Times New Roman" w:cs="Times New Roman"/>
                <w:sz w:val="24"/>
                <w:szCs w:val="24"/>
                <w:lang w:val="lt-LT"/>
              </w:rPr>
            </w:pPr>
            <w:r w:rsidRPr="002616A1">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2616A1">
              <w:rPr>
                <w:rFonts w:ascii="Times New Roman" w:eastAsia="Aptos" w:hAnsi="Times New Roman" w:cs="Times New Roman"/>
                <w:sz w:val="24"/>
                <w:szCs w:val="24"/>
                <w:highlight w:val="yellow"/>
                <w:lang w:val="lt-LT" w:eastAsia="lt-LT"/>
              </w:rPr>
              <w:t>_______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 pateikiamą dokumentą</w:t>
            </w:r>
            <w:r w:rsidRPr="002616A1">
              <w:rPr>
                <w:rFonts w:ascii="Times New Roman" w:eastAsia="Aptos" w:hAnsi="Times New Roman" w:cs="Times New Roman"/>
                <w:sz w:val="24"/>
                <w:szCs w:val="24"/>
                <w:lang w:val="lt-LT" w:eastAsia="lt-LT"/>
              </w:rPr>
              <w:t xml:space="preserve">), kurio </w:t>
            </w:r>
            <w:r w:rsidRPr="002616A1">
              <w:rPr>
                <w:rFonts w:ascii="Times New Roman" w:eastAsia="Aptos" w:hAnsi="Times New Roman" w:cs="Times New Roman"/>
                <w:sz w:val="24"/>
                <w:szCs w:val="24"/>
                <w:highlight w:val="yellow"/>
                <w:lang w:val="lt-LT" w:eastAsia="lt-LT"/>
              </w:rPr>
              <w:t>_____</w:t>
            </w:r>
            <w:r w:rsidRPr="002616A1">
              <w:rPr>
                <w:rFonts w:ascii="Times New Roman" w:eastAsia="Aptos" w:hAnsi="Times New Roman" w:cs="Times New Roman"/>
                <w:sz w:val="24"/>
                <w:szCs w:val="24"/>
                <w:lang w:val="lt-LT" w:eastAsia="lt-LT"/>
              </w:rPr>
              <w:t xml:space="preserve"> (</w:t>
            </w:r>
            <w:r w:rsidRPr="002616A1">
              <w:rPr>
                <w:rFonts w:ascii="Times New Roman" w:eastAsia="Aptos" w:hAnsi="Times New Roman" w:cs="Times New Roman"/>
                <w:i/>
                <w:iCs/>
                <w:sz w:val="24"/>
                <w:szCs w:val="24"/>
                <w:lang w:val="lt-LT" w:eastAsia="lt-LT"/>
              </w:rPr>
              <w:t>nurodyti</w:t>
            </w:r>
            <w:r w:rsidRPr="002616A1">
              <w:rPr>
                <w:rFonts w:ascii="Times New Roman" w:eastAsia="Aptos" w:hAnsi="Times New Roman" w:cs="Times New Roman"/>
                <w:sz w:val="24"/>
                <w:szCs w:val="24"/>
                <w:lang w:val="lt-LT" w:eastAsia="lt-LT"/>
              </w:rPr>
              <w:t>) puslapyje pateikta atžyma apie parametro reikšmę</w:t>
            </w:r>
          </w:p>
        </w:tc>
      </w:tr>
      <w:tr w:rsidR="00520787" w:rsidRPr="002616A1" w14:paraId="7F725024" w14:textId="77777777" w:rsidTr="007915AC">
        <w:trPr>
          <w:jc w:val="center"/>
        </w:trPr>
        <w:tc>
          <w:tcPr>
            <w:tcW w:w="709" w:type="dxa"/>
          </w:tcPr>
          <w:p w14:paraId="6BF6ED75" w14:textId="5F7979A0"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1</w:t>
            </w:r>
          </w:p>
        </w:tc>
        <w:tc>
          <w:tcPr>
            <w:tcW w:w="1842" w:type="dxa"/>
          </w:tcPr>
          <w:p w14:paraId="7B0087ED" w14:textId="523BD567"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2</w:t>
            </w:r>
          </w:p>
        </w:tc>
        <w:tc>
          <w:tcPr>
            <w:tcW w:w="2830" w:type="dxa"/>
          </w:tcPr>
          <w:p w14:paraId="5E6B9AFD" w14:textId="5C76A7EF"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3</w:t>
            </w:r>
          </w:p>
        </w:tc>
        <w:tc>
          <w:tcPr>
            <w:tcW w:w="3828" w:type="dxa"/>
          </w:tcPr>
          <w:p w14:paraId="6125BA8B" w14:textId="4F155BA8" w:rsidR="00520787" w:rsidRPr="002616A1" w:rsidRDefault="00520787" w:rsidP="00D529DD">
            <w:pPr>
              <w:jc w:val="center"/>
              <w:rPr>
                <w:rFonts w:ascii="Times New Roman" w:hAnsi="Times New Roman" w:cs="Times New Roman"/>
                <w:b/>
                <w:bCs/>
                <w:sz w:val="24"/>
                <w:szCs w:val="24"/>
                <w:lang w:val="lt-LT"/>
              </w:rPr>
            </w:pPr>
            <w:r w:rsidRPr="002616A1">
              <w:rPr>
                <w:rFonts w:ascii="Times New Roman" w:hAnsi="Times New Roman" w:cs="Times New Roman"/>
                <w:b/>
                <w:bCs/>
                <w:sz w:val="24"/>
                <w:szCs w:val="24"/>
                <w:lang w:val="lt-LT"/>
              </w:rPr>
              <w:t>4</w:t>
            </w:r>
          </w:p>
        </w:tc>
      </w:tr>
      <w:tr w:rsidR="006312B2" w:rsidRPr="00A347AB" w14:paraId="7C6DC355" w14:textId="77777777" w:rsidTr="007915AC">
        <w:trPr>
          <w:jc w:val="center"/>
        </w:trPr>
        <w:tc>
          <w:tcPr>
            <w:tcW w:w="709" w:type="dxa"/>
          </w:tcPr>
          <w:p w14:paraId="267E43A9" w14:textId="0A77CCA9"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sidR="00E17B9A">
              <w:rPr>
                <w:rFonts w:ascii="Times New Roman" w:hAnsi="Times New Roman" w:cs="Times New Roman"/>
                <w:sz w:val="24"/>
                <w:szCs w:val="24"/>
                <w:lang w:val="lt-LT"/>
              </w:rPr>
              <w:t>.</w:t>
            </w:r>
          </w:p>
        </w:tc>
        <w:tc>
          <w:tcPr>
            <w:tcW w:w="1842" w:type="dxa"/>
          </w:tcPr>
          <w:p w14:paraId="54F66D88"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Paskirtis</w:t>
            </w:r>
          </w:p>
        </w:tc>
        <w:tc>
          <w:tcPr>
            <w:tcW w:w="2830" w:type="dxa"/>
          </w:tcPr>
          <w:p w14:paraId="0CD4CAA8" w14:textId="76AF5871" w:rsidR="006312B2" w:rsidRPr="002616A1" w:rsidRDefault="00F5348D"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Turi būti skirta:</w:t>
            </w:r>
            <w:r w:rsidR="00520787" w:rsidRPr="002616A1">
              <w:rPr>
                <w:rFonts w:ascii="Times New Roman" w:hAnsi="Times New Roman" w:cs="Times New Roman"/>
                <w:sz w:val="24"/>
                <w:szCs w:val="24"/>
                <w:lang w:val="lt-LT"/>
              </w:rPr>
              <w:t xml:space="preserve"> metano (CH</w:t>
            </w:r>
            <w:r w:rsidR="005F0819" w:rsidRPr="002616A1">
              <w:rPr>
                <w:rFonts w:ascii="Times New Roman" w:hAnsi="Times New Roman" w:cs="Times New Roman"/>
                <w:sz w:val="24"/>
                <w:szCs w:val="24"/>
                <w:vertAlign w:val="subscript"/>
                <w:lang w:val="lt-LT"/>
              </w:rPr>
              <w:t>4</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azoto </w:t>
            </w:r>
            <w:proofErr w:type="spellStart"/>
            <w:r w:rsidR="00520787" w:rsidRPr="002616A1">
              <w:rPr>
                <w:rFonts w:ascii="Times New Roman" w:hAnsi="Times New Roman" w:cs="Times New Roman"/>
                <w:sz w:val="24"/>
                <w:szCs w:val="24"/>
                <w:lang w:val="lt-LT"/>
              </w:rPr>
              <w:t>suboksido</w:t>
            </w:r>
            <w:proofErr w:type="spellEnd"/>
            <w:r w:rsidR="005F0819" w:rsidRPr="002616A1">
              <w:rPr>
                <w:rFonts w:ascii="Times New Roman" w:hAnsi="Times New Roman" w:cs="Times New Roman"/>
                <w:sz w:val="24"/>
                <w:szCs w:val="24"/>
                <w:lang w:val="lt-LT"/>
              </w:rPr>
              <w:t xml:space="preserve"> (N</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O)</w:t>
            </w:r>
            <w:r w:rsidR="00520787" w:rsidRPr="002616A1">
              <w:rPr>
                <w:rFonts w:ascii="Times New Roman" w:hAnsi="Times New Roman" w:cs="Times New Roman"/>
                <w:sz w:val="24"/>
                <w:szCs w:val="24"/>
                <w:lang w:val="lt-LT"/>
              </w:rPr>
              <w:t>, anglies dioksido</w:t>
            </w:r>
            <w:r w:rsidR="005F0819" w:rsidRPr="002616A1">
              <w:rPr>
                <w:rFonts w:ascii="Times New Roman" w:hAnsi="Times New Roman" w:cs="Times New Roman"/>
                <w:sz w:val="24"/>
                <w:szCs w:val="24"/>
                <w:lang w:val="lt-LT"/>
              </w:rPr>
              <w:t xml:space="preserve"> (CO</w:t>
            </w:r>
            <w:r w:rsidR="005F0819" w:rsidRPr="002616A1">
              <w:rPr>
                <w:rFonts w:ascii="Times New Roman" w:hAnsi="Times New Roman" w:cs="Times New Roman"/>
                <w:sz w:val="24"/>
                <w:szCs w:val="24"/>
                <w:vertAlign w:val="subscript"/>
                <w:lang w:val="lt-LT"/>
              </w:rPr>
              <w:t>2</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amoniako</w:t>
            </w:r>
            <w:r w:rsidR="005F0819" w:rsidRPr="002616A1">
              <w:rPr>
                <w:rFonts w:ascii="Times New Roman" w:hAnsi="Times New Roman" w:cs="Times New Roman"/>
                <w:sz w:val="24"/>
                <w:szCs w:val="24"/>
                <w:lang w:val="lt-LT"/>
              </w:rPr>
              <w:t xml:space="preserve"> (NH</w:t>
            </w:r>
            <w:r w:rsidR="005F0819" w:rsidRPr="002616A1">
              <w:rPr>
                <w:rFonts w:ascii="Times New Roman" w:hAnsi="Times New Roman" w:cs="Times New Roman"/>
                <w:sz w:val="24"/>
                <w:szCs w:val="24"/>
                <w:vertAlign w:val="subscript"/>
                <w:lang w:val="lt-LT"/>
              </w:rPr>
              <w:t>3</w:t>
            </w:r>
            <w:r w:rsidR="005F0819" w:rsidRPr="002616A1">
              <w:rPr>
                <w:rFonts w:ascii="Times New Roman" w:hAnsi="Times New Roman" w:cs="Times New Roman"/>
                <w:sz w:val="24"/>
                <w:szCs w:val="24"/>
                <w:lang w:val="lt-LT"/>
              </w:rPr>
              <w:t>)</w:t>
            </w:r>
            <w:r w:rsidR="00520787" w:rsidRPr="002616A1">
              <w:rPr>
                <w:rFonts w:ascii="Times New Roman" w:hAnsi="Times New Roman" w:cs="Times New Roman"/>
                <w:sz w:val="24"/>
                <w:szCs w:val="24"/>
                <w:lang w:val="lt-LT"/>
              </w:rPr>
              <w:t xml:space="preserve"> </w:t>
            </w:r>
            <w:r w:rsidR="00520787" w:rsidRPr="002616A1">
              <w:rPr>
                <w:rFonts w:ascii="Times New Roman" w:hAnsi="Times New Roman" w:cs="Times New Roman"/>
                <w:sz w:val="24"/>
                <w:szCs w:val="24"/>
                <w:lang w:val="lt-LT"/>
              </w:rPr>
              <w:lastRenderedPageBreak/>
              <w:t>dujų kiekybiniam matavimui.</w:t>
            </w:r>
            <w:r w:rsidR="00D630D1" w:rsidRPr="002616A1">
              <w:rPr>
                <w:rFonts w:ascii="Times New Roman" w:hAnsi="Times New Roman" w:cs="Times New Roman"/>
                <w:sz w:val="24"/>
                <w:szCs w:val="24"/>
                <w:lang w:val="lt-LT"/>
              </w:rPr>
              <w:t xml:space="preserve"> </w:t>
            </w:r>
          </w:p>
        </w:tc>
        <w:tc>
          <w:tcPr>
            <w:tcW w:w="3828" w:type="dxa"/>
          </w:tcPr>
          <w:p w14:paraId="5A6F571C" w14:textId="6C4B9B03" w:rsidR="006312B2" w:rsidRPr="002616A1" w:rsidRDefault="006312B2">
            <w:pPr>
              <w:rPr>
                <w:rFonts w:ascii="Times New Roman" w:hAnsi="Times New Roman" w:cs="Times New Roman"/>
                <w:sz w:val="24"/>
                <w:szCs w:val="24"/>
                <w:lang w:val="lt-LT"/>
              </w:rPr>
            </w:pPr>
          </w:p>
        </w:tc>
      </w:tr>
      <w:tr w:rsidR="006312B2" w:rsidRPr="00A347AB" w14:paraId="43945128" w14:textId="77777777" w:rsidTr="007915AC">
        <w:trPr>
          <w:jc w:val="center"/>
        </w:trPr>
        <w:tc>
          <w:tcPr>
            <w:tcW w:w="709" w:type="dxa"/>
          </w:tcPr>
          <w:p w14:paraId="19EB7EE1" w14:textId="30F320C6"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2</w:t>
            </w:r>
            <w:r w:rsidR="00E17B9A">
              <w:rPr>
                <w:rFonts w:ascii="Times New Roman" w:hAnsi="Times New Roman" w:cs="Times New Roman"/>
                <w:sz w:val="24"/>
                <w:szCs w:val="24"/>
                <w:lang w:val="lt-LT"/>
              </w:rPr>
              <w:t>.</w:t>
            </w:r>
          </w:p>
        </w:tc>
        <w:tc>
          <w:tcPr>
            <w:tcW w:w="1842" w:type="dxa"/>
          </w:tcPr>
          <w:p w14:paraId="7A6F3FE6" w14:textId="77777777" w:rsidR="006312B2" w:rsidRPr="002616A1" w:rsidRDefault="00D308B6">
            <w:pPr>
              <w:rPr>
                <w:rFonts w:ascii="Times New Roman" w:hAnsi="Times New Roman" w:cs="Times New Roman"/>
                <w:sz w:val="24"/>
                <w:szCs w:val="24"/>
                <w:lang w:val="lt-LT"/>
              </w:rPr>
            </w:pPr>
            <w:r w:rsidRPr="002616A1">
              <w:rPr>
                <w:rFonts w:ascii="Times New Roman" w:hAnsi="Times New Roman" w:cs="Times New Roman"/>
                <w:sz w:val="24"/>
                <w:szCs w:val="24"/>
                <w:lang w:val="lt-LT"/>
              </w:rPr>
              <w:t>Matavimo principas</w:t>
            </w:r>
          </w:p>
        </w:tc>
        <w:tc>
          <w:tcPr>
            <w:tcW w:w="2830" w:type="dxa"/>
          </w:tcPr>
          <w:p w14:paraId="18F3434F" w14:textId="63C72C58" w:rsidR="006312B2" w:rsidRPr="002616A1" w:rsidRDefault="00D308B6" w:rsidP="0012483D">
            <w:pPr>
              <w:jc w:val="both"/>
              <w:rPr>
                <w:rFonts w:ascii="Times New Roman" w:hAnsi="Times New Roman" w:cs="Times New Roman"/>
                <w:sz w:val="24"/>
                <w:szCs w:val="24"/>
                <w:lang w:val="lt-LT"/>
              </w:rPr>
            </w:pPr>
            <w:proofErr w:type="spellStart"/>
            <w:r w:rsidRPr="002616A1">
              <w:rPr>
                <w:rFonts w:ascii="Times New Roman" w:hAnsi="Times New Roman" w:cs="Times New Roman"/>
                <w:sz w:val="24"/>
                <w:szCs w:val="24"/>
                <w:lang w:val="lt-LT"/>
              </w:rPr>
              <w:t>Fotoakustinė</w:t>
            </w:r>
            <w:proofErr w:type="spellEnd"/>
            <w:r w:rsidRPr="002616A1">
              <w:rPr>
                <w:rFonts w:ascii="Times New Roman" w:hAnsi="Times New Roman" w:cs="Times New Roman"/>
                <w:sz w:val="24"/>
                <w:szCs w:val="24"/>
                <w:lang w:val="lt-LT"/>
              </w:rPr>
              <w:t xml:space="preserve"> spektroskopija</w:t>
            </w:r>
            <w:r w:rsidR="005F0819" w:rsidRPr="002616A1">
              <w:rPr>
                <w:rFonts w:ascii="Times New Roman" w:hAnsi="Times New Roman" w:cs="Times New Roman"/>
                <w:sz w:val="24"/>
                <w:szCs w:val="24"/>
                <w:lang w:val="lt-LT"/>
              </w:rPr>
              <w:t xml:space="preserve"> arba kitas </w:t>
            </w:r>
            <w:proofErr w:type="spellStart"/>
            <w:r w:rsidR="002616A1">
              <w:rPr>
                <w:rFonts w:ascii="Times New Roman" w:hAnsi="Times New Roman" w:cs="Times New Roman"/>
                <w:sz w:val="24"/>
                <w:szCs w:val="24"/>
                <w:lang w:val="lt-LT"/>
              </w:rPr>
              <w:t>fotoakustinei</w:t>
            </w:r>
            <w:proofErr w:type="spellEnd"/>
            <w:r w:rsidR="002616A1">
              <w:rPr>
                <w:rFonts w:ascii="Times New Roman" w:hAnsi="Times New Roman" w:cs="Times New Roman"/>
                <w:sz w:val="24"/>
                <w:szCs w:val="24"/>
                <w:lang w:val="lt-LT"/>
              </w:rPr>
              <w:t xml:space="preserve"> spektrometrijai </w:t>
            </w:r>
            <w:r w:rsidR="005F0819" w:rsidRPr="002616A1">
              <w:rPr>
                <w:rFonts w:ascii="Times New Roman" w:hAnsi="Times New Roman" w:cs="Times New Roman"/>
                <w:sz w:val="24"/>
                <w:szCs w:val="24"/>
                <w:lang w:val="lt-LT"/>
              </w:rPr>
              <w:t>lygiavertis</w:t>
            </w:r>
            <w:r w:rsidR="002616A1">
              <w:rPr>
                <w:rFonts w:ascii="Times New Roman" w:hAnsi="Times New Roman" w:cs="Times New Roman"/>
                <w:sz w:val="24"/>
                <w:szCs w:val="24"/>
                <w:lang w:val="lt-LT"/>
              </w:rPr>
              <w:t xml:space="preserve"> principas.</w:t>
            </w:r>
          </w:p>
        </w:tc>
        <w:tc>
          <w:tcPr>
            <w:tcW w:w="3828" w:type="dxa"/>
          </w:tcPr>
          <w:p w14:paraId="4769DEC7" w14:textId="68F319DE" w:rsidR="006312B2" w:rsidRPr="00F5348D" w:rsidRDefault="006312B2">
            <w:pPr>
              <w:rPr>
                <w:rFonts w:ascii="Times New Roman" w:hAnsi="Times New Roman" w:cs="Times New Roman"/>
                <w:sz w:val="24"/>
                <w:szCs w:val="24"/>
                <w:lang w:val="lt-LT"/>
              </w:rPr>
            </w:pPr>
          </w:p>
        </w:tc>
      </w:tr>
      <w:tr w:rsidR="008B0128" w:rsidRPr="00A347AB" w14:paraId="4AD5330D" w14:textId="77777777" w:rsidTr="007915AC">
        <w:trPr>
          <w:jc w:val="center"/>
        </w:trPr>
        <w:tc>
          <w:tcPr>
            <w:tcW w:w="709" w:type="dxa"/>
          </w:tcPr>
          <w:p w14:paraId="348E1388" w14:textId="7A3D1A4D" w:rsidR="008B0128"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3</w:t>
            </w:r>
            <w:r w:rsidR="00E17B9A">
              <w:rPr>
                <w:rFonts w:ascii="Times New Roman" w:hAnsi="Times New Roman" w:cs="Times New Roman"/>
                <w:sz w:val="24"/>
                <w:szCs w:val="24"/>
                <w:lang w:val="lt-LT"/>
              </w:rPr>
              <w:t>.</w:t>
            </w:r>
          </w:p>
        </w:tc>
        <w:tc>
          <w:tcPr>
            <w:tcW w:w="1842" w:type="dxa"/>
          </w:tcPr>
          <w:p w14:paraId="499017FB" w14:textId="2E2D4125" w:rsidR="008B0128" w:rsidRPr="002616A1" w:rsidRDefault="00EC05C3">
            <w:pPr>
              <w:rPr>
                <w:rFonts w:ascii="Times New Roman" w:hAnsi="Times New Roman" w:cs="Times New Roman"/>
                <w:sz w:val="24"/>
                <w:szCs w:val="24"/>
                <w:lang w:val="lt-LT"/>
              </w:rPr>
            </w:pPr>
            <w:r w:rsidRPr="002616A1">
              <w:rPr>
                <w:rFonts w:ascii="Times New Roman" w:hAnsi="Times New Roman" w:cs="Times New Roman"/>
                <w:sz w:val="24"/>
                <w:szCs w:val="24"/>
                <w:lang w:val="lt-LT"/>
              </w:rPr>
              <w:t>Vienalaikis kelių dujų matavimas</w:t>
            </w:r>
          </w:p>
        </w:tc>
        <w:tc>
          <w:tcPr>
            <w:tcW w:w="2830" w:type="dxa"/>
          </w:tcPr>
          <w:p w14:paraId="37F4CE47" w14:textId="05B05651" w:rsidR="008B0128" w:rsidRPr="002616A1" w:rsidRDefault="00455DF2"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Prietaisas turi </w:t>
            </w:r>
            <w:r w:rsidR="00F901FD" w:rsidRPr="002616A1">
              <w:rPr>
                <w:rFonts w:ascii="Times New Roman" w:hAnsi="Times New Roman" w:cs="Times New Roman"/>
                <w:sz w:val="24"/>
                <w:szCs w:val="24"/>
                <w:lang w:val="lt-LT"/>
              </w:rPr>
              <w:t>vienu metu matuoti ne mažiau keturių pasirinktų dujų bei vandens garus</w:t>
            </w:r>
          </w:p>
        </w:tc>
        <w:tc>
          <w:tcPr>
            <w:tcW w:w="3828" w:type="dxa"/>
          </w:tcPr>
          <w:p w14:paraId="459A4851" w14:textId="3BA75C8F" w:rsidR="008B0128" w:rsidRPr="007915AC" w:rsidRDefault="008B0128">
            <w:pPr>
              <w:rPr>
                <w:rFonts w:ascii="Times New Roman" w:hAnsi="Times New Roman" w:cs="Times New Roman"/>
                <w:sz w:val="24"/>
                <w:szCs w:val="24"/>
                <w:lang w:val="lt-LT"/>
              </w:rPr>
            </w:pPr>
          </w:p>
        </w:tc>
      </w:tr>
      <w:tr w:rsidR="00FD2721" w:rsidRPr="002616A1" w14:paraId="5150018B" w14:textId="77777777" w:rsidTr="007915AC">
        <w:trPr>
          <w:jc w:val="center"/>
        </w:trPr>
        <w:tc>
          <w:tcPr>
            <w:tcW w:w="709" w:type="dxa"/>
          </w:tcPr>
          <w:p w14:paraId="55B437F2" w14:textId="1526FC07" w:rsidR="00FD2721" w:rsidRPr="002616A1" w:rsidRDefault="004637E3">
            <w:pPr>
              <w:rPr>
                <w:rFonts w:ascii="Times New Roman" w:hAnsi="Times New Roman" w:cs="Times New Roman"/>
                <w:sz w:val="24"/>
                <w:szCs w:val="24"/>
                <w:lang w:val="lt-LT"/>
              </w:rPr>
            </w:pPr>
            <w:r w:rsidRPr="002616A1">
              <w:rPr>
                <w:rFonts w:ascii="Times New Roman" w:hAnsi="Times New Roman" w:cs="Times New Roman"/>
                <w:sz w:val="24"/>
                <w:szCs w:val="24"/>
                <w:lang w:val="lt-LT"/>
              </w:rPr>
              <w:t>4</w:t>
            </w:r>
            <w:r w:rsidR="00E17B9A">
              <w:rPr>
                <w:rFonts w:ascii="Times New Roman" w:hAnsi="Times New Roman" w:cs="Times New Roman"/>
                <w:sz w:val="24"/>
                <w:szCs w:val="24"/>
                <w:lang w:val="lt-LT"/>
              </w:rPr>
              <w:t>.</w:t>
            </w:r>
          </w:p>
        </w:tc>
        <w:tc>
          <w:tcPr>
            <w:tcW w:w="1842" w:type="dxa"/>
          </w:tcPr>
          <w:p w14:paraId="7DD319A6" w14:textId="59F091BE" w:rsidR="00FD2721" w:rsidRPr="002616A1" w:rsidRDefault="00E56774">
            <w:pPr>
              <w:rPr>
                <w:rFonts w:ascii="Times New Roman" w:hAnsi="Times New Roman" w:cs="Times New Roman"/>
                <w:sz w:val="24"/>
                <w:szCs w:val="24"/>
                <w:lang w:val="lt-LT"/>
              </w:rPr>
            </w:pPr>
            <w:r w:rsidRPr="002616A1">
              <w:rPr>
                <w:rFonts w:ascii="Times New Roman" w:hAnsi="Times New Roman" w:cs="Times New Roman"/>
                <w:sz w:val="24"/>
                <w:szCs w:val="24"/>
                <w:lang w:val="lt-LT"/>
              </w:rPr>
              <w:t>Tikslumas</w:t>
            </w:r>
          </w:p>
        </w:tc>
        <w:tc>
          <w:tcPr>
            <w:tcW w:w="2830" w:type="dxa"/>
          </w:tcPr>
          <w:p w14:paraId="268BF43C" w14:textId="215CB5F1" w:rsidR="00FD2721" w:rsidRPr="002616A1" w:rsidRDefault="00E56774"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Turi būti </w:t>
            </w:r>
            <w:r w:rsidR="009F1DF4" w:rsidRPr="002616A1">
              <w:rPr>
                <w:rFonts w:ascii="Times New Roman" w:hAnsi="Times New Roman" w:cs="Times New Roman"/>
                <w:sz w:val="24"/>
                <w:szCs w:val="24"/>
                <w:lang w:val="lt-LT"/>
              </w:rPr>
              <w:t>ne daugiau kaip</w:t>
            </w:r>
            <w:r w:rsidR="004072EC" w:rsidRPr="002616A1">
              <w:rPr>
                <w:rFonts w:ascii="Times New Roman" w:hAnsi="Times New Roman" w:cs="Times New Roman"/>
                <w:sz w:val="24"/>
                <w:szCs w:val="24"/>
                <w:lang w:val="lt-LT"/>
              </w:rPr>
              <w:t xml:space="preserve"> 1</w:t>
            </w:r>
            <w:r w:rsidR="005423E0">
              <w:rPr>
                <w:rFonts w:ascii="Times New Roman" w:hAnsi="Times New Roman" w:cs="Times New Roman"/>
                <w:sz w:val="24"/>
                <w:szCs w:val="24"/>
                <w:lang w:val="lt-LT"/>
              </w:rPr>
              <w:t>.0</w:t>
            </w:r>
            <w:r w:rsidR="004072EC" w:rsidRPr="002616A1">
              <w:rPr>
                <w:rFonts w:ascii="Times New Roman" w:hAnsi="Times New Roman" w:cs="Times New Roman"/>
                <w:sz w:val="24"/>
                <w:szCs w:val="24"/>
                <w:lang w:val="lt-LT"/>
              </w:rPr>
              <w:t xml:space="preserve"> % matavimo ver</w:t>
            </w:r>
            <w:r w:rsidR="00034525" w:rsidRPr="002616A1">
              <w:rPr>
                <w:rFonts w:ascii="Times New Roman" w:hAnsi="Times New Roman" w:cs="Times New Roman"/>
                <w:sz w:val="24"/>
                <w:szCs w:val="24"/>
                <w:lang w:val="lt-LT"/>
              </w:rPr>
              <w:t>tė</w:t>
            </w:r>
            <w:r w:rsidR="004072EC" w:rsidRPr="002616A1">
              <w:rPr>
                <w:rFonts w:ascii="Times New Roman" w:hAnsi="Times New Roman" w:cs="Times New Roman"/>
                <w:sz w:val="24"/>
                <w:szCs w:val="24"/>
                <w:lang w:val="lt-LT"/>
              </w:rPr>
              <w:t>s</w:t>
            </w:r>
          </w:p>
        </w:tc>
        <w:tc>
          <w:tcPr>
            <w:tcW w:w="3828" w:type="dxa"/>
          </w:tcPr>
          <w:p w14:paraId="6225703F" w14:textId="6213FBC2" w:rsidR="00FD2721" w:rsidRPr="007915AC" w:rsidRDefault="00FD2721">
            <w:pPr>
              <w:rPr>
                <w:rFonts w:ascii="Times New Roman" w:hAnsi="Times New Roman" w:cs="Times New Roman"/>
                <w:sz w:val="24"/>
                <w:szCs w:val="24"/>
                <w:lang w:val="lt-LT"/>
              </w:rPr>
            </w:pPr>
          </w:p>
        </w:tc>
      </w:tr>
      <w:tr w:rsidR="00B42BAC" w:rsidRPr="0001243E" w14:paraId="21E790B3" w14:textId="77777777" w:rsidTr="007915AC">
        <w:trPr>
          <w:jc w:val="center"/>
        </w:trPr>
        <w:tc>
          <w:tcPr>
            <w:tcW w:w="709" w:type="dxa"/>
            <w:vMerge w:val="restart"/>
          </w:tcPr>
          <w:p w14:paraId="2BFA55B5" w14:textId="139F5C5B"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5</w:t>
            </w:r>
            <w:r w:rsidR="00E17B9A">
              <w:rPr>
                <w:rFonts w:ascii="Times New Roman" w:hAnsi="Times New Roman" w:cs="Times New Roman"/>
                <w:sz w:val="24"/>
                <w:szCs w:val="24"/>
                <w:lang w:val="lt-LT"/>
              </w:rPr>
              <w:t>.</w:t>
            </w:r>
          </w:p>
        </w:tc>
        <w:tc>
          <w:tcPr>
            <w:tcW w:w="1842" w:type="dxa"/>
            <w:vMerge w:val="restart"/>
          </w:tcPr>
          <w:p w14:paraId="3DB6C2FE" w14:textId="04540DD0" w:rsidR="00B42BAC" w:rsidRPr="002616A1" w:rsidRDefault="00B42BAC">
            <w:pPr>
              <w:rPr>
                <w:rFonts w:ascii="Times New Roman" w:hAnsi="Times New Roman" w:cs="Times New Roman"/>
                <w:sz w:val="24"/>
                <w:szCs w:val="24"/>
                <w:lang w:val="lt-LT"/>
              </w:rPr>
            </w:pPr>
            <w:r w:rsidRPr="002616A1">
              <w:rPr>
                <w:rFonts w:ascii="Times New Roman" w:hAnsi="Times New Roman" w:cs="Times New Roman"/>
                <w:sz w:val="24"/>
                <w:szCs w:val="24"/>
                <w:lang w:val="lt-LT"/>
              </w:rPr>
              <w:t>Matuojamos dujos ir aptikimo ribos</w:t>
            </w:r>
          </w:p>
        </w:tc>
        <w:tc>
          <w:tcPr>
            <w:tcW w:w="2830" w:type="dxa"/>
          </w:tcPr>
          <w:p w14:paraId="0B39AA63" w14:textId="6E372ECB"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Metanas (CH</w:t>
            </w:r>
            <w:r w:rsidRPr="002616A1">
              <w:rPr>
                <w:rFonts w:ascii="Times New Roman" w:hAnsi="Times New Roman" w:cs="Times New Roman"/>
                <w:sz w:val="24"/>
                <w:szCs w:val="24"/>
                <w:vertAlign w:val="subscript"/>
                <w:lang w:val="lt-LT"/>
              </w:rPr>
              <w:t>4</w:t>
            </w:r>
            <w:r w:rsidRPr="002616A1">
              <w:rPr>
                <w:rFonts w:ascii="Times New Roman" w:hAnsi="Times New Roman" w:cs="Times New Roman"/>
                <w:sz w:val="24"/>
                <w:szCs w:val="24"/>
                <w:lang w:val="lt-LT"/>
              </w:rPr>
              <w:t>) ne</w:t>
            </w:r>
            <w:r w:rsidRPr="007B7719">
              <w:rPr>
                <w:rFonts w:ascii="Times New Roman" w:hAnsi="Times New Roman" w:cs="Times New Roman"/>
                <w:sz w:val="24"/>
                <w:szCs w:val="24"/>
                <w:lang w:val="lt-LT"/>
              </w:rPr>
              <w:t xml:space="preserve"> </w:t>
            </w:r>
            <w:r w:rsidRPr="002616A1">
              <w:rPr>
                <w:rFonts w:ascii="Times New Roman" w:hAnsi="Times New Roman" w:cs="Times New Roman"/>
                <w:sz w:val="24"/>
                <w:szCs w:val="24"/>
                <w:lang w:val="lt-LT"/>
              </w:rPr>
              <w:t>daugiau</w:t>
            </w:r>
            <w:r w:rsidRPr="007B7719">
              <w:rPr>
                <w:rFonts w:ascii="Times New Roman" w:hAnsi="Times New Roman" w:cs="Times New Roman"/>
                <w:sz w:val="24"/>
                <w:szCs w:val="24"/>
                <w:lang w:val="lt-LT"/>
              </w:rPr>
              <w:t xml:space="preserve"> kai</w:t>
            </w:r>
            <w:r w:rsidRPr="002616A1">
              <w:rPr>
                <w:rFonts w:ascii="Times New Roman" w:hAnsi="Times New Roman" w:cs="Times New Roman"/>
                <w:sz w:val="24"/>
                <w:szCs w:val="24"/>
                <w:lang w:val="lt-LT"/>
              </w:rPr>
              <w:t>p 0.</w:t>
            </w:r>
            <w:r w:rsidR="005423E0">
              <w:rPr>
                <w:rFonts w:ascii="Times New Roman" w:hAnsi="Times New Roman" w:cs="Times New Roman"/>
                <w:sz w:val="24"/>
                <w:szCs w:val="24"/>
                <w:lang w:val="lt-LT"/>
              </w:rPr>
              <w:t>4</w:t>
            </w:r>
            <w:r w:rsidRPr="002616A1">
              <w:rPr>
                <w:rFonts w:ascii="Times New Roman" w:hAnsi="Times New Roman" w:cs="Times New Roman"/>
                <w:sz w:val="24"/>
                <w:szCs w:val="24"/>
                <w:lang w:val="lt-LT"/>
              </w:rPr>
              <w:t xml:space="preserve"> ppm</w:t>
            </w:r>
          </w:p>
          <w:p w14:paraId="276353A1" w14:textId="6B687C27" w:rsidR="00B42BAC" w:rsidRPr="002616A1" w:rsidRDefault="00B42BAC" w:rsidP="0012483D">
            <w:pPr>
              <w:jc w:val="both"/>
              <w:rPr>
                <w:rFonts w:ascii="Times New Roman" w:hAnsi="Times New Roman" w:cs="Times New Roman"/>
                <w:sz w:val="24"/>
                <w:szCs w:val="24"/>
                <w:lang w:val="lt-LT"/>
              </w:rPr>
            </w:pPr>
          </w:p>
        </w:tc>
        <w:tc>
          <w:tcPr>
            <w:tcW w:w="3828" w:type="dxa"/>
          </w:tcPr>
          <w:p w14:paraId="288C1AA9" w14:textId="4625AB21" w:rsidR="00B42BAC" w:rsidRPr="007915AC" w:rsidRDefault="00B42BAC" w:rsidP="004B37A3">
            <w:pPr>
              <w:rPr>
                <w:rFonts w:ascii="Times New Roman" w:hAnsi="Times New Roman" w:cs="Times New Roman"/>
                <w:sz w:val="24"/>
                <w:szCs w:val="24"/>
                <w:lang w:val="lt-LT"/>
              </w:rPr>
            </w:pPr>
          </w:p>
        </w:tc>
      </w:tr>
      <w:tr w:rsidR="00B42BAC" w:rsidRPr="00A347AB" w14:paraId="2CC2BF11" w14:textId="77777777" w:rsidTr="007915AC">
        <w:trPr>
          <w:jc w:val="center"/>
        </w:trPr>
        <w:tc>
          <w:tcPr>
            <w:tcW w:w="709" w:type="dxa"/>
            <w:vMerge/>
          </w:tcPr>
          <w:p w14:paraId="557DE74B" w14:textId="77777777" w:rsidR="00B42BAC" w:rsidRPr="002616A1" w:rsidRDefault="00B42BAC">
            <w:pPr>
              <w:rPr>
                <w:rFonts w:ascii="Times New Roman" w:hAnsi="Times New Roman" w:cs="Times New Roman"/>
                <w:sz w:val="24"/>
                <w:szCs w:val="24"/>
                <w:lang w:val="lt-LT"/>
              </w:rPr>
            </w:pPr>
          </w:p>
        </w:tc>
        <w:tc>
          <w:tcPr>
            <w:tcW w:w="1842" w:type="dxa"/>
            <w:vMerge/>
          </w:tcPr>
          <w:p w14:paraId="5A1F1138" w14:textId="77777777" w:rsidR="00B42BAC" w:rsidRPr="002616A1" w:rsidRDefault="00B42BAC">
            <w:pPr>
              <w:rPr>
                <w:rFonts w:ascii="Times New Roman" w:hAnsi="Times New Roman" w:cs="Times New Roman"/>
                <w:sz w:val="24"/>
                <w:szCs w:val="24"/>
                <w:lang w:val="lt-LT"/>
              </w:rPr>
            </w:pPr>
          </w:p>
        </w:tc>
        <w:tc>
          <w:tcPr>
            <w:tcW w:w="2830" w:type="dxa"/>
          </w:tcPr>
          <w:p w14:paraId="74E47D8A" w14:textId="00176796"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Azoto </w:t>
            </w:r>
            <w:proofErr w:type="spellStart"/>
            <w:r w:rsidRPr="002616A1">
              <w:rPr>
                <w:rFonts w:ascii="Times New Roman" w:hAnsi="Times New Roman" w:cs="Times New Roman"/>
                <w:sz w:val="24"/>
                <w:szCs w:val="24"/>
                <w:lang w:val="lt-LT"/>
              </w:rPr>
              <w:t>suboksidas</w:t>
            </w:r>
            <w:proofErr w:type="spellEnd"/>
            <w:r w:rsidRPr="002616A1">
              <w:rPr>
                <w:rFonts w:ascii="Times New Roman" w:hAnsi="Times New Roman" w:cs="Times New Roman"/>
                <w:sz w:val="24"/>
                <w:szCs w:val="24"/>
                <w:lang w:val="lt-LT"/>
              </w:rPr>
              <w:t xml:space="preserve"> (N</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ne daugiau kaip 0.0</w:t>
            </w:r>
            <w:r w:rsidR="005423E0">
              <w:rPr>
                <w:rFonts w:ascii="Times New Roman" w:hAnsi="Times New Roman" w:cs="Times New Roman"/>
                <w:sz w:val="24"/>
                <w:szCs w:val="24"/>
                <w:lang w:val="lt-LT"/>
              </w:rPr>
              <w:t>3</w:t>
            </w:r>
            <w:r w:rsidRPr="002616A1">
              <w:rPr>
                <w:rFonts w:ascii="Times New Roman" w:hAnsi="Times New Roman" w:cs="Times New Roman"/>
                <w:sz w:val="24"/>
                <w:szCs w:val="24"/>
                <w:lang w:val="lt-LT"/>
              </w:rPr>
              <w:t xml:space="preserve"> ppm</w:t>
            </w:r>
          </w:p>
        </w:tc>
        <w:tc>
          <w:tcPr>
            <w:tcW w:w="3828" w:type="dxa"/>
          </w:tcPr>
          <w:p w14:paraId="7CB0FC0F" w14:textId="391B73C6" w:rsidR="00B42BAC" w:rsidRPr="007915AC" w:rsidRDefault="00B42BAC">
            <w:pPr>
              <w:rPr>
                <w:rFonts w:ascii="Times New Roman" w:hAnsi="Times New Roman" w:cs="Times New Roman"/>
                <w:sz w:val="24"/>
                <w:szCs w:val="24"/>
                <w:lang w:val="lt-LT"/>
              </w:rPr>
            </w:pPr>
          </w:p>
        </w:tc>
      </w:tr>
      <w:tr w:rsidR="00B42BAC" w:rsidRPr="0001243E" w14:paraId="56F2E455" w14:textId="77777777" w:rsidTr="007915AC">
        <w:trPr>
          <w:jc w:val="center"/>
        </w:trPr>
        <w:tc>
          <w:tcPr>
            <w:tcW w:w="709" w:type="dxa"/>
            <w:vMerge/>
          </w:tcPr>
          <w:p w14:paraId="18CD9280" w14:textId="77777777" w:rsidR="00B42BAC" w:rsidRPr="002616A1" w:rsidRDefault="00B42BAC">
            <w:pPr>
              <w:rPr>
                <w:rFonts w:ascii="Times New Roman" w:hAnsi="Times New Roman" w:cs="Times New Roman"/>
                <w:sz w:val="24"/>
                <w:szCs w:val="24"/>
                <w:lang w:val="lt-LT"/>
              </w:rPr>
            </w:pPr>
          </w:p>
        </w:tc>
        <w:tc>
          <w:tcPr>
            <w:tcW w:w="1842" w:type="dxa"/>
            <w:vMerge/>
          </w:tcPr>
          <w:p w14:paraId="217A0860" w14:textId="77777777" w:rsidR="00B42BAC" w:rsidRPr="002616A1" w:rsidRDefault="00B42BAC">
            <w:pPr>
              <w:rPr>
                <w:rFonts w:ascii="Times New Roman" w:hAnsi="Times New Roman" w:cs="Times New Roman"/>
                <w:sz w:val="24"/>
                <w:szCs w:val="24"/>
                <w:lang w:val="lt-LT"/>
              </w:rPr>
            </w:pPr>
          </w:p>
        </w:tc>
        <w:tc>
          <w:tcPr>
            <w:tcW w:w="2830" w:type="dxa"/>
          </w:tcPr>
          <w:p w14:paraId="61A0167A" w14:textId="35DEC73E" w:rsidR="00B42BAC" w:rsidRPr="002616A1" w:rsidRDefault="00B42B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Anglies dioksidas (CO</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 xml:space="preserve">) ne daugiau kaip 1.5 </w:t>
            </w:r>
            <w:proofErr w:type="spellStart"/>
            <w:r w:rsidRPr="002616A1">
              <w:rPr>
                <w:rFonts w:ascii="Times New Roman" w:hAnsi="Times New Roman" w:cs="Times New Roman"/>
                <w:sz w:val="24"/>
                <w:szCs w:val="24"/>
                <w:lang w:val="lt-LT"/>
              </w:rPr>
              <w:t>ppm</w:t>
            </w:r>
            <w:proofErr w:type="spellEnd"/>
          </w:p>
        </w:tc>
        <w:tc>
          <w:tcPr>
            <w:tcW w:w="3828" w:type="dxa"/>
          </w:tcPr>
          <w:p w14:paraId="558B2AB9" w14:textId="399A795D" w:rsidR="00B42BAC" w:rsidRPr="007915AC" w:rsidRDefault="00B42BAC">
            <w:pPr>
              <w:rPr>
                <w:rFonts w:ascii="Times New Roman" w:hAnsi="Times New Roman" w:cs="Times New Roman"/>
                <w:sz w:val="24"/>
                <w:szCs w:val="24"/>
                <w:lang w:val="lt-LT"/>
              </w:rPr>
            </w:pPr>
          </w:p>
        </w:tc>
      </w:tr>
      <w:tr w:rsidR="007915AC" w:rsidRPr="0001243E" w14:paraId="336C7A63" w14:textId="77777777" w:rsidTr="00E43FEC">
        <w:trPr>
          <w:trHeight w:val="636"/>
          <w:jc w:val="center"/>
        </w:trPr>
        <w:tc>
          <w:tcPr>
            <w:tcW w:w="709" w:type="dxa"/>
            <w:vMerge/>
          </w:tcPr>
          <w:p w14:paraId="2AF152A3"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06FC0EA9" w14:textId="77777777" w:rsidR="007915AC" w:rsidRPr="002616A1" w:rsidRDefault="007915AC" w:rsidP="007915AC">
            <w:pPr>
              <w:rPr>
                <w:rFonts w:ascii="Times New Roman" w:hAnsi="Times New Roman" w:cs="Times New Roman"/>
                <w:sz w:val="24"/>
                <w:szCs w:val="24"/>
                <w:lang w:val="lt-LT"/>
              </w:rPr>
            </w:pPr>
          </w:p>
        </w:tc>
        <w:tc>
          <w:tcPr>
            <w:tcW w:w="2830" w:type="dxa"/>
          </w:tcPr>
          <w:p w14:paraId="0ECB1BE6" w14:textId="61295E3E"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Amoniakas (NH</w:t>
            </w:r>
            <w:r w:rsidRPr="002616A1">
              <w:rPr>
                <w:rFonts w:ascii="Times New Roman" w:hAnsi="Times New Roman" w:cs="Times New Roman"/>
                <w:sz w:val="24"/>
                <w:szCs w:val="24"/>
                <w:vertAlign w:val="subscript"/>
                <w:lang w:val="lt-LT"/>
              </w:rPr>
              <w:t>3</w:t>
            </w:r>
            <w:r w:rsidRPr="002616A1">
              <w:rPr>
                <w:rFonts w:ascii="Times New Roman" w:hAnsi="Times New Roman" w:cs="Times New Roman"/>
                <w:sz w:val="24"/>
                <w:szCs w:val="24"/>
                <w:lang w:val="lt-LT"/>
              </w:rPr>
              <w:t>) ne daugiau kaip 0.</w:t>
            </w:r>
            <w:r w:rsidR="005423E0">
              <w:rPr>
                <w:rFonts w:ascii="Times New Roman" w:hAnsi="Times New Roman" w:cs="Times New Roman"/>
                <w:sz w:val="24"/>
                <w:szCs w:val="24"/>
                <w:lang w:val="lt-LT"/>
              </w:rPr>
              <w:t>2</w:t>
            </w:r>
            <w:r w:rsidRPr="002616A1">
              <w:rPr>
                <w:rFonts w:ascii="Times New Roman" w:hAnsi="Times New Roman" w:cs="Times New Roman"/>
                <w:sz w:val="24"/>
                <w:szCs w:val="24"/>
                <w:lang w:val="lt-LT"/>
              </w:rPr>
              <w:t xml:space="preserve"> ppm</w:t>
            </w:r>
          </w:p>
        </w:tc>
        <w:tc>
          <w:tcPr>
            <w:tcW w:w="3828" w:type="dxa"/>
          </w:tcPr>
          <w:p w14:paraId="20FA0A5E" w14:textId="27A4910D" w:rsidR="007915AC" w:rsidRPr="007915AC" w:rsidRDefault="007915AC" w:rsidP="007915AC">
            <w:pPr>
              <w:rPr>
                <w:rFonts w:ascii="Times New Roman" w:hAnsi="Times New Roman" w:cs="Times New Roman"/>
                <w:sz w:val="24"/>
                <w:szCs w:val="24"/>
                <w:lang w:val="lt-LT"/>
              </w:rPr>
            </w:pPr>
          </w:p>
        </w:tc>
      </w:tr>
      <w:tr w:rsidR="007915AC" w:rsidRPr="002616A1" w14:paraId="2DB18E3E" w14:textId="77777777" w:rsidTr="007915AC">
        <w:trPr>
          <w:jc w:val="center"/>
        </w:trPr>
        <w:tc>
          <w:tcPr>
            <w:tcW w:w="709" w:type="dxa"/>
            <w:vMerge/>
          </w:tcPr>
          <w:p w14:paraId="4AEF4BD5" w14:textId="77777777" w:rsidR="007915AC" w:rsidRPr="002616A1" w:rsidRDefault="007915AC" w:rsidP="007915AC">
            <w:pPr>
              <w:rPr>
                <w:rFonts w:ascii="Times New Roman" w:hAnsi="Times New Roman" w:cs="Times New Roman"/>
                <w:sz w:val="24"/>
                <w:szCs w:val="24"/>
                <w:lang w:val="lt-LT"/>
              </w:rPr>
            </w:pPr>
          </w:p>
        </w:tc>
        <w:tc>
          <w:tcPr>
            <w:tcW w:w="1842" w:type="dxa"/>
            <w:vMerge/>
          </w:tcPr>
          <w:p w14:paraId="593CFD66" w14:textId="77777777" w:rsidR="007915AC" w:rsidRPr="002616A1" w:rsidRDefault="007915AC" w:rsidP="007915AC">
            <w:pPr>
              <w:rPr>
                <w:rFonts w:ascii="Times New Roman" w:hAnsi="Times New Roman" w:cs="Times New Roman"/>
                <w:sz w:val="24"/>
                <w:szCs w:val="24"/>
                <w:lang w:val="lt-LT"/>
              </w:rPr>
            </w:pPr>
          </w:p>
        </w:tc>
        <w:tc>
          <w:tcPr>
            <w:tcW w:w="2830" w:type="dxa"/>
          </w:tcPr>
          <w:p w14:paraId="13D215CA" w14:textId="56A0DD7C"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Vandens garai (H</w:t>
            </w:r>
            <w:r w:rsidRPr="002616A1">
              <w:rPr>
                <w:rFonts w:ascii="Times New Roman" w:hAnsi="Times New Roman" w:cs="Times New Roman"/>
                <w:sz w:val="24"/>
                <w:szCs w:val="24"/>
                <w:vertAlign w:val="subscript"/>
                <w:lang w:val="lt-LT"/>
              </w:rPr>
              <w:t>2</w:t>
            </w:r>
            <w:r w:rsidRPr="002616A1">
              <w:rPr>
                <w:rFonts w:ascii="Times New Roman" w:hAnsi="Times New Roman" w:cs="Times New Roman"/>
                <w:sz w:val="24"/>
                <w:szCs w:val="24"/>
                <w:lang w:val="lt-LT"/>
              </w:rPr>
              <w:t>O) – interferencijos kompensavimui</w:t>
            </w:r>
          </w:p>
        </w:tc>
        <w:tc>
          <w:tcPr>
            <w:tcW w:w="3828" w:type="dxa"/>
          </w:tcPr>
          <w:p w14:paraId="0C6BBA0D" w14:textId="77777777" w:rsidR="007915AC" w:rsidRDefault="007915AC" w:rsidP="007915AC">
            <w:pPr>
              <w:rPr>
                <w:rFonts w:ascii="Times New Roman" w:eastAsia="Times New Roman" w:hAnsi="Times New Roman" w:cs="Times New Roman"/>
                <w:iCs/>
                <w:sz w:val="24"/>
                <w:szCs w:val="24"/>
                <w:highlight w:val="yellow"/>
                <w:lang w:val="lt-LT"/>
              </w:rPr>
            </w:pPr>
          </w:p>
          <w:p w14:paraId="7D9A90CA" w14:textId="74CE61B5" w:rsidR="007915AC" w:rsidRPr="002616A1" w:rsidRDefault="007915AC" w:rsidP="007915AC">
            <w:pPr>
              <w:rPr>
                <w:rFonts w:ascii="Times New Roman" w:hAnsi="Times New Roman" w:cs="Times New Roman"/>
                <w:sz w:val="24"/>
                <w:szCs w:val="24"/>
                <w:lang w:val="lt-LT"/>
              </w:rPr>
            </w:pPr>
          </w:p>
        </w:tc>
      </w:tr>
      <w:tr w:rsidR="007915AC" w:rsidRPr="002616A1" w14:paraId="7303BBB4" w14:textId="77777777" w:rsidTr="007915AC">
        <w:trPr>
          <w:jc w:val="center"/>
        </w:trPr>
        <w:tc>
          <w:tcPr>
            <w:tcW w:w="709" w:type="dxa"/>
          </w:tcPr>
          <w:p w14:paraId="4BA6EB8F" w14:textId="63A6D14B"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6</w:t>
            </w:r>
            <w:r w:rsidR="00E17B9A">
              <w:rPr>
                <w:rFonts w:ascii="Times New Roman" w:hAnsi="Times New Roman" w:cs="Times New Roman"/>
                <w:sz w:val="24"/>
                <w:szCs w:val="24"/>
                <w:lang w:val="lt-LT"/>
              </w:rPr>
              <w:t>.</w:t>
            </w:r>
          </w:p>
        </w:tc>
        <w:tc>
          <w:tcPr>
            <w:tcW w:w="1842" w:type="dxa"/>
          </w:tcPr>
          <w:p w14:paraId="5DA7A031" w14:textId="1E9BB5CD"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Nuotolinis valdymas</w:t>
            </w:r>
          </w:p>
        </w:tc>
        <w:tc>
          <w:tcPr>
            <w:tcW w:w="2830" w:type="dxa"/>
          </w:tcPr>
          <w:p w14:paraId="02B97070" w14:textId="2C87565D" w:rsidR="007915AC" w:rsidRPr="002616A1" w:rsidRDefault="007915AC" w:rsidP="0012483D">
            <w:pPr>
              <w:jc w:val="both"/>
              <w:rPr>
                <w:rFonts w:ascii="Times New Roman" w:hAnsi="Times New Roman" w:cs="Times New Roman"/>
                <w:sz w:val="24"/>
                <w:szCs w:val="24"/>
                <w:lang w:val="lt-LT"/>
              </w:rPr>
            </w:pPr>
            <w:r w:rsidRPr="00C56A5B">
              <w:rPr>
                <w:rFonts w:ascii="Times New Roman" w:hAnsi="Times New Roman" w:cs="Times New Roman"/>
                <w:sz w:val="24"/>
                <w:szCs w:val="24"/>
                <w:lang w:val="lt-LT"/>
              </w:rPr>
              <w:t xml:space="preserve">Turi būti </w:t>
            </w:r>
            <w:r w:rsidR="003155C1" w:rsidRPr="00C56A5B">
              <w:rPr>
                <w:rFonts w:ascii="Times New Roman" w:hAnsi="Times New Roman" w:cs="Times New Roman"/>
                <w:sz w:val="24"/>
                <w:szCs w:val="24"/>
                <w:lang w:val="lt-LT"/>
              </w:rPr>
              <w:t>galim</w:t>
            </w:r>
            <w:r w:rsidR="003155C1">
              <w:rPr>
                <w:rFonts w:ascii="Times New Roman" w:hAnsi="Times New Roman" w:cs="Times New Roman"/>
                <w:sz w:val="24"/>
                <w:szCs w:val="24"/>
                <w:lang w:val="lt-LT"/>
              </w:rPr>
              <w:t>a</w:t>
            </w:r>
            <w:r w:rsidR="003155C1" w:rsidRPr="00C56A5B">
              <w:rPr>
                <w:rFonts w:ascii="Times New Roman" w:hAnsi="Times New Roman" w:cs="Times New Roman"/>
                <w:sz w:val="24"/>
                <w:szCs w:val="24"/>
                <w:lang w:val="lt-LT"/>
              </w:rPr>
              <w:t xml:space="preserve"> </w:t>
            </w:r>
            <w:r w:rsidRPr="00C56A5B">
              <w:rPr>
                <w:rFonts w:ascii="Times New Roman" w:hAnsi="Times New Roman" w:cs="Times New Roman"/>
                <w:sz w:val="24"/>
                <w:szCs w:val="24"/>
                <w:lang w:val="lt-LT"/>
              </w:rPr>
              <w:t xml:space="preserve">valdyti nuotoliu </w:t>
            </w:r>
          </w:p>
        </w:tc>
        <w:tc>
          <w:tcPr>
            <w:tcW w:w="3828" w:type="dxa"/>
          </w:tcPr>
          <w:p w14:paraId="1F1B3D19" w14:textId="5B6B4C6E" w:rsidR="007915AC" w:rsidRPr="002616A1" w:rsidRDefault="007915AC" w:rsidP="007915AC">
            <w:pPr>
              <w:rPr>
                <w:rFonts w:ascii="Times New Roman" w:hAnsi="Times New Roman" w:cs="Times New Roman"/>
                <w:sz w:val="24"/>
                <w:szCs w:val="24"/>
                <w:lang w:val="lt-LT"/>
              </w:rPr>
            </w:pPr>
          </w:p>
        </w:tc>
      </w:tr>
      <w:tr w:rsidR="007915AC" w:rsidRPr="00A347AB" w14:paraId="37AE784A" w14:textId="77777777" w:rsidTr="007915AC">
        <w:trPr>
          <w:jc w:val="center"/>
        </w:trPr>
        <w:tc>
          <w:tcPr>
            <w:tcW w:w="709" w:type="dxa"/>
          </w:tcPr>
          <w:p w14:paraId="62CB981F" w14:textId="11B819F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7</w:t>
            </w:r>
            <w:r w:rsidR="00E17B9A">
              <w:rPr>
                <w:rFonts w:ascii="Times New Roman" w:hAnsi="Times New Roman" w:cs="Times New Roman"/>
                <w:sz w:val="24"/>
                <w:szCs w:val="24"/>
                <w:lang w:val="lt-LT"/>
              </w:rPr>
              <w:t>.</w:t>
            </w:r>
          </w:p>
        </w:tc>
        <w:tc>
          <w:tcPr>
            <w:tcW w:w="1842" w:type="dxa"/>
          </w:tcPr>
          <w:p w14:paraId="3797CC3B" w14:textId="2EC33742" w:rsidR="007915AC" w:rsidRPr="002616A1" w:rsidRDefault="005423E0" w:rsidP="007915AC">
            <w:pPr>
              <w:rPr>
                <w:rFonts w:ascii="Times New Roman" w:hAnsi="Times New Roman" w:cs="Times New Roman"/>
                <w:sz w:val="24"/>
                <w:szCs w:val="24"/>
                <w:lang w:val="lt-LT"/>
              </w:rPr>
            </w:pPr>
            <w:r>
              <w:rPr>
                <w:rFonts w:ascii="Times New Roman" w:hAnsi="Times New Roman" w:cs="Times New Roman"/>
                <w:sz w:val="24"/>
                <w:szCs w:val="24"/>
                <w:lang w:val="lt-LT"/>
              </w:rPr>
              <w:t>Kompensavimas</w:t>
            </w:r>
          </w:p>
        </w:tc>
        <w:tc>
          <w:tcPr>
            <w:tcW w:w="2830" w:type="dxa"/>
          </w:tcPr>
          <w:p w14:paraId="5582CDA5" w14:textId="6F2141E0" w:rsidR="007915AC" w:rsidRPr="002616A1" w:rsidRDefault="005423E0" w:rsidP="0012483D">
            <w:pPr>
              <w:jc w:val="both"/>
              <w:rPr>
                <w:rFonts w:ascii="Times New Roman" w:hAnsi="Times New Roman" w:cs="Times New Roman"/>
                <w:color w:val="EE0000"/>
                <w:sz w:val="24"/>
                <w:szCs w:val="24"/>
                <w:lang w:val="lt-LT"/>
              </w:rPr>
            </w:pPr>
            <w:r>
              <w:rPr>
                <w:rFonts w:ascii="Times New Roman" w:hAnsi="Times New Roman" w:cs="Times New Roman"/>
                <w:sz w:val="24"/>
                <w:szCs w:val="24"/>
                <w:lang w:val="lt-LT"/>
              </w:rPr>
              <w:t>P</w:t>
            </w:r>
            <w:r>
              <w:rPr>
                <w:rFonts w:ascii="Times New Roman" w:hAnsi="Times New Roman" w:cs="Times New Roman"/>
                <w:sz w:val="24"/>
                <w:szCs w:val="24"/>
                <w:lang w:val="lt-LT"/>
              </w:rPr>
              <w:t>rietais</w:t>
            </w:r>
            <w:r>
              <w:rPr>
                <w:rFonts w:ascii="Times New Roman" w:hAnsi="Times New Roman" w:cs="Times New Roman"/>
                <w:sz w:val="24"/>
                <w:szCs w:val="24"/>
                <w:lang w:val="lt-LT"/>
              </w:rPr>
              <w:t>as t</w:t>
            </w:r>
            <w:r w:rsidR="007915AC">
              <w:rPr>
                <w:rFonts w:ascii="Times New Roman" w:hAnsi="Times New Roman" w:cs="Times New Roman"/>
                <w:sz w:val="24"/>
                <w:szCs w:val="24"/>
                <w:lang w:val="lt-LT"/>
              </w:rPr>
              <w:t xml:space="preserve">uri </w:t>
            </w:r>
            <w:r>
              <w:rPr>
                <w:rFonts w:ascii="Times New Roman" w:hAnsi="Times New Roman" w:cs="Times New Roman"/>
                <w:sz w:val="24"/>
                <w:szCs w:val="24"/>
                <w:lang w:val="lt-LT"/>
              </w:rPr>
              <w:t>automatiškai kompensuoti</w:t>
            </w:r>
            <w:r w:rsidR="007915AC" w:rsidRPr="002616A1">
              <w:rPr>
                <w:rFonts w:ascii="Times New Roman" w:hAnsi="Times New Roman" w:cs="Times New Roman"/>
                <w:sz w:val="24"/>
                <w:szCs w:val="24"/>
                <w:lang w:val="lt-LT"/>
              </w:rPr>
              <w:t xml:space="preserve"> temperatūros ir slėgio svyravim</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 xml:space="preserve">analizės </w:t>
            </w:r>
            <w:r>
              <w:rPr>
                <w:rFonts w:ascii="Times New Roman" w:hAnsi="Times New Roman" w:cs="Times New Roman"/>
                <w:sz w:val="24"/>
                <w:szCs w:val="24"/>
                <w:lang w:val="lt-LT"/>
              </w:rPr>
              <w:t>kameroje</w:t>
            </w:r>
            <w:r w:rsidR="00E678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7915AC" w:rsidRPr="002616A1">
              <w:rPr>
                <w:rFonts w:ascii="Times New Roman" w:hAnsi="Times New Roman" w:cs="Times New Roman"/>
                <w:sz w:val="24"/>
                <w:szCs w:val="24"/>
                <w:lang w:val="lt-LT"/>
              </w:rPr>
              <w:t xml:space="preserve"> vandens gar</w:t>
            </w:r>
            <w:r>
              <w:rPr>
                <w:rFonts w:ascii="Times New Roman" w:hAnsi="Times New Roman" w:cs="Times New Roman"/>
                <w:sz w:val="24"/>
                <w:szCs w:val="24"/>
                <w:lang w:val="lt-LT"/>
              </w:rPr>
              <w:t xml:space="preserve">us </w:t>
            </w:r>
            <w:r w:rsidR="007915AC" w:rsidRPr="002616A1">
              <w:rPr>
                <w:rFonts w:ascii="Times New Roman" w:hAnsi="Times New Roman" w:cs="Times New Roman"/>
                <w:sz w:val="24"/>
                <w:szCs w:val="24"/>
                <w:lang w:val="lt-LT"/>
              </w:rPr>
              <w:t>oro mėginyje</w:t>
            </w:r>
            <w:r w:rsidR="003155C1">
              <w:rPr>
                <w:rFonts w:ascii="Times New Roman" w:hAnsi="Times New Roman" w:cs="Times New Roman"/>
                <w:sz w:val="24"/>
                <w:szCs w:val="24"/>
                <w:lang w:val="lt-LT"/>
              </w:rPr>
              <w:t>.</w:t>
            </w:r>
            <w:r w:rsidR="003155C1" w:rsidRPr="002616A1">
              <w:rPr>
                <w:rFonts w:ascii="Times New Roman" w:hAnsi="Times New Roman" w:cs="Times New Roman"/>
                <w:sz w:val="24"/>
                <w:szCs w:val="24"/>
                <w:lang w:val="lt-LT"/>
              </w:rPr>
              <w:t xml:space="preserve"> </w:t>
            </w:r>
          </w:p>
        </w:tc>
        <w:tc>
          <w:tcPr>
            <w:tcW w:w="3828" w:type="dxa"/>
          </w:tcPr>
          <w:p w14:paraId="16182775" w14:textId="2F3807A1" w:rsidR="007915AC" w:rsidRPr="002616A1" w:rsidRDefault="007915AC" w:rsidP="007915AC">
            <w:pPr>
              <w:rPr>
                <w:rFonts w:ascii="Times New Roman" w:hAnsi="Times New Roman" w:cs="Times New Roman"/>
                <w:sz w:val="24"/>
                <w:szCs w:val="24"/>
                <w:lang w:val="lt-LT"/>
              </w:rPr>
            </w:pPr>
          </w:p>
        </w:tc>
      </w:tr>
      <w:tr w:rsidR="007915AC" w:rsidRPr="002616A1" w14:paraId="43444BB4" w14:textId="77777777" w:rsidTr="007915AC">
        <w:trPr>
          <w:jc w:val="center"/>
        </w:trPr>
        <w:tc>
          <w:tcPr>
            <w:tcW w:w="709" w:type="dxa"/>
          </w:tcPr>
          <w:p w14:paraId="7144CE24" w14:textId="5EC8EBE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8</w:t>
            </w:r>
            <w:r w:rsidR="00E17B9A">
              <w:rPr>
                <w:rFonts w:ascii="Times New Roman" w:hAnsi="Times New Roman" w:cs="Times New Roman"/>
                <w:sz w:val="24"/>
                <w:szCs w:val="24"/>
                <w:lang w:val="lt-LT"/>
              </w:rPr>
              <w:t>.</w:t>
            </w:r>
          </w:p>
        </w:tc>
        <w:tc>
          <w:tcPr>
            <w:tcW w:w="1842" w:type="dxa"/>
          </w:tcPr>
          <w:p w14:paraId="77A52EB0" w14:textId="5B5C1965"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Programinė įranga</w:t>
            </w:r>
          </w:p>
        </w:tc>
        <w:tc>
          <w:tcPr>
            <w:tcW w:w="2830" w:type="dxa"/>
          </w:tcPr>
          <w:p w14:paraId="16FD20A2" w14:textId="6FA59975"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 xml:space="preserve">Duomenų valdymo ir analizės programinė įranga </w:t>
            </w:r>
          </w:p>
        </w:tc>
        <w:tc>
          <w:tcPr>
            <w:tcW w:w="3828" w:type="dxa"/>
          </w:tcPr>
          <w:p w14:paraId="07D9A2B9" w14:textId="73B3C231" w:rsidR="007915AC" w:rsidRPr="002616A1" w:rsidRDefault="007915AC" w:rsidP="007915AC">
            <w:pPr>
              <w:rPr>
                <w:rFonts w:ascii="Times New Roman" w:hAnsi="Times New Roman" w:cs="Times New Roman"/>
                <w:sz w:val="24"/>
                <w:szCs w:val="24"/>
                <w:lang w:val="lt-LT"/>
              </w:rPr>
            </w:pPr>
          </w:p>
        </w:tc>
      </w:tr>
      <w:tr w:rsidR="007915AC" w:rsidRPr="002616A1" w14:paraId="342F6BC0" w14:textId="77777777" w:rsidTr="007915AC">
        <w:trPr>
          <w:jc w:val="center"/>
        </w:trPr>
        <w:tc>
          <w:tcPr>
            <w:tcW w:w="709" w:type="dxa"/>
          </w:tcPr>
          <w:p w14:paraId="2E191095" w14:textId="5D0EC838"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9</w:t>
            </w:r>
            <w:r w:rsidR="00E17B9A">
              <w:rPr>
                <w:rFonts w:ascii="Times New Roman" w:hAnsi="Times New Roman" w:cs="Times New Roman"/>
                <w:sz w:val="24"/>
                <w:szCs w:val="24"/>
                <w:lang w:val="lt-LT"/>
              </w:rPr>
              <w:t>.</w:t>
            </w:r>
          </w:p>
        </w:tc>
        <w:tc>
          <w:tcPr>
            <w:tcW w:w="1842" w:type="dxa"/>
          </w:tcPr>
          <w:p w14:paraId="129DF5F4" w14:textId="77152006"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Duomenų eksportas</w:t>
            </w:r>
          </w:p>
        </w:tc>
        <w:tc>
          <w:tcPr>
            <w:tcW w:w="2830" w:type="dxa"/>
          </w:tcPr>
          <w:p w14:paraId="50F1529A" w14:textId="526C1323" w:rsidR="007915AC" w:rsidRPr="002616A1" w:rsidRDefault="007915AC" w:rsidP="0012483D">
            <w:pPr>
              <w:jc w:val="both"/>
              <w:rPr>
                <w:rFonts w:ascii="Times New Roman" w:hAnsi="Times New Roman" w:cs="Times New Roman"/>
                <w:sz w:val="24"/>
                <w:szCs w:val="24"/>
                <w:lang w:val="lt-LT"/>
              </w:rPr>
            </w:pPr>
            <w:r w:rsidRPr="002616A1">
              <w:rPr>
                <w:rFonts w:ascii="Times New Roman" w:hAnsi="Times New Roman" w:cs="Times New Roman"/>
                <w:sz w:val="24"/>
                <w:szCs w:val="24"/>
                <w:lang w:val="lt-LT"/>
              </w:rPr>
              <w:t>Suderinamumas su Microsoft Office arba lygiaverte</w:t>
            </w:r>
            <w:r>
              <w:rPr>
                <w:rFonts w:ascii="Times New Roman" w:hAnsi="Times New Roman" w:cs="Times New Roman"/>
                <w:sz w:val="24"/>
                <w:szCs w:val="24"/>
                <w:lang w:val="lt-LT"/>
              </w:rPr>
              <w:t xml:space="preserve"> programa</w:t>
            </w:r>
          </w:p>
        </w:tc>
        <w:tc>
          <w:tcPr>
            <w:tcW w:w="3828" w:type="dxa"/>
          </w:tcPr>
          <w:p w14:paraId="54FACA4A" w14:textId="40138E37" w:rsidR="007915AC" w:rsidRPr="002616A1" w:rsidRDefault="007915AC" w:rsidP="007915AC">
            <w:pPr>
              <w:rPr>
                <w:rFonts w:ascii="Times New Roman" w:hAnsi="Times New Roman" w:cs="Times New Roman"/>
                <w:sz w:val="24"/>
                <w:szCs w:val="24"/>
                <w:lang w:val="lt-LT"/>
              </w:rPr>
            </w:pPr>
          </w:p>
        </w:tc>
      </w:tr>
      <w:tr w:rsidR="007915AC" w:rsidRPr="00A347AB" w14:paraId="76988E59" w14:textId="77777777" w:rsidTr="007915AC">
        <w:trPr>
          <w:jc w:val="center"/>
        </w:trPr>
        <w:tc>
          <w:tcPr>
            <w:tcW w:w="709" w:type="dxa"/>
          </w:tcPr>
          <w:p w14:paraId="0F67D3A1" w14:textId="1B23FB3D" w:rsidR="007915AC" w:rsidRPr="002616A1" w:rsidRDefault="0012483D"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1</w:t>
            </w:r>
            <w:r>
              <w:rPr>
                <w:rFonts w:ascii="Times New Roman" w:hAnsi="Times New Roman" w:cs="Times New Roman"/>
                <w:sz w:val="24"/>
                <w:szCs w:val="24"/>
                <w:lang w:val="lt-LT"/>
              </w:rPr>
              <w:t>0</w:t>
            </w:r>
            <w:r w:rsidR="00E17B9A">
              <w:rPr>
                <w:rFonts w:ascii="Times New Roman" w:hAnsi="Times New Roman" w:cs="Times New Roman"/>
                <w:sz w:val="24"/>
                <w:szCs w:val="24"/>
                <w:lang w:val="lt-LT"/>
              </w:rPr>
              <w:t>.</w:t>
            </w:r>
          </w:p>
        </w:tc>
        <w:tc>
          <w:tcPr>
            <w:tcW w:w="1842" w:type="dxa"/>
          </w:tcPr>
          <w:p w14:paraId="1D2E9411" w14:textId="40070D83" w:rsidR="007915AC" w:rsidRPr="002616A1" w:rsidRDefault="007915AC" w:rsidP="007915AC">
            <w:pPr>
              <w:rPr>
                <w:rFonts w:ascii="Times New Roman" w:hAnsi="Times New Roman" w:cs="Times New Roman"/>
                <w:sz w:val="24"/>
                <w:szCs w:val="24"/>
                <w:lang w:val="lt-LT"/>
              </w:rPr>
            </w:pPr>
            <w:r w:rsidRPr="002616A1">
              <w:rPr>
                <w:rFonts w:ascii="Times New Roman" w:hAnsi="Times New Roman" w:cs="Times New Roman"/>
                <w:sz w:val="24"/>
                <w:szCs w:val="24"/>
                <w:lang w:val="lt-LT"/>
              </w:rPr>
              <w:t>Garantija</w:t>
            </w:r>
          </w:p>
        </w:tc>
        <w:tc>
          <w:tcPr>
            <w:tcW w:w="2830" w:type="dxa"/>
          </w:tcPr>
          <w:p w14:paraId="1EF31C15" w14:textId="19D65C26" w:rsidR="007915AC" w:rsidRPr="002616A1" w:rsidRDefault="00E678B7" w:rsidP="0012483D">
            <w:pPr>
              <w:jc w:val="both"/>
              <w:rPr>
                <w:rFonts w:ascii="Times New Roman" w:hAnsi="Times New Roman" w:cs="Times New Roman"/>
                <w:sz w:val="24"/>
                <w:szCs w:val="24"/>
                <w:lang w:val="lt-LT"/>
              </w:rPr>
            </w:pPr>
            <w:r>
              <w:rPr>
                <w:rFonts w:ascii="Times New Roman" w:hAnsi="Times New Roman" w:cs="Times New Roman"/>
                <w:sz w:val="24"/>
                <w:szCs w:val="24"/>
                <w:lang w:val="lt-LT"/>
              </w:rPr>
              <w:t>Garantija n</w:t>
            </w:r>
            <w:r w:rsidR="007915AC" w:rsidRPr="002616A1">
              <w:rPr>
                <w:rFonts w:ascii="Times New Roman" w:hAnsi="Times New Roman" w:cs="Times New Roman"/>
                <w:sz w:val="24"/>
                <w:szCs w:val="24"/>
                <w:lang w:val="lt-LT"/>
              </w:rPr>
              <w:t>e mažiau kaip 12 mėn.</w:t>
            </w:r>
          </w:p>
        </w:tc>
        <w:tc>
          <w:tcPr>
            <w:tcW w:w="3828" w:type="dxa"/>
          </w:tcPr>
          <w:p w14:paraId="6F89052D" w14:textId="79EFE830" w:rsidR="007915AC" w:rsidRPr="002616A1" w:rsidRDefault="003B3377" w:rsidP="007915AC">
            <w:pPr>
              <w:rPr>
                <w:rFonts w:ascii="Times New Roman" w:hAnsi="Times New Roman" w:cs="Times New Roman"/>
                <w:sz w:val="24"/>
                <w:szCs w:val="24"/>
                <w:lang w:val="lt-LT"/>
              </w:rPr>
            </w:pPr>
            <w:r w:rsidRPr="003B3377">
              <w:rPr>
                <w:rFonts w:ascii="Times New Roman" w:hAnsi="Times New Roman" w:cs="Times New Roman"/>
                <w:sz w:val="24"/>
                <w:szCs w:val="24"/>
                <w:lang w:val="lt-LT"/>
              </w:rPr>
              <w:t>Pastaba: šio reikalavimo atitiktį pagrindžiančių dokumentų nereikia pateikti, pakanka, kad tiekėjas užpildys šį techninės specifikacijos reikalavimą.</w:t>
            </w:r>
          </w:p>
        </w:tc>
      </w:tr>
      <w:tr w:rsidR="007B7719" w:rsidRPr="00A347AB" w14:paraId="6BBE859B" w14:textId="77777777" w:rsidTr="007915AC">
        <w:trPr>
          <w:jc w:val="center"/>
        </w:trPr>
        <w:tc>
          <w:tcPr>
            <w:tcW w:w="709" w:type="dxa"/>
          </w:tcPr>
          <w:p w14:paraId="25F8DB1D" w14:textId="5BBBB142" w:rsidR="007B7719" w:rsidRPr="002616A1" w:rsidRDefault="0012483D" w:rsidP="007B7719">
            <w:pPr>
              <w:rPr>
                <w:rFonts w:ascii="Times New Roman" w:hAnsi="Times New Roman" w:cs="Times New Roman"/>
                <w:sz w:val="24"/>
                <w:szCs w:val="24"/>
                <w:lang w:val="lt-LT"/>
              </w:rPr>
            </w:pPr>
            <w:r>
              <w:rPr>
                <w:rFonts w:ascii="Times New Roman" w:hAnsi="Times New Roman" w:cs="Times New Roman"/>
                <w:sz w:val="24"/>
                <w:szCs w:val="24"/>
                <w:lang w:val="lt-LT"/>
              </w:rPr>
              <w:t>11</w:t>
            </w:r>
            <w:r w:rsidR="007B7719">
              <w:rPr>
                <w:rFonts w:ascii="Times New Roman" w:hAnsi="Times New Roman" w:cs="Times New Roman"/>
                <w:sz w:val="24"/>
                <w:szCs w:val="24"/>
                <w:lang w:val="lt-LT"/>
              </w:rPr>
              <w:t>.</w:t>
            </w:r>
          </w:p>
        </w:tc>
        <w:tc>
          <w:tcPr>
            <w:tcW w:w="1842" w:type="dxa"/>
          </w:tcPr>
          <w:p w14:paraId="56FA9F0E" w14:textId="528E1EF2" w:rsidR="007B7719" w:rsidRPr="002616A1" w:rsidRDefault="007B7719" w:rsidP="007B7719">
            <w:pPr>
              <w:rPr>
                <w:rFonts w:ascii="Times New Roman" w:hAnsi="Times New Roman" w:cs="Times New Roman"/>
                <w:sz w:val="24"/>
                <w:szCs w:val="24"/>
                <w:lang w:val="lt-LT"/>
              </w:rPr>
            </w:pPr>
            <w:r w:rsidRPr="007B7719">
              <w:rPr>
                <w:rFonts w:ascii="Times New Roman" w:hAnsi="Times New Roman" w:cs="Times New Roman"/>
                <w:lang w:val="lt-LT"/>
              </w:rPr>
              <w:t xml:space="preserve">Reikalavimai, kurie nustatomi siekiant, kad  </w:t>
            </w:r>
            <w:r w:rsidRPr="007B7719">
              <w:rPr>
                <w:rFonts w:ascii="Times New Roman" w:hAnsi="Times New Roman" w:cs="Times New Roman"/>
                <w:lang w:val="lt-LT"/>
              </w:rPr>
              <w:lastRenderedPageBreak/>
              <w:t>projektas atitiktų reikšmingos žalos nedarymo principą</w:t>
            </w:r>
          </w:p>
        </w:tc>
        <w:tc>
          <w:tcPr>
            <w:tcW w:w="2830" w:type="dxa"/>
          </w:tcPr>
          <w:p w14:paraId="31460A93" w14:textId="77777777" w:rsidR="007B7719" w:rsidRPr="007B7719" w:rsidRDefault="007B7719" w:rsidP="0012483D">
            <w:pPr>
              <w:jc w:val="both"/>
              <w:rPr>
                <w:rFonts w:ascii="Times New Roman" w:hAnsi="Times New Roman" w:cs="Times New Roman"/>
                <w:lang w:val="lt-LT"/>
              </w:rPr>
            </w:pPr>
            <w:r w:rsidRPr="007B7719">
              <w:rPr>
                <w:rFonts w:ascii="Times New Roman" w:hAnsi="Times New Roman" w:cs="Times New Roman"/>
                <w:lang w:val="lt-LT"/>
              </w:rPr>
              <w:lastRenderedPageBreak/>
              <w:t>a) Įranga turi būti paženklinta CE ženklu;</w:t>
            </w:r>
          </w:p>
          <w:p w14:paraId="67106904" w14:textId="7C442066" w:rsidR="007B7719" w:rsidRPr="00010BBC" w:rsidRDefault="007B7719" w:rsidP="0012483D">
            <w:pPr>
              <w:jc w:val="both"/>
              <w:rPr>
                <w:rFonts w:ascii="Times New Roman" w:hAnsi="Times New Roman" w:cs="Times New Roman"/>
                <w:lang w:val="lt-LT"/>
              </w:rPr>
            </w:pPr>
            <w:r w:rsidRPr="007B7719">
              <w:rPr>
                <w:rFonts w:ascii="Times New Roman" w:hAnsi="Times New Roman" w:cs="Times New Roman"/>
                <w:lang w:val="lt-LT"/>
              </w:rPr>
              <w:lastRenderedPageBreak/>
              <w:t xml:space="preserve">b) Įranga turi atitikti efektyvumo, tvarumo, ilgaamžiškumo reikalavimus pagal </w:t>
            </w:r>
            <w:r w:rsidRPr="00010BBC">
              <w:rPr>
                <w:rFonts w:ascii="Times New Roman" w:hAnsi="Times New Roman" w:cs="Times New Roman"/>
                <w:lang w:val="lt-LT"/>
              </w:rPr>
              <w:t>2009 m. spalio 21 d. Europos Parlamento ir Tarybos direktyvą 2009/125/EB, nustatančią su energija susijusių gaminių ekologinio projektavimo reikalavimų nustatymo sistemą (toliau – Direktyva 2009/125/EC)</w:t>
            </w:r>
            <w:r w:rsidRPr="007B7719">
              <w:rPr>
                <w:rFonts w:ascii="Times New Roman" w:hAnsi="Times New Roman" w:cs="Times New Roman"/>
                <w:lang w:val="lt-LT"/>
              </w:rPr>
              <w:t>;</w:t>
            </w:r>
          </w:p>
          <w:p w14:paraId="7B99A075" w14:textId="77777777" w:rsidR="007B7719" w:rsidRPr="00010BBC" w:rsidRDefault="007B7719" w:rsidP="0012483D">
            <w:pPr>
              <w:jc w:val="both"/>
              <w:rPr>
                <w:rFonts w:ascii="Times New Roman" w:hAnsi="Times New Roman" w:cs="Times New Roman"/>
                <w:lang w:val="lt-LT"/>
              </w:rPr>
            </w:pPr>
            <w:r w:rsidRPr="00010BBC">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p w14:paraId="67B4CCC7" w14:textId="77777777" w:rsidR="007B7719" w:rsidRDefault="007B7719" w:rsidP="0012483D">
            <w:pPr>
              <w:jc w:val="both"/>
              <w:rPr>
                <w:rFonts w:ascii="Times New Roman" w:hAnsi="Times New Roman" w:cs="Times New Roman"/>
                <w:sz w:val="24"/>
                <w:szCs w:val="24"/>
                <w:lang w:val="lt-LT"/>
              </w:rPr>
            </w:pPr>
          </w:p>
        </w:tc>
        <w:tc>
          <w:tcPr>
            <w:tcW w:w="3828" w:type="dxa"/>
          </w:tcPr>
          <w:p w14:paraId="4FAD98D2" w14:textId="77777777" w:rsidR="007B7719" w:rsidRPr="00AD3952" w:rsidRDefault="007B7719" w:rsidP="007B7719">
            <w:pPr>
              <w:jc w:val="both"/>
              <w:rPr>
                <w:rFonts w:ascii="Times New Roman" w:hAnsi="Times New Roman" w:cs="Times New Roman"/>
                <w:b/>
                <w:bCs/>
                <w:lang w:val="lt-LT"/>
              </w:rPr>
            </w:pPr>
          </w:p>
          <w:p w14:paraId="51CC94EB" w14:textId="77777777" w:rsidR="007B7719" w:rsidRPr="00AD3952" w:rsidRDefault="007B7719" w:rsidP="007B7719">
            <w:pPr>
              <w:jc w:val="both"/>
              <w:rPr>
                <w:rFonts w:ascii="Times New Roman" w:hAnsi="Times New Roman" w:cs="Times New Roman"/>
                <w:b/>
                <w:bCs/>
                <w:lang w:val="lt-LT"/>
              </w:rPr>
            </w:pPr>
          </w:p>
          <w:p w14:paraId="3079D30A" w14:textId="77777777" w:rsidR="007B7719" w:rsidRPr="00AD3952" w:rsidRDefault="007B7719" w:rsidP="007B7719">
            <w:pPr>
              <w:jc w:val="both"/>
              <w:rPr>
                <w:rFonts w:ascii="Times New Roman" w:hAnsi="Times New Roman" w:cs="Times New Roman"/>
                <w:b/>
                <w:bCs/>
                <w:lang w:val="lt-LT"/>
              </w:rPr>
            </w:pPr>
          </w:p>
          <w:p w14:paraId="4CA1EE0A" w14:textId="77777777" w:rsidR="007B7719" w:rsidRPr="00AD3952" w:rsidRDefault="007B7719" w:rsidP="007B7719">
            <w:pPr>
              <w:jc w:val="both"/>
              <w:rPr>
                <w:rFonts w:ascii="Times New Roman" w:hAnsi="Times New Roman" w:cs="Times New Roman"/>
                <w:b/>
                <w:bCs/>
                <w:lang w:val="lt-LT"/>
              </w:rPr>
            </w:pPr>
          </w:p>
          <w:p w14:paraId="7B35D371" w14:textId="77777777" w:rsidR="007B7719" w:rsidRPr="00AD3952" w:rsidRDefault="007B7719" w:rsidP="007B7719">
            <w:pPr>
              <w:jc w:val="both"/>
              <w:rPr>
                <w:rFonts w:ascii="Times New Roman" w:hAnsi="Times New Roman" w:cs="Times New Roman"/>
                <w:b/>
                <w:bCs/>
                <w:lang w:val="lt-LT"/>
              </w:rPr>
            </w:pPr>
            <w:r w:rsidRPr="00AD3952">
              <w:rPr>
                <w:rFonts w:ascii="Times New Roman" w:hAnsi="Times New Roman" w:cs="Times New Roman"/>
                <w:b/>
                <w:bCs/>
                <w:lang w:val="lt-LT"/>
              </w:rPr>
              <w:t>Bendra pastaba a-c punktams: šių reikalavimų atitiktį patvirtinančių gamintojo dokumentų ar gamintojo patvirtinimų kartu su pasiūlymu nereikia pateikti, pakanka, kad tiekėjas 4 stulpelyje deklaruotų, t.</w:t>
            </w:r>
            <w:r>
              <w:rPr>
                <w:rFonts w:ascii="Times New Roman" w:hAnsi="Times New Roman" w:cs="Times New Roman"/>
                <w:b/>
                <w:bCs/>
                <w:lang w:val="lt-LT"/>
              </w:rPr>
              <w:t xml:space="preserve"> </w:t>
            </w:r>
            <w:r w:rsidRPr="00AD3952">
              <w:rPr>
                <w:rFonts w:ascii="Times New Roman" w:hAnsi="Times New Roman" w:cs="Times New Roman"/>
                <w:b/>
                <w:bCs/>
                <w:lang w:val="lt-LT"/>
              </w:rPr>
              <w:t xml:space="preserve">y. pažymėtų žemiau, ar atitinka šiuos reikalavimus: </w:t>
            </w:r>
          </w:p>
          <w:p w14:paraId="5AFD7FC6" w14:textId="77777777" w:rsidR="007B7719" w:rsidRPr="007B7719" w:rsidRDefault="007B7719" w:rsidP="007B7719">
            <w:pPr>
              <w:pStyle w:val="NormalWeb"/>
              <w:spacing w:line="240" w:lineRule="atLeast"/>
              <w:jc w:val="center"/>
              <w:rPr>
                <w:rFonts w:eastAsia="Calibri"/>
                <w:b/>
                <w:bCs/>
                <w:highlight w:val="yellow"/>
                <w:lang w:val="lt-LT"/>
              </w:rPr>
            </w:pPr>
          </w:p>
          <w:p w14:paraId="4A1BB428" w14:textId="77777777" w:rsidR="007B7719" w:rsidRPr="007B7719" w:rsidRDefault="007B7719" w:rsidP="007B7719">
            <w:pPr>
              <w:pStyle w:val="NormalWeb"/>
              <w:spacing w:line="240" w:lineRule="atLeast"/>
              <w:jc w:val="center"/>
              <w:rPr>
                <w:rFonts w:eastAsia="Calibri"/>
                <w:b/>
                <w:bCs/>
                <w:lang w:val="lt-LT"/>
              </w:rPr>
            </w:pPr>
            <w:r w:rsidRPr="007B7719">
              <w:rPr>
                <w:rFonts w:eastAsia="Calibri"/>
                <w:b/>
                <w:bCs/>
                <w:highlight w:val="yellow"/>
                <w:lang w:val="lt-LT"/>
              </w:rPr>
              <w:t>TAIP/NE</w:t>
            </w:r>
          </w:p>
          <w:p w14:paraId="23DB4B95" w14:textId="77777777" w:rsidR="007B7719" w:rsidRPr="007B7719" w:rsidRDefault="007B7719" w:rsidP="007B7719">
            <w:pPr>
              <w:pStyle w:val="NormalWeb"/>
              <w:spacing w:line="240" w:lineRule="atLeast"/>
              <w:jc w:val="center"/>
              <w:rPr>
                <w:rFonts w:eastAsia="Calibri"/>
                <w:lang w:val="lt-LT"/>
              </w:rPr>
            </w:pPr>
            <w:r w:rsidRPr="007B7719">
              <w:rPr>
                <w:rFonts w:eastAsia="Calibri"/>
                <w:lang w:val="lt-LT"/>
              </w:rPr>
              <w:t>(tinkamą pažymėti)</w:t>
            </w:r>
          </w:p>
          <w:p w14:paraId="2EEF5FEF" w14:textId="77777777" w:rsidR="007B7719" w:rsidRPr="00010BBC" w:rsidRDefault="007B7719" w:rsidP="007B7719">
            <w:pPr>
              <w:jc w:val="both"/>
              <w:rPr>
                <w:rFonts w:ascii="Times New Roman" w:hAnsi="Times New Roman" w:cs="Times New Roman"/>
                <w:b/>
                <w:bCs/>
                <w:lang w:val="lt-LT"/>
              </w:rPr>
            </w:pPr>
          </w:p>
          <w:p w14:paraId="30400E45" w14:textId="77777777" w:rsidR="007B7719" w:rsidRPr="00010BBC" w:rsidRDefault="007B7719" w:rsidP="007B7719">
            <w:pPr>
              <w:jc w:val="both"/>
              <w:rPr>
                <w:rFonts w:ascii="Times New Roman" w:hAnsi="Times New Roman" w:cs="Times New Roman"/>
                <w:b/>
                <w:bCs/>
                <w:lang w:val="lt-LT"/>
              </w:rPr>
            </w:pPr>
          </w:p>
          <w:p w14:paraId="1E20CF54" w14:textId="24703A9F" w:rsidR="007B7719" w:rsidRPr="003B3377" w:rsidRDefault="007B7719" w:rsidP="0012483D">
            <w:pPr>
              <w:jc w:val="both"/>
              <w:rPr>
                <w:rFonts w:ascii="Times New Roman" w:hAnsi="Times New Roman" w:cs="Times New Roman"/>
                <w:sz w:val="24"/>
                <w:szCs w:val="24"/>
                <w:lang w:val="lt-LT"/>
              </w:rPr>
            </w:pPr>
            <w:r>
              <w:rPr>
                <w:rFonts w:ascii="Times New Roman" w:hAnsi="Times New Roman" w:cs="Times New Roman"/>
                <w:b/>
                <w:bCs/>
                <w:lang w:val="lt-LT"/>
              </w:rPr>
              <w:t>Į</w:t>
            </w:r>
            <w:r w:rsidRPr="00010BBC">
              <w:rPr>
                <w:rFonts w:ascii="Times New Roman" w:hAnsi="Times New Roman" w:cs="Times New Roman"/>
                <w:b/>
                <w:bCs/>
                <w:lang w:val="lt-LT"/>
              </w:rPr>
              <w:t>rodančius dokumentus Tiekėjas turės pateikti kartu su prekėmis.</w:t>
            </w:r>
          </w:p>
        </w:tc>
      </w:tr>
    </w:tbl>
    <w:p w14:paraId="6A1945BB" w14:textId="77777777" w:rsidR="000D0357" w:rsidRPr="00DC4B6F" w:rsidRDefault="000D0357" w:rsidP="000D0357">
      <w:pPr>
        <w:spacing w:after="0" w:line="240" w:lineRule="auto"/>
        <w:ind w:firstLine="709"/>
        <w:jc w:val="both"/>
        <w:rPr>
          <w:rFonts w:ascii="Times New Roman" w:eastAsia="Calibri" w:hAnsi="Times New Roman" w:cs="Times New Roman"/>
          <w:sz w:val="24"/>
          <w:szCs w:val="24"/>
          <w:lang w:val="lt-LT"/>
        </w:rPr>
      </w:pPr>
      <w:r w:rsidRPr="00DC4B6F">
        <w:rPr>
          <w:rFonts w:ascii="Times New Roman" w:eastAsia="Calibri" w:hAnsi="Times New Roman" w:cs="Times New Roman"/>
          <w:sz w:val="24"/>
          <w:szCs w:val="24"/>
          <w:lang w:val="lt-LT"/>
        </w:rPr>
        <w:lastRenderedPageBreak/>
        <w:t>Pastabos:</w:t>
      </w:r>
    </w:p>
    <w:p w14:paraId="6694F81D" w14:textId="77777777" w:rsidR="000D0357" w:rsidRPr="00DC4B6F" w:rsidRDefault="000D0357" w:rsidP="000D0357">
      <w:pPr>
        <w:spacing w:after="0" w:line="240" w:lineRule="auto"/>
        <w:ind w:firstLine="709"/>
        <w:jc w:val="both"/>
        <w:rPr>
          <w:rFonts w:ascii="Times New Roman" w:eastAsia="Calibri" w:hAnsi="Times New Roman" w:cs="Times New Roman"/>
          <w:i/>
          <w:iCs/>
          <w:sz w:val="24"/>
          <w:szCs w:val="24"/>
          <w:lang w:val="lt-LT"/>
        </w:rPr>
      </w:pPr>
      <w:r w:rsidRPr="00DC4B6F">
        <w:rPr>
          <w:rFonts w:ascii="Times New Roman" w:eastAsia="Calibri" w:hAnsi="Times New Roman" w:cs="Times New Roman"/>
          <w:i/>
          <w:iCs/>
          <w:sz w:val="24"/>
          <w:szCs w:val="24"/>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DC4B6F">
        <w:rPr>
          <w:rFonts w:ascii="Times New Roman" w:eastAsia="Calibri" w:hAnsi="Times New Roman" w:cs="Times New Roman"/>
          <w:sz w:val="24"/>
          <w:szCs w:val="24"/>
          <w:lang w:val="lt-LT"/>
        </w:rPr>
        <w:t xml:space="preserve"> </w:t>
      </w:r>
      <w:r w:rsidRPr="00DC4B6F">
        <w:rPr>
          <w:rFonts w:ascii="Times New Roman" w:eastAsia="Calibri" w:hAnsi="Times New Roman" w:cs="Times New Roman"/>
          <w:i/>
          <w:iCs/>
          <w:sz w:val="24"/>
          <w:szCs w:val="24"/>
          <w:lang w:val="lt-LT"/>
        </w:rPr>
        <w:t>2 proc.</w:t>
      </w:r>
    </w:p>
    <w:p w14:paraId="438C0E85" w14:textId="77777777" w:rsidR="00182FD5" w:rsidRDefault="00182FD5" w:rsidP="00DC4B6F">
      <w:pPr>
        <w:spacing w:after="0" w:line="240" w:lineRule="auto"/>
        <w:ind w:firstLine="709"/>
        <w:jc w:val="both"/>
        <w:rPr>
          <w:rFonts w:ascii="Times New Roman" w:eastAsia="Calibri" w:hAnsi="Times New Roman" w:cs="Times New Roman"/>
          <w:sz w:val="24"/>
          <w:szCs w:val="24"/>
          <w:lang w:val="lt-LT"/>
        </w:rPr>
      </w:pPr>
    </w:p>
    <w:p w14:paraId="6B8A0DE6" w14:textId="77777777" w:rsidR="00AF58E5" w:rsidRDefault="00AF58E5" w:rsidP="00DC4B6F">
      <w:pPr>
        <w:spacing w:after="0" w:line="240" w:lineRule="auto"/>
        <w:ind w:firstLine="709"/>
        <w:jc w:val="both"/>
        <w:rPr>
          <w:rFonts w:ascii="Times New Roman" w:eastAsia="Calibri" w:hAnsi="Times New Roman" w:cs="Times New Roman"/>
          <w:sz w:val="24"/>
          <w:szCs w:val="24"/>
          <w:lang w:val="lt-LT"/>
        </w:rPr>
      </w:pPr>
    </w:p>
    <w:p w14:paraId="21266A0C"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Taikomi žemiau nurodyti Lietuvos Respublikos aplinkos ministro 2011 m. birželio 28 d. įsakymu Nr. D1-508 „Dėl aplinkos apsaugos kriterijų taikymo, vykdant žaliuosius pirkimus, tvarkos aprašo patvirtinimo“ (aktualia redakcija) reikalavimai:</w:t>
      </w:r>
    </w:p>
    <w:p w14:paraId="59BF0308" w14:textId="77777777" w:rsidR="00893846" w:rsidRPr="00893846" w:rsidRDefault="00893846" w:rsidP="00893846">
      <w:pPr>
        <w:shd w:val="clear" w:color="auto" w:fill="FFFFFF"/>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0FE43E59" w14:textId="77777777" w:rsidR="00893846" w:rsidRPr="00893846" w:rsidRDefault="00893846" w:rsidP="00893846">
      <w:pPr>
        <w:shd w:val="clear" w:color="auto" w:fill="FFFFFF"/>
        <w:spacing w:after="0" w:line="240" w:lineRule="auto"/>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bdr w:val="none" w:sz="0" w:space="0" w:color="auto" w:frame="1"/>
          <w:lang w:val="lt-LT" w:eastAsia="lt-LT"/>
        </w:rPr>
        <w:lastRenderedPageBreak/>
        <w:t></w:t>
      </w:r>
    </w:p>
    <w:tbl>
      <w:tblPr>
        <w:tblW w:w="97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5106"/>
        <w:gridCol w:w="3859"/>
      </w:tblGrid>
      <w:tr w:rsidR="00893846" w:rsidRPr="00A347AB" w14:paraId="5461FEA0" w14:textId="77777777" w:rsidTr="007B7719">
        <w:trPr>
          <w:jc w:val="center"/>
        </w:trPr>
        <w:tc>
          <w:tcPr>
            <w:tcW w:w="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89A26"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Eil. Nr.</w:t>
            </w:r>
          </w:p>
        </w:tc>
        <w:tc>
          <w:tcPr>
            <w:tcW w:w="5106"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107E780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Aplinkos apsaugos kriterijai</w:t>
            </w:r>
          </w:p>
        </w:tc>
        <w:tc>
          <w:tcPr>
            <w:tcW w:w="385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ECF5E50"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Atitiktį aplinkos kriterijams pagrindžiantys dokumentai (jei reikalaujama)</w:t>
            </w:r>
          </w:p>
        </w:tc>
      </w:tr>
      <w:tr w:rsidR="00893846" w:rsidRPr="00893846" w14:paraId="1C704157" w14:textId="77777777" w:rsidTr="007B7719">
        <w:trPr>
          <w:jc w:val="center"/>
        </w:trPr>
        <w:tc>
          <w:tcPr>
            <w:tcW w:w="762"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2189D"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1.</w:t>
            </w:r>
          </w:p>
        </w:tc>
        <w:tc>
          <w:tcPr>
            <w:tcW w:w="510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A272CBC"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 </w:t>
            </w:r>
          </w:p>
          <w:p w14:paraId="1BEBD8C7"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b/>
                <w:bCs/>
                <w:color w:val="242424"/>
                <w:sz w:val="24"/>
                <w:szCs w:val="24"/>
                <w:lang w:val="lt-LT" w:eastAsia="lt-LT"/>
              </w:rPr>
              <w:t>4 punkto 4.4.4.2. papunktis:</w:t>
            </w:r>
          </w:p>
          <w:p w14:paraId="41E811C6"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xml:space="preserve">Perkamas inovatyvus įrenginys darantis kuo mažesnį neigiamą poveikį aplinkai. </w:t>
            </w:r>
          </w:p>
          <w:p w14:paraId="7EFEBDB4" w14:textId="77777777" w:rsidR="00893846" w:rsidRPr="00893846" w:rsidRDefault="00893846" w:rsidP="00EC1DCB">
            <w:pPr>
              <w:spacing w:after="0" w:line="240" w:lineRule="auto"/>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Tiekėjas įsipareigoja parengti mokymus pirkimo vykdytojo darbuotojams, kuriuose būtų aptarti </w:t>
            </w:r>
            <w:r w:rsidRPr="00893846">
              <w:rPr>
                <w:rFonts w:ascii="Times New Roman" w:eastAsia="Times New Roman" w:hAnsi="Times New Roman" w:cs="Times New Roman"/>
                <w:b/>
                <w:bCs/>
                <w:color w:val="242424"/>
                <w:sz w:val="24"/>
                <w:szCs w:val="24"/>
                <w:lang w:val="lt-LT" w:eastAsia="lt-LT"/>
              </w:rPr>
              <w:t>įrangos elektros energijos</w:t>
            </w:r>
            <w:r w:rsidRPr="00893846">
              <w:rPr>
                <w:rFonts w:ascii="Times New Roman" w:eastAsia="Times New Roman" w:hAnsi="Times New Roman" w:cs="Times New Roman"/>
                <w:color w:val="242424"/>
                <w:sz w:val="24"/>
                <w:szCs w:val="24"/>
                <w:lang w:val="lt-LT" w:eastAsia="lt-LT"/>
              </w:rPr>
              <w:t> vartojimo efektyvumo didinimo aspektai (parametrų reguliavimas, tikslinimas, režimų pasirinkimas ir kt.). Tiekėjas įsipareigoja apmokyti ne mažiau kaip 2 pirkėjo specialistus, ne trumpiau  kaip 4 valandas.</w:t>
            </w:r>
          </w:p>
        </w:tc>
        <w:tc>
          <w:tcPr>
            <w:tcW w:w="385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DC0AE5C"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Pagrindžiantys dokumentai nereikalaujami, Tiekėjas šį reikalavimą patvirtina teikdamas pasiūlymą.</w:t>
            </w:r>
          </w:p>
          <w:p w14:paraId="33EDBE96" w14:textId="77777777" w:rsidR="00893846" w:rsidRPr="00893846" w:rsidRDefault="00893846" w:rsidP="00EC1DCB">
            <w:pPr>
              <w:spacing w:after="0" w:line="240" w:lineRule="atLeast"/>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42B55F0D"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7B7719">
              <w:rPr>
                <w:rFonts w:ascii="Times New Roman" w:eastAsia="Times New Roman" w:hAnsi="Times New Roman" w:cs="Times New Roman"/>
                <w:b/>
                <w:bCs/>
                <w:color w:val="242424"/>
                <w:sz w:val="24"/>
                <w:szCs w:val="24"/>
                <w:highlight w:val="yellow"/>
                <w:lang w:val="lt-LT" w:eastAsia="lt-LT"/>
              </w:rPr>
              <w:t>TAIP/NE</w:t>
            </w:r>
          </w:p>
          <w:p w14:paraId="430C5867"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(tinkamą pažymėti)</w:t>
            </w:r>
          </w:p>
          <w:p w14:paraId="4BA849B9" w14:textId="77777777" w:rsidR="00893846" w:rsidRPr="00893846" w:rsidRDefault="00893846" w:rsidP="00EC1DCB">
            <w:pPr>
              <w:spacing w:after="0" w:line="240" w:lineRule="atLeast"/>
              <w:jc w:val="center"/>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p w14:paraId="1221240A" w14:textId="77777777" w:rsidR="00893846" w:rsidRPr="00893846" w:rsidRDefault="00893846" w:rsidP="00EC1DCB">
            <w:pPr>
              <w:spacing w:after="0" w:line="240" w:lineRule="atLeast"/>
              <w:jc w:val="both"/>
              <w:textAlignment w:val="baseline"/>
              <w:rPr>
                <w:rFonts w:ascii="Times New Roman" w:eastAsia="Times New Roman" w:hAnsi="Times New Roman" w:cs="Times New Roman"/>
                <w:color w:val="242424"/>
                <w:sz w:val="24"/>
                <w:szCs w:val="24"/>
                <w:lang w:val="lt-LT" w:eastAsia="lt-LT"/>
              </w:rPr>
            </w:pPr>
            <w:r w:rsidRPr="00893846">
              <w:rPr>
                <w:rFonts w:ascii="Times New Roman" w:eastAsia="Times New Roman" w:hAnsi="Times New Roman" w:cs="Times New Roman"/>
                <w:color w:val="242424"/>
                <w:sz w:val="24"/>
                <w:szCs w:val="24"/>
                <w:lang w:val="lt-LT" w:eastAsia="lt-LT"/>
              </w:rPr>
              <w:t> </w:t>
            </w:r>
          </w:p>
        </w:tc>
      </w:tr>
    </w:tbl>
    <w:p w14:paraId="376CCE79"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15979A4C" w14:textId="77777777" w:rsidR="008704EE" w:rsidRDefault="008704EE" w:rsidP="00DC4B6F">
      <w:pPr>
        <w:spacing w:after="0" w:line="240" w:lineRule="auto"/>
        <w:ind w:firstLine="709"/>
        <w:jc w:val="both"/>
        <w:rPr>
          <w:rFonts w:ascii="Times New Roman" w:eastAsia="Calibri" w:hAnsi="Times New Roman" w:cs="Times New Roman"/>
          <w:sz w:val="24"/>
          <w:szCs w:val="24"/>
          <w:lang w:val="lt-LT"/>
        </w:rPr>
      </w:pPr>
    </w:p>
    <w:p w14:paraId="26702511" w14:textId="794CCADE" w:rsidR="006312B2" w:rsidRPr="002B42F7" w:rsidRDefault="006312B2" w:rsidP="00DC4B6F">
      <w:pPr>
        <w:rPr>
          <w:rFonts w:ascii="Times New Roman" w:hAnsi="Times New Roman" w:cs="Times New Roman"/>
          <w:sz w:val="24"/>
          <w:szCs w:val="24"/>
          <w:lang w:val="lt-LT"/>
        </w:rPr>
      </w:pPr>
    </w:p>
    <w:sectPr w:rsidR="006312B2" w:rsidRPr="002B42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5A141F"/>
    <w:multiLevelType w:val="hybridMultilevel"/>
    <w:tmpl w:val="1E12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661E4"/>
    <w:multiLevelType w:val="hybridMultilevel"/>
    <w:tmpl w:val="2A52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0549837">
    <w:abstractNumId w:val="8"/>
  </w:num>
  <w:num w:numId="2" w16cid:durableId="1308165260">
    <w:abstractNumId w:val="6"/>
  </w:num>
  <w:num w:numId="3" w16cid:durableId="1126239295">
    <w:abstractNumId w:val="5"/>
  </w:num>
  <w:num w:numId="4" w16cid:durableId="1568416029">
    <w:abstractNumId w:val="4"/>
  </w:num>
  <w:num w:numId="5" w16cid:durableId="1649288607">
    <w:abstractNumId w:val="7"/>
  </w:num>
  <w:num w:numId="6" w16cid:durableId="755635363">
    <w:abstractNumId w:val="3"/>
  </w:num>
  <w:num w:numId="7" w16cid:durableId="26567020">
    <w:abstractNumId w:val="2"/>
  </w:num>
  <w:num w:numId="8" w16cid:durableId="1073696199">
    <w:abstractNumId w:val="1"/>
  </w:num>
  <w:num w:numId="9" w16cid:durableId="914246043">
    <w:abstractNumId w:val="0"/>
  </w:num>
  <w:num w:numId="10" w16cid:durableId="507527541">
    <w:abstractNumId w:val="10"/>
  </w:num>
  <w:num w:numId="11" w16cid:durableId="2133281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3E"/>
    <w:rsid w:val="00034525"/>
    <w:rsid w:val="00034616"/>
    <w:rsid w:val="00037CD7"/>
    <w:rsid w:val="0006063C"/>
    <w:rsid w:val="000637C1"/>
    <w:rsid w:val="0007366F"/>
    <w:rsid w:val="00076B51"/>
    <w:rsid w:val="00095D47"/>
    <w:rsid w:val="000A385B"/>
    <w:rsid w:val="000D0357"/>
    <w:rsid w:val="0012483D"/>
    <w:rsid w:val="00131DE7"/>
    <w:rsid w:val="0015074B"/>
    <w:rsid w:val="00182FD5"/>
    <w:rsid w:val="00243652"/>
    <w:rsid w:val="002564E4"/>
    <w:rsid w:val="002616A1"/>
    <w:rsid w:val="00285925"/>
    <w:rsid w:val="0029639D"/>
    <w:rsid w:val="002B42F7"/>
    <w:rsid w:val="002E087C"/>
    <w:rsid w:val="003022A5"/>
    <w:rsid w:val="003034EA"/>
    <w:rsid w:val="003155C1"/>
    <w:rsid w:val="00317AFD"/>
    <w:rsid w:val="00326F90"/>
    <w:rsid w:val="00357431"/>
    <w:rsid w:val="003A6A93"/>
    <w:rsid w:val="003B3377"/>
    <w:rsid w:val="003B5AD1"/>
    <w:rsid w:val="003C32E9"/>
    <w:rsid w:val="003C7E0E"/>
    <w:rsid w:val="003F0AB0"/>
    <w:rsid w:val="003F12A2"/>
    <w:rsid w:val="003F4B2B"/>
    <w:rsid w:val="004072EC"/>
    <w:rsid w:val="00412CFC"/>
    <w:rsid w:val="00414DB3"/>
    <w:rsid w:val="00455DF2"/>
    <w:rsid w:val="004637E3"/>
    <w:rsid w:val="004756BC"/>
    <w:rsid w:val="00481DEA"/>
    <w:rsid w:val="004854F3"/>
    <w:rsid w:val="004B37A3"/>
    <w:rsid w:val="004B48F0"/>
    <w:rsid w:val="004E76D0"/>
    <w:rsid w:val="004F1556"/>
    <w:rsid w:val="00520787"/>
    <w:rsid w:val="005423E0"/>
    <w:rsid w:val="00572D0A"/>
    <w:rsid w:val="00592D93"/>
    <w:rsid w:val="005A4E93"/>
    <w:rsid w:val="005E7187"/>
    <w:rsid w:val="005F0532"/>
    <w:rsid w:val="005F0819"/>
    <w:rsid w:val="006312B2"/>
    <w:rsid w:val="00653730"/>
    <w:rsid w:val="00662682"/>
    <w:rsid w:val="00682EF5"/>
    <w:rsid w:val="006E68A5"/>
    <w:rsid w:val="00704072"/>
    <w:rsid w:val="00762A23"/>
    <w:rsid w:val="007669B8"/>
    <w:rsid w:val="00781CDF"/>
    <w:rsid w:val="007915AC"/>
    <w:rsid w:val="007B7719"/>
    <w:rsid w:val="007C498A"/>
    <w:rsid w:val="007E3D0A"/>
    <w:rsid w:val="00854F57"/>
    <w:rsid w:val="008704EE"/>
    <w:rsid w:val="00874532"/>
    <w:rsid w:val="0088236F"/>
    <w:rsid w:val="00886134"/>
    <w:rsid w:val="00893846"/>
    <w:rsid w:val="008B0128"/>
    <w:rsid w:val="008D5E20"/>
    <w:rsid w:val="008F6942"/>
    <w:rsid w:val="00951C2B"/>
    <w:rsid w:val="009A1B37"/>
    <w:rsid w:val="009C0078"/>
    <w:rsid w:val="009F1DF4"/>
    <w:rsid w:val="00A02E35"/>
    <w:rsid w:val="00A2605A"/>
    <w:rsid w:val="00A27FBA"/>
    <w:rsid w:val="00A31B17"/>
    <w:rsid w:val="00A347AB"/>
    <w:rsid w:val="00A505F8"/>
    <w:rsid w:val="00A528A3"/>
    <w:rsid w:val="00A54AE6"/>
    <w:rsid w:val="00A82FD9"/>
    <w:rsid w:val="00AA1D8D"/>
    <w:rsid w:val="00AC3484"/>
    <w:rsid w:val="00AF58E5"/>
    <w:rsid w:val="00B42BAC"/>
    <w:rsid w:val="00B47730"/>
    <w:rsid w:val="00B519F8"/>
    <w:rsid w:val="00B5541B"/>
    <w:rsid w:val="00B7613D"/>
    <w:rsid w:val="00BA3304"/>
    <w:rsid w:val="00BB35B9"/>
    <w:rsid w:val="00BF235E"/>
    <w:rsid w:val="00C05EA9"/>
    <w:rsid w:val="00C56A5B"/>
    <w:rsid w:val="00C61C37"/>
    <w:rsid w:val="00C8421D"/>
    <w:rsid w:val="00CB0664"/>
    <w:rsid w:val="00CC6E5B"/>
    <w:rsid w:val="00CD1C91"/>
    <w:rsid w:val="00D20083"/>
    <w:rsid w:val="00D308B6"/>
    <w:rsid w:val="00D42BB2"/>
    <w:rsid w:val="00D46840"/>
    <w:rsid w:val="00D529DD"/>
    <w:rsid w:val="00D61A94"/>
    <w:rsid w:val="00D630D1"/>
    <w:rsid w:val="00D8388F"/>
    <w:rsid w:val="00D86DEB"/>
    <w:rsid w:val="00DC4B6F"/>
    <w:rsid w:val="00E05DCA"/>
    <w:rsid w:val="00E17B9A"/>
    <w:rsid w:val="00E43FEC"/>
    <w:rsid w:val="00E56774"/>
    <w:rsid w:val="00E678B7"/>
    <w:rsid w:val="00EC05C3"/>
    <w:rsid w:val="00EC51CC"/>
    <w:rsid w:val="00EE29BF"/>
    <w:rsid w:val="00F11CDE"/>
    <w:rsid w:val="00F5348D"/>
    <w:rsid w:val="00F901FD"/>
    <w:rsid w:val="00FB057F"/>
    <w:rsid w:val="00FC693F"/>
    <w:rsid w:val="00FC7851"/>
    <w:rsid w:val="00FD2721"/>
    <w:rsid w:val="00FF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7EFC9"/>
  <w14:defaultImageDpi w14:val="300"/>
  <w15:docId w15:val="{E4D2D491-2FFB-400C-B5DC-7AFF285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B42F7"/>
    <w:pPr>
      <w:spacing w:after="0" w:line="240" w:lineRule="auto"/>
    </w:pPr>
  </w:style>
  <w:style w:type="character" w:styleId="CommentReference">
    <w:name w:val="annotation reference"/>
    <w:basedOn w:val="DefaultParagraphFont"/>
    <w:uiPriority w:val="99"/>
    <w:semiHidden/>
    <w:unhideWhenUsed/>
    <w:rsid w:val="002B42F7"/>
    <w:rPr>
      <w:sz w:val="16"/>
      <w:szCs w:val="16"/>
    </w:rPr>
  </w:style>
  <w:style w:type="paragraph" w:styleId="CommentText">
    <w:name w:val="annotation text"/>
    <w:basedOn w:val="Normal"/>
    <w:link w:val="CommentTextChar"/>
    <w:uiPriority w:val="99"/>
    <w:unhideWhenUsed/>
    <w:rsid w:val="002B42F7"/>
    <w:pPr>
      <w:spacing w:line="240" w:lineRule="auto"/>
    </w:pPr>
    <w:rPr>
      <w:sz w:val="20"/>
      <w:szCs w:val="20"/>
    </w:rPr>
  </w:style>
  <w:style w:type="character" w:customStyle="1" w:styleId="CommentTextChar">
    <w:name w:val="Comment Text Char"/>
    <w:basedOn w:val="DefaultParagraphFont"/>
    <w:link w:val="CommentText"/>
    <w:uiPriority w:val="99"/>
    <w:rsid w:val="002B42F7"/>
    <w:rPr>
      <w:sz w:val="20"/>
      <w:szCs w:val="20"/>
    </w:rPr>
  </w:style>
  <w:style w:type="paragraph" w:styleId="CommentSubject">
    <w:name w:val="annotation subject"/>
    <w:basedOn w:val="CommentText"/>
    <w:next w:val="CommentText"/>
    <w:link w:val="CommentSubjectChar"/>
    <w:uiPriority w:val="99"/>
    <w:semiHidden/>
    <w:unhideWhenUsed/>
    <w:rsid w:val="002B42F7"/>
    <w:rPr>
      <w:b/>
      <w:bCs/>
    </w:rPr>
  </w:style>
  <w:style w:type="character" w:customStyle="1" w:styleId="CommentSubjectChar">
    <w:name w:val="Comment Subject Char"/>
    <w:basedOn w:val="CommentTextChar"/>
    <w:link w:val="CommentSubject"/>
    <w:uiPriority w:val="99"/>
    <w:semiHidden/>
    <w:rsid w:val="002B42F7"/>
    <w:rPr>
      <w:b/>
      <w:bCs/>
      <w:sz w:val="20"/>
      <w:szCs w:val="20"/>
    </w:rPr>
  </w:style>
  <w:style w:type="paragraph" w:styleId="NormalWeb">
    <w:name w:val="Normal (Web)"/>
    <w:basedOn w:val="Normal"/>
    <w:uiPriority w:val="99"/>
    <w:unhideWhenUsed/>
    <w:rsid w:val="00BF23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61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26B-6A17-4650-B6DC-35785A7A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3985</Words>
  <Characters>2273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Gitana Kadžienė</cp:lastModifiedBy>
  <cp:revision>2</cp:revision>
  <cp:lastPrinted>2026-06-15T05:50:00Z</cp:lastPrinted>
  <dcterms:created xsi:type="dcterms:W3CDTF">2026-06-15T05:56:00Z</dcterms:created>
  <dcterms:modified xsi:type="dcterms:W3CDTF">2026-06-15T05:56:00Z</dcterms:modified>
  <cp:category/>
</cp:coreProperties>
</file>