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0A9435CC"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1B78BF">
        <w:rPr>
          <w:rFonts w:ascii="Arial" w:hAnsi="Arial" w:cs="Arial"/>
          <w:b/>
          <w:sz w:val="22"/>
          <w:szCs w:val="22"/>
        </w:rPr>
        <w:t>JURBARKO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44D67575" w:rsidR="002F4089" w:rsidRPr="002F4089" w:rsidRDefault="001B78BF"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9</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Pr="001B78BF">
        <w:rPr>
          <w:rFonts w:ascii="Arial" w:eastAsia="Calibri" w:hAnsi="Arial" w:cs="Arial"/>
          <w:b/>
          <w:bCs/>
          <w:sz w:val="22"/>
          <w:szCs w:val="22"/>
          <w:u w:val="single"/>
        </w:rPr>
        <w:t>Jurbarko</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p>
    <w:p w14:paraId="66158CAE" w14:textId="57C2182F" w:rsidR="002F4089" w:rsidRDefault="001B78BF" w:rsidP="002F4089">
      <w:pPr>
        <w:pStyle w:val="Komentarotekstas"/>
        <w:tabs>
          <w:tab w:val="left" w:pos="993"/>
        </w:tabs>
        <w:spacing w:after="0"/>
        <w:jc w:val="both"/>
        <w:rPr>
          <w:rFonts w:ascii="Arial" w:eastAsia="Calibri" w:hAnsi="Arial" w:cs="Arial"/>
          <w:b/>
          <w:bCs/>
          <w:sz w:val="22"/>
          <w:szCs w:val="22"/>
          <w:u w:val="single"/>
        </w:rPr>
      </w:pPr>
      <w:r>
        <w:rPr>
          <w:rFonts w:ascii="Arial" w:eastAsia="Calibri" w:hAnsi="Arial" w:cs="Arial"/>
          <w:b/>
          <w:bCs/>
          <w:sz w:val="22"/>
          <w:szCs w:val="22"/>
          <w:u w:val="single"/>
        </w:rPr>
        <w:t>Kalvelių</w:t>
      </w:r>
      <w:r w:rsidR="00B716EC" w:rsidRPr="00B716EC">
        <w:rPr>
          <w:rFonts w:ascii="Arial" w:eastAsia="Calibri" w:hAnsi="Arial" w:cs="Arial"/>
          <w:b/>
          <w:bCs/>
          <w:sz w:val="22"/>
          <w:szCs w:val="22"/>
          <w:u w:val="single"/>
        </w:rPr>
        <w:t xml:space="preserve"> girininkija</w:t>
      </w:r>
    </w:p>
    <w:p w14:paraId="0936299C" w14:textId="77777777" w:rsidR="00B716EC" w:rsidRPr="00702A65" w:rsidRDefault="00B716EC"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70C63820"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0FB9F6E5"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w:t>
            </w:r>
            <w:r w:rsidR="00762B71">
              <w:rPr>
                <w:rFonts w:ascii="Arial" w:hAnsi="Arial" w:cs="Arial"/>
                <w:b/>
                <w:sz w:val="22"/>
                <w:szCs w:val="22"/>
              </w:rPr>
              <w:t xml:space="preserve">a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0B32A407" w:rsidR="007E3302" w:rsidRDefault="00065591"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47DCA447" w:rsidR="007E3302" w:rsidRDefault="001B78BF" w:rsidP="00151894">
            <w:pPr>
              <w:spacing w:before="60" w:after="60"/>
              <w:ind w:firstLine="41"/>
              <w:jc w:val="center"/>
              <w:rPr>
                <w:rFonts w:ascii="Arial" w:hAnsi="Arial" w:cs="Arial"/>
                <w:sz w:val="22"/>
                <w:szCs w:val="22"/>
              </w:rPr>
            </w:pPr>
            <w:r>
              <w:rPr>
                <w:rFonts w:ascii="Arial" w:hAnsi="Arial" w:cs="Arial"/>
                <w:sz w:val="22"/>
                <w:szCs w:val="22"/>
              </w:rPr>
              <w:t>150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468A4DC4" w14:textId="3D5D6DE8" w:rsidR="00173FBF" w:rsidRPr="009F4AC2" w:rsidRDefault="000072CA" w:rsidP="009F4AC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bookmarkStart w:id="6" w:name="_Hlk181108563"/>
    </w:p>
    <w:p w14:paraId="70696DEC" w14:textId="77777777" w:rsidR="00EC7894" w:rsidRDefault="00EC7894" w:rsidP="00B11EB2">
      <w:pPr>
        <w:pStyle w:val="Komentarotekstas"/>
        <w:tabs>
          <w:tab w:val="left" w:pos="993"/>
        </w:tabs>
        <w:spacing w:after="0"/>
        <w:jc w:val="both"/>
        <w:rPr>
          <w:rFonts w:ascii="Arial" w:eastAsia="Calibri" w:hAnsi="Arial" w:cs="Arial"/>
          <w:b/>
          <w:bCs/>
          <w:sz w:val="22"/>
          <w:szCs w:val="22"/>
        </w:rPr>
      </w:pPr>
    </w:p>
    <w:bookmarkEnd w:id="6"/>
    <w:p w14:paraId="15232023" w14:textId="20EE0E50"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F924E" w14:textId="77777777" w:rsidR="003A4A2F" w:rsidRDefault="003A4A2F" w:rsidP="004E16F4">
      <w:r>
        <w:separator/>
      </w:r>
    </w:p>
  </w:endnote>
  <w:endnote w:type="continuationSeparator" w:id="0">
    <w:p w14:paraId="7A6484A5" w14:textId="77777777" w:rsidR="003A4A2F" w:rsidRDefault="003A4A2F"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AE1A" w14:textId="77777777" w:rsidR="003A4A2F" w:rsidRDefault="003A4A2F" w:rsidP="004E16F4">
      <w:r>
        <w:separator/>
      </w:r>
    </w:p>
  </w:footnote>
  <w:footnote w:type="continuationSeparator" w:id="0">
    <w:p w14:paraId="637ABEFF" w14:textId="77777777" w:rsidR="003A4A2F" w:rsidRDefault="003A4A2F"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2731A"/>
    <w:rsid w:val="00033618"/>
    <w:rsid w:val="000367AC"/>
    <w:rsid w:val="000468E7"/>
    <w:rsid w:val="00047950"/>
    <w:rsid w:val="0005550C"/>
    <w:rsid w:val="00060402"/>
    <w:rsid w:val="000623FA"/>
    <w:rsid w:val="00065591"/>
    <w:rsid w:val="000664D3"/>
    <w:rsid w:val="00082127"/>
    <w:rsid w:val="00084362"/>
    <w:rsid w:val="0008723B"/>
    <w:rsid w:val="000A7963"/>
    <w:rsid w:val="000B5613"/>
    <w:rsid w:val="000B77C2"/>
    <w:rsid w:val="000D1499"/>
    <w:rsid w:val="000D4AF3"/>
    <w:rsid w:val="000D5448"/>
    <w:rsid w:val="000E3350"/>
    <w:rsid w:val="00100D41"/>
    <w:rsid w:val="00106FA3"/>
    <w:rsid w:val="00121B20"/>
    <w:rsid w:val="00122711"/>
    <w:rsid w:val="00127808"/>
    <w:rsid w:val="001347C5"/>
    <w:rsid w:val="00136CB1"/>
    <w:rsid w:val="00141BB9"/>
    <w:rsid w:val="00151894"/>
    <w:rsid w:val="00156CDA"/>
    <w:rsid w:val="00157F3C"/>
    <w:rsid w:val="0016236A"/>
    <w:rsid w:val="00173FBF"/>
    <w:rsid w:val="00184CC1"/>
    <w:rsid w:val="00186166"/>
    <w:rsid w:val="00193661"/>
    <w:rsid w:val="001B78BF"/>
    <w:rsid w:val="001C4A07"/>
    <w:rsid w:val="001C6CB4"/>
    <w:rsid w:val="001D5952"/>
    <w:rsid w:val="001E4954"/>
    <w:rsid w:val="001E7BC9"/>
    <w:rsid w:val="00233D9E"/>
    <w:rsid w:val="00235E33"/>
    <w:rsid w:val="0025180F"/>
    <w:rsid w:val="002523CC"/>
    <w:rsid w:val="002731A5"/>
    <w:rsid w:val="0027475B"/>
    <w:rsid w:val="00285B70"/>
    <w:rsid w:val="00290A9C"/>
    <w:rsid w:val="00291AD0"/>
    <w:rsid w:val="002A0FF5"/>
    <w:rsid w:val="002A2658"/>
    <w:rsid w:val="002B3018"/>
    <w:rsid w:val="002D0E47"/>
    <w:rsid w:val="002D3010"/>
    <w:rsid w:val="002E0104"/>
    <w:rsid w:val="002E2DD0"/>
    <w:rsid w:val="002E4B91"/>
    <w:rsid w:val="002F316D"/>
    <w:rsid w:val="002F4089"/>
    <w:rsid w:val="00300FF8"/>
    <w:rsid w:val="00305AE7"/>
    <w:rsid w:val="00310229"/>
    <w:rsid w:val="00317498"/>
    <w:rsid w:val="00333AA3"/>
    <w:rsid w:val="003540EC"/>
    <w:rsid w:val="0035555E"/>
    <w:rsid w:val="0035628B"/>
    <w:rsid w:val="00373B1F"/>
    <w:rsid w:val="00376CBF"/>
    <w:rsid w:val="00380364"/>
    <w:rsid w:val="00385D12"/>
    <w:rsid w:val="0038606F"/>
    <w:rsid w:val="00386DD0"/>
    <w:rsid w:val="00394787"/>
    <w:rsid w:val="003A0F52"/>
    <w:rsid w:val="003A11EE"/>
    <w:rsid w:val="003A4A2F"/>
    <w:rsid w:val="003A6645"/>
    <w:rsid w:val="003B632A"/>
    <w:rsid w:val="003B7A5E"/>
    <w:rsid w:val="003C199D"/>
    <w:rsid w:val="003C3B2A"/>
    <w:rsid w:val="003F5A93"/>
    <w:rsid w:val="0043582A"/>
    <w:rsid w:val="00436779"/>
    <w:rsid w:val="00436A95"/>
    <w:rsid w:val="00445DFA"/>
    <w:rsid w:val="00447827"/>
    <w:rsid w:val="0045710F"/>
    <w:rsid w:val="00467D9E"/>
    <w:rsid w:val="00474E4A"/>
    <w:rsid w:val="00496E97"/>
    <w:rsid w:val="004E16F4"/>
    <w:rsid w:val="004E1CB8"/>
    <w:rsid w:val="004F0960"/>
    <w:rsid w:val="004F529C"/>
    <w:rsid w:val="005018F1"/>
    <w:rsid w:val="00507C64"/>
    <w:rsid w:val="0051061B"/>
    <w:rsid w:val="00544036"/>
    <w:rsid w:val="00580EA3"/>
    <w:rsid w:val="005826D7"/>
    <w:rsid w:val="00586211"/>
    <w:rsid w:val="0059419D"/>
    <w:rsid w:val="005B7EB3"/>
    <w:rsid w:val="005F4222"/>
    <w:rsid w:val="00601598"/>
    <w:rsid w:val="006027AE"/>
    <w:rsid w:val="00611DD6"/>
    <w:rsid w:val="0061614D"/>
    <w:rsid w:val="0062555A"/>
    <w:rsid w:val="006273BF"/>
    <w:rsid w:val="00643D35"/>
    <w:rsid w:val="00646A1D"/>
    <w:rsid w:val="00654DEB"/>
    <w:rsid w:val="0067442C"/>
    <w:rsid w:val="006837B8"/>
    <w:rsid w:val="00692A59"/>
    <w:rsid w:val="006A3413"/>
    <w:rsid w:val="006A5C7C"/>
    <w:rsid w:val="006A7862"/>
    <w:rsid w:val="006C2FAF"/>
    <w:rsid w:val="006C4C24"/>
    <w:rsid w:val="006C57BC"/>
    <w:rsid w:val="006D27E0"/>
    <w:rsid w:val="006E0A27"/>
    <w:rsid w:val="006E316B"/>
    <w:rsid w:val="006F56EA"/>
    <w:rsid w:val="006F6761"/>
    <w:rsid w:val="007012D2"/>
    <w:rsid w:val="00703D5A"/>
    <w:rsid w:val="00724573"/>
    <w:rsid w:val="007250B1"/>
    <w:rsid w:val="0072755D"/>
    <w:rsid w:val="00727786"/>
    <w:rsid w:val="00762B71"/>
    <w:rsid w:val="0077396D"/>
    <w:rsid w:val="007927A4"/>
    <w:rsid w:val="00794A45"/>
    <w:rsid w:val="007B0A8B"/>
    <w:rsid w:val="007C6168"/>
    <w:rsid w:val="007C78C4"/>
    <w:rsid w:val="007C798D"/>
    <w:rsid w:val="007E3302"/>
    <w:rsid w:val="007E6F27"/>
    <w:rsid w:val="007F7CD6"/>
    <w:rsid w:val="00814773"/>
    <w:rsid w:val="00816A39"/>
    <w:rsid w:val="008256C9"/>
    <w:rsid w:val="00832038"/>
    <w:rsid w:val="008420A4"/>
    <w:rsid w:val="00854AF3"/>
    <w:rsid w:val="008575F4"/>
    <w:rsid w:val="008617A1"/>
    <w:rsid w:val="008656C7"/>
    <w:rsid w:val="008659A0"/>
    <w:rsid w:val="00866D2F"/>
    <w:rsid w:val="00877526"/>
    <w:rsid w:val="00882017"/>
    <w:rsid w:val="00882B94"/>
    <w:rsid w:val="008C3AB0"/>
    <w:rsid w:val="008D0493"/>
    <w:rsid w:val="008D3000"/>
    <w:rsid w:val="008D4A28"/>
    <w:rsid w:val="008E2994"/>
    <w:rsid w:val="00924F66"/>
    <w:rsid w:val="0092717B"/>
    <w:rsid w:val="0094566C"/>
    <w:rsid w:val="00950FDB"/>
    <w:rsid w:val="0096046E"/>
    <w:rsid w:val="009622AD"/>
    <w:rsid w:val="00965A90"/>
    <w:rsid w:val="009833F0"/>
    <w:rsid w:val="00983E5E"/>
    <w:rsid w:val="009C052C"/>
    <w:rsid w:val="009C1506"/>
    <w:rsid w:val="009C5368"/>
    <w:rsid w:val="009D03EE"/>
    <w:rsid w:val="009E566D"/>
    <w:rsid w:val="009F4AC2"/>
    <w:rsid w:val="00A033DE"/>
    <w:rsid w:val="00A33BD7"/>
    <w:rsid w:val="00A34ED7"/>
    <w:rsid w:val="00A4108F"/>
    <w:rsid w:val="00A502AA"/>
    <w:rsid w:val="00A6075F"/>
    <w:rsid w:val="00A72513"/>
    <w:rsid w:val="00A73C89"/>
    <w:rsid w:val="00A74C7D"/>
    <w:rsid w:val="00A75B86"/>
    <w:rsid w:val="00A84688"/>
    <w:rsid w:val="00A854E7"/>
    <w:rsid w:val="00AB0123"/>
    <w:rsid w:val="00AB6713"/>
    <w:rsid w:val="00AB79D6"/>
    <w:rsid w:val="00AC0C47"/>
    <w:rsid w:val="00AC0F48"/>
    <w:rsid w:val="00AD2ED1"/>
    <w:rsid w:val="00AD61CA"/>
    <w:rsid w:val="00AE7806"/>
    <w:rsid w:val="00AF22F5"/>
    <w:rsid w:val="00AF65A6"/>
    <w:rsid w:val="00B100C2"/>
    <w:rsid w:val="00B11EB2"/>
    <w:rsid w:val="00B12F70"/>
    <w:rsid w:val="00B15CFD"/>
    <w:rsid w:val="00B2252B"/>
    <w:rsid w:val="00B22FF6"/>
    <w:rsid w:val="00B37695"/>
    <w:rsid w:val="00B37AAD"/>
    <w:rsid w:val="00B47638"/>
    <w:rsid w:val="00B716EC"/>
    <w:rsid w:val="00B74837"/>
    <w:rsid w:val="00B777E3"/>
    <w:rsid w:val="00BB3669"/>
    <w:rsid w:val="00BD0BE3"/>
    <w:rsid w:val="00BD6F01"/>
    <w:rsid w:val="00BE107E"/>
    <w:rsid w:val="00BE12B0"/>
    <w:rsid w:val="00BE1816"/>
    <w:rsid w:val="00C011FA"/>
    <w:rsid w:val="00C13587"/>
    <w:rsid w:val="00C21B49"/>
    <w:rsid w:val="00C222D7"/>
    <w:rsid w:val="00C2306C"/>
    <w:rsid w:val="00C4299A"/>
    <w:rsid w:val="00C62C17"/>
    <w:rsid w:val="00CA297E"/>
    <w:rsid w:val="00CB223A"/>
    <w:rsid w:val="00CC6C5A"/>
    <w:rsid w:val="00CD2BC2"/>
    <w:rsid w:val="00CD4D96"/>
    <w:rsid w:val="00CE4BCD"/>
    <w:rsid w:val="00CE5CA5"/>
    <w:rsid w:val="00CE6AC9"/>
    <w:rsid w:val="00CE6C1B"/>
    <w:rsid w:val="00D11413"/>
    <w:rsid w:val="00D24D54"/>
    <w:rsid w:val="00D30397"/>
    <w:rsid w:val="00D30D36"/>
    <w:rsid w:val="00D40DDA"/>
    <w:rsid w:val="00D4568A"/>
    <w:rsid w:val="00D45957"/>
    <w:rsid w:val="00D463DD"/>
    <w:rsid w:val="00D47402"/>
    <w:rsid w:val="00D528A8"/>
    <w:rsid w:val="00D53D49"/>
    <w:rsid w:val="00D55315"/>
    <w:rsid w:val="00D72286"/>
    <w:rsid w:val="00D7407C"/>
    <w:rsid w:val="00D76869"/>
    <w:rsid w:val="00D80064"/>
    <w:rsid w:val="00DA0C26"/>
    <w:rsid w:val="00DA7B54"/>
    <w:rsid w:val="00DD443B"/>
    <w:rsid w:val="00DE20DF"/>
    <w:rsid w:val="00DE2171"/>
    <w:rsid w:val="00DE2F19"/>
    <w:rsid w:val="00DE3269"/>
    <w:rsid w:val="00DE35F8"/>
    <w:rsid w:val="00DF3E41"/>
    <w:rsid w:val="00DF6923"/>
    <w:rsid w:val="00E018E2"/>
    <w:rsid w:val="00E10D32"/>
    <w:rsid w:val="00E2645B"/>
    <w:rsid w:val="00E34BA4"/>
    <w:rsid w:val="00E54446"/>
    <w:rsid w:val="00E560F8"/>
    <w:rsid w:val="00E56D9F"/>
    <w:rsid w:val="00E85390"/>
    <w:rsid w:val="00E93D2D"/>
    <w:rsid w:val="00EB1167"/>
    <w:rsid w:val="00EB33E1"/>
    <w:rsid w:val="00EB3FCC"/>
    <w:rsid w:val="00EB782A"/>
    <w:rsid w:val="00EC7894"/>
    <w:rsid w:val="00F035A5"/>
    <w:rsid w:val="00F13C2D"/>
    <w:rsid w:val="00F225F4"/>
    <w:rsid w:val="00F30EC0"/>
    <w:rsid w:val="00F432D1"/>
    <w:rsid w:val="00F63888"/>
    <w:rsid w:val="00F72FE5"/>
    <w:rsid w:val="00F867D4"/>
    <w:rsid w:val="00FA07A8"/>
    <w:rsid w:val="00FA58F3"/>
    <w:rsid w:val="00FB25AF"/>
    <w:rsid w:val="00FC2140"/>
    <w:rsid w:val="00FC59C7"/>
    <w:rsid w:val="00FD79B6"/>
    <w:rsid w:val="00FE1FBD"/>
    <w:rsid w:val="00FE3EF5"/>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5150</Words>
  <Characters>2937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144</cp:revision>
  <dcterms:created xsi:type="dcterms:W3CDTF">2025-05-28T06:05:00Z</dcterms:created>
  <dcterms:modified xsi:type="dcterms:W3CDTF">2026-06-01T05:05:00Z</dcterms:modified>
</cp:coreProperties>
</file>