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2078"/>
        <w:gridCol w:w="4292"/>
        <w:gridCol w:w="2190"/>
      </w:tblGrid>
      <w:tr w:rsidR="00622B2F" w:rsidRPr="001256F4" w14:paraId="25307F91" w14:textId="77777777" w:rsidTr="003F1C3B">
        <w:trPr>
          <w:trHeight w:val="558"/>
        </w:trPr>
        <w:tc>
          <w:tcPr>
            <w:tcW w:w="5000" w:type="pct"/>
            <w:gridSpan w:val="4"/>
            <w:tcBorders>
              <w:top w:val="nil"/>
              <w:left w:val="nil"/>
              <w:right w:val="nil"/>
            </w:tcBorders>
            <w:vAlign w:val="center"/>
          </w:tcPr>
          <w:p w14:paraId="6C9B37AD" w14:textId="1128245E" w:rsidR="00622B2F" w:rsidRPr="001256F4" w:rsidRDefault="00E068AC" w:rsidP="00F0631A">
            <w:pPr>
              <w:spacing w:after="0" w:line="240" w:lineRule="auto"/>
              <w:ind w:left="83"/>
              <w:jc w:val="center"/>
              <w:rPr>
                <w:bCs/>
                <w:szCs w:val="24"/>
              </w:rPr>
            </w:pPr>
            <w:bookmarkStart w:id="0" w:name="_Hlk209440670"/>
            <w:r w:rsidRPr="001256F4">
              <w:rPr>
                <w:bCs/>
                <w:szCs w:val="24"/>
              </w:rPr>
              <w:t>Techninė specifikacija</w:t>
            </w:r>
          </w:p>
          <w:p w14:paraId="19B3E3A2" w14:textId="77777777" w:rsidR="00622B2F" w:rsidRPr="001256F4" w:rsidRDefault="00622B2F" w:rsidP="00F0631A">
            <w:pPr>
              <w:spacing w:after="0" w:line="240" w:lineRule="auto"/>
              <w:ind w:left="83"/>
              <w:jc w:val="center"/>
              <w:rPr>
                <w:bCs/>
                <w:szCs w:val="24"/>
              </w:rPr>
            </w:pPr>
          </w:p>
        </w:tc>
      </w:tr>
      <w:tr w:rsidR="00622B2F" w:rsidRPr="001256F4" w14:paraId="756C37FE" w14:textId="77777777" w:rsidTr="003F1C3B">
        <w:tc>
          <w:tcPr>
            <w:tcW w:w="427" w:type="pct"/>
            <w:vAlign w:val="center"/>
          </w:tcPr>
          <w:p w14:paraId="509A9C9D" w14:textId="77777777" w:rsidR="00622B2F" w:rsidRPr="001256F4" w:rsidRDefault="00622B2F" w:rsidP="00F0631A">
            <w:pPr>
              <w:spacing w:after="0" w:line="240" w:lineRule="auto"/>
              <w:jc w:val="center"/>
              <w:rPr>
                <w:bCs/>
                <w:szCs w:val="24"/>
                <w:lang w:val="en-US"/>
              </w:rPr>
            </w:pPr>
            <w:r w:rsidRPr="001256F4">
              <w:rPr>
                <w:bCs/>
                <w:szCs w:val="24"/>
                <w:lang w:val="en-US"/>
              </w:rPr>
              <w:t>I.</w:t>
            </w:r>
          </w:p>
        </w:tc>
        <w:tc>
          <w:tcPr>
            <w:tcW w:w="1110" w:type="pct"/>
          </w:tcPr>
          <w:p w14:paraId="5677230D" w14:textId="77777777" w:rsidR="00622B2F" w:rsidRPr="001256F4" w:rsidRDefault="00622B2F" w:rsidP="00F0631A">
            <w:pPr>
              <w:spacing w:after="0" w:line="240" w:lineRule="auto"/>
              <w:ind w:left="83"/>
              <w:jc w:val="center"/>
              <w:rPr>
                <w:bCs/>
                <w:szCs w:val="24"/>
              </w:rPr>
            </w:pPr>
            <w:r w:rsidRPr="001256F4">
              <w:rPr>
                <w:bCs/>
                <w:szCs w:val="24"/>
              </w:rPr>
              <w:t>Parametrai</w:t>
            </w:r>
          </w:p>
        </w:tc>
        <w:tc>
          <w:tcPr>
            <w:tcW w:w="2293" w:type="pct"/>
          </w:tcPr>
          <w:p w14:paraId="338898C4" w14:textId="77777777" w:rsidR="00622B2F" w:rsidRPr="001256F4" w:rsidRDefault="00622B2F" w:rsidP="00F0631A">
            <w:pPr>
              <w:spacing w:after="0" w:line="240" w:lineRule="auto"/>
              <w:ind w:left="83"/>
              <w:jc w:val="center"/>
              <w:rPr>
                <w:bCs/>
                <w:szCs w:val="24"/>
              </w:rPr>
            </w:pPr>
            <w:r w:rsidRPr="001256F4">
              <w:rPr>
                <w:bCs/>
                <w:szCs w:val="24"/>
              </w:rPr>
              <w:t>Reikalaujama charakteristika</w:t>
            </w:r>
          </w:p>
        </w:tc>
        <w:tc>
          <w:tcPr>
            <w:tcW w:w="1170" w:type="pct"/>
          </w:tcPr>
          <w:p w14:paraId="1A597863" w14:textId="77777777" w:rsidR="00622B2F" w:rsidRPr="001256F4" w:rsidRDefault="00622B2F" w:rsidP="00F0631A">
            <w:pPr>
              <w:spacing w:after="0" w:line="240" w:lineRule="auto"/>
              <w:ind w:left="83"/>
              <w:jc w:val="center"/>
              <w:rPr>
                <w:bCs/>
                <w:szCs w:val="24"/>
              </w:rPr>
            </w:pPr>
            <w:r w:rsidRPr="001256F4">
              <w:rPr>
                <w:bCs/>
                <w:szCs w:val="24"/>
              </w:rPr>
              <w:t>Siūloma charakteristika</w:t>
            </w:r>
          </w:p>
        </w:tc>
      </w:tr>
      <w:tr w:rsidR="00A06FE5" w:rsidRPr="001256F4" w14:paraId="0A5CE1AA" w14:textId="77777777" w:rsidTr="003F1C3B">
        <w:trPr>
          <w:trHeight w:val="311"/>
        </w:trPr>
        <w:tc>
          <w:tcPr>
            <w:tcW w:w="427" w:type="pct"/>
          </w:tcPr>
          <w:p w14:paraId="53ACF6CB" w14:textId="77777777" w:rsidR="00A06FE5" w:rsidRPr="001256F4" w:rsidRDefault="00A06FE5" w:rsidP="00A06FE5">
            <w:pPr>
              <w:numPr>
                <w:ilvl w:val="0"/>
                <w:numId w:val="1"/>
              </w:numPr>
              <w:suppressAutoHyphens/>
              <w:spacing w:after="0" w:line="240" w:lineRule="auto"/>
              <w:rPr>
                <w:bCs/>
                <w:szCs w:val="24"/>
              </w:rPr>
            </w:pPr>
          </w:p>
        </w:tc>
        <w:tc>
          <w:tcPr>
            <w:tcW w:w="1110" w:type="pct"/>
          </w:tcPr>
          <w:p w14:paraId="2D84BCC3" w14:textId="415A41EC" w:rsidR="00A06FE5" w:rsidRPr="001256F4" w:rsidRDefault="001442D9" w:rsidP="00A06FE5">
            <w:pPr>
              <w:snapToGrid w:val="0"/>
              <w:spacing w:after="0" w:line="240" w:lineRule="auto"/>
              <w:rPr>
                <w:bCs/>
                <w:color w:val="000000"/>
                <w:szCs w:val="24"/>
              </w:rPr>
            </w:pPr>
            <w:r w:rsidRPr="001256F4">
              <w:rPr>
                <w:bCs/>
                <w:szCs w:val="24"/>
              </w:rPr>
              <w:t>Funkciniai reikalavimai </w:t>
            </w:r>
          </w:p>
        </w:tc>
        <w:tc>
          <w:tcPr>
            <w:tcW w:w="2293" w:type="pct"/>
          </w:tcPr>
          <w:p w14:paraId="584A57B6" w14:textId="5892E040" w:rsidR="00A06FE5" w:rsidRPr="001256F4" w:rsidRDefault="00A73562" w:rsidP="00A06FE5">
            <w:pPr>
              <w:snapToGrid w:val="0"/>
              <w:spacing w:after="0" w:line="240" w:lineRule="auto"/>
              <w:jc w:val="both"/>
              <w:rPr>
                <w:bCs/>
                <w:color w:val="000000"/>
                <w:szCs w:val="24"/>
              </w:rPr>
            </w:pPr>
            <w:r w:rsidRPr="001256F4">
              <w:rPr>
                <w:bCs/>
                <w:szCs w:val="24"/>
              </w:rPr>
              <w:t>Trimatis reljefinis ląstelių modelis turi sudaryti galimybę demonstruoti ląstelių dalijimosi bei mitozės procesą, remiantis gyvūninės / žinduolio ląstelės pavyzdžiu.</w:t>
            </w:r>
            <w:r w:rsidRPr="001256F4">
              <w:rPr>
                <w:bCs/>
                <w:szCs w:val="24"/>
              </w:rPr>
              <w:br/>
              <w:t xml:space="preserve">Modelis turi būti sudarytas iš </w:t>
            </w:r>
            <w:r w:rsidRPr="001256F4">
              <w:rPr>
                <w:rStyle w:val="Strong"/>
                <w:b w:val="0"/>
                <w:szCs w:val="24"/>
              </w:rPr>
              <w:t>ne mažiau kaip 8 viena nuo kitos atskiriamų dalių (blokų / segmentų)</w:t>
            </w:r>
            <w:r w:rsidRPr="001256F4">
              <w:rPr>
                <w:bCs/>
                <w:szCs w:val="24"/>
              </w:rPr>
              <w:t>, vizualizuojančių pagrindinius ląstelės dalijimosi etapus.</w:t>
            </w:r>
          </w:p>
        </w:tc>
        <w:tc>
          <w:tcPr>
            <w:tcW w:w="1170" w:type="pct"/>
          </w:tcPr>
          <w:p w14:paraId="3713B6E9" w14:textId="219ABA6F" w:rsidR="00A06FE5" w:rsidRPr="001256F4" w:rsidRDefault="00A06FE5" w:rsidP="00A06FE5">
            <w:pPr>
              <w:spacing w:after="0" w:line="240" w:lineRule="auto"/>
              <w:rPr>
                <w:bCs/>
                <w:color w:val="0070C0"/>
                <w:szCs w:val="24"/>
              </w:rPr>
            </w:pPr>
          </w:p>
        </w:tc>
      </w:tr>
      <w:tr w:rsidR="00A06FE5" w:rsidRPr="001256F4" w14:paraId="7B8FD1D4" w14:textId="77777777" w:rsidTr="003F1C3B">
        <w:trPr>
          <w:trHeight w:val="296"/>
        </w:trPr>
        <w:tc>
          <w:tcPr>
            <w:tcW w:w="427" w:type="pct"/>
          </w:tcPr>
          <w:p w14:paraId="2849E225" w14:textId="77777777" w:rsidR="00A06FE5" w:rsidRPr="001256F4" w:rsidRDefault="00A06FE5" w:rsidP="00A06FE5">
            <w:pPr>
              <w:numPr>
                <w:ilvl w:val="0"/>
                <w:numId w:val="1"/>
              </w:numPr>
              <w:suppressAutoHyphens/>
              <w:spacing w:after="0" w:line="240" w:lineRule="auto"/>
              <w:rPr>
                <w:bCs/>
                <w:szCs w:val="24"/>
              </w:rPr>
            </w:pPr>
          </w:p>
        </w:tc>
        <w:tc>
          <w:tcPr>
            <w:tcW w:w="1110" w:type="pct"/>
          </w:tcPr>
          <w:p w14:paraId="35755F70" w14:textId="1E584DF9" w:rsidR="00A06FE5" w:rsidRPr="001256F4" w:rsidRDefault="00304E78" w:rsidP="00A06FE5">
            <w:pPr>
              <w:snapToGrid w:val="0"/>
              <w:spacing w:after="0" w:line="240" w:lineRule="auto"/>
              <w:rPr>
                <w:bCs/>
                <w:color w:val="000000"/>
                <w:szCs w:val="24"/>
              </w:rPr>
            </w:pPr>
            <w:r w:rsidRPr="001256F4">
              <w:rPr>
                <w:bCs/>
                <w:szCs w:val="24"/>
              </w:rPr>
              <w:t>Privalomi vaizduoti procesai</w:t>
            </w:r>
          </w:p>
        </w:tc>
        <w:tc>
          <w:tcPr>
            <w:tcW w:w="2293" w:type="pct"/>
          </w:tcPr>
          <w:p w14:paraId="72DB15CA" w14:textId="46C0EB1E" w:rsidR="00A06FE5" w:rsidRPr="001256F4" w:rsidRDefault="00304E78" w:rsidP="00A06FE5">
            <w:pPr>
              <w:tabs>
                <w:tab w:val="left" w:pos="529"/>
              </w:tabs>
              <w:snapToGrid w:val="0"/>
              <w:spacing w:after="0" w:line="240" w:lineRule="auto"/>
              <w:jc w:val="both"/>
              <w:rPr>
                <w:bCs/>
                <w:color w:val="000000"/>
                <w:szCs w:val="24"/>
              </w:rPr>
            </w:pPr>
            <w:r w:rsidRPr="001256F4">
              <w:rPr>
                <w:bCs/>
                <w:szCs w:val="24"/>
              </w:rPr>
              <w:t>Modelyje (atskiruose jo segmentuose) privalo būti aiškiai, trimačiu būdu ir reljefu vaizduojami šie pagrindiniai ląstelės gyvavimo ir dalijimosi etapai:</w:t>
            </w:r>
            <w:r w:rsidRPr="001256F4">
              <w:rPr>
                <w:bCs/>
                <w:szCs w:val="24"/>
              </w:rPr>
              <w:br/>
              <w:t xml:space="preserve">• </w:t>
            </w:r>
            <w:proofErr w:type="spellStart"/>
            <w:r w:rsidRPr="001256F4">
              <w:rPr>
                <w:bCs/>
                <w:szCs w:val="24"/>
              </w:rPr>
              <w:t>Interfazė</w:t>
            </w:r>
            <w:proofErr w:type="spellEnd"/>
            <w:r w:rsidRPr="001256F4">
              <w:rPr>
                <w:bCs/>
                <w:szCs w:val="24"/>
              </w:rPr>
              <w:t xml:space="preserve"> (pasiruošimas dalijimuisi);</w:t>
            </w:r>
            <w:r w:rsidRPr="001256F4">
              <w:rPr>
                <w:bCs/>
                <w:szCs w:val="24"/>
              </w:rPr>
              <w:br/>
              <w:t xml:space="preserve">• </w:t>
            </w:r>
            <w:proofErr w:type="spellStart"/>
            <w:r w:rsidRPr="001256F4">
              <w:rPr>
                <w:bCs/>
                <w:szCs w:val="24"/>
              </w:rPr>
              <w:t>Profazė</w:t>
            </w:r>
            <w:proofErr w:type="spellEnd"/>
            <w:r w:rsidRPr="001256F4">
              <w:rPr>
                <w:bCs/>
                <w:szCs w:val="24"/>
              </w:rPr>
              <w:t xml:space="preserve"> (</w:t>
            </w:r>
            <w:proofErr w:type="spellStart"/>
            <w:r w:rsidRPr="001256F4">
              <w:rPr>
                <w:bCs/>
                <w:szCs w:val="24"/>
              </w:rPr>
              <w:t>chromatino</w:t>
            </w:r>
            <w:proofErr w:type="spellEnd"/>
            <w:r w:rsidRPr="001256F4">
              <w:rPr>
                <w:bCs/>
                <w:szCs w:val="24"/>
              </w:rPr>
              <w:t xml:space="preserve"> kondensacija);</w:t>
            </w:r>
            <w:r w:rsidRPr="001256F4">
              <w:rPr>
                <w:bCs/>
                <w:szCs w:val="24"/>
              </w:rPr>
              <w:br/>
              <w:t xml:space="preserve">• </w:t>
            </w:r>
            <w:proofErr w:type="spellStart"/>
            <w:r w:rsidRPr="001256F4">
              <w:rPr>
                <w:bCs/>
                <w:szCs w:val="24"/>
              </w:rPr>
              <w:t>Prometafazė</w:t>
            </w:r>
            <w:proofErr w:type="spellEnd"/>
            <w:r w:rsidRPr="001256F4">
              <w:rPr>
                <w:bCs/>
                <w:szCs w:val="24"/>
              </w:rPr>
              <w:t xml:space="preserve"> / </w:t>
            </w:r>
            <w:proofErr w:type="spellStart"/>
            <w:r w:rsidRPr="001256F4">
              <w:rPr>
                <w:bCs/>
                <w:szCs w:val="24"/>
              </w:rPr>
              <w:t>Prometafazės</w:t>
            </w:r>
            <w:proofErr w:type="spellEnd"/>
            <w:r w:rsidRPr="001256F4">
              <w:rPr>
                <w:bCs/>
                <w:szCs w:val="24"/>
              </w:rPr>
              <w:t xml:space="preserve"> stadijos (branduolio apvalkalo irimas);</w:t>
            </w:r>
            <w:r w:rsidRPr="001256F4">
              <w:rPr>
                <w:bCs/>
                <w:szCs w:val="24"/>
              </w:rPr>
              <w:br/>
              <w:t xml:space="preserve">• </w:t>
            </w:r>
            <w:proofErr w:type="spellStart"/>
            <w:r w:rsidRPr="001256F4">
              <w:rPr>
                <w:bCs/>
                <w:szCs w:val="24"/>
              </w:rPr>
              <w:t>Metafazė</w:t>
            </w:r>
            <w:proofErr w:type="spellEnd"/>
            <w:r w:rsidRPr="001256F4">
              <w:rPr>
                <w:bCs/>
                <w:szCs w:val="24"/>
              </w:rPr>
              <w:t xml:space="preserve"> (chromosomų išsidėstymas </w:t>
            </w:r>
            <w:proofErr w:type="spellStart"/>
            <w:r w:rsidRPr="001256F4">
              <w:rPr>
                <w:bCs/>
                <w:szCs w:val="24"/>
              </w:rPr>
              <w:t>pusiaujyje</w:t>
            </w:r>
            <w:proofErr w:type="spellEnd"/>
            <w:r w:rsidRPr="001256F4">
              <w:rPr>
                <w:bCs/>
                <w:szCs w:val="24"/>
              </w:rPr>
              <w:t>);</w:t>
            </w:r>
            <w:r w:rsidRPr="001256F4">
              <w:rPr>
                <w:bCs/>
                <w:szCs w:val="24"/>
              </w:rPr>
              <w:br/>
              <w:t xml:space="preserve">• </w:t>
            </w:r>
            <w:proofErr w:type="spellStart"/>
            <w:r w:rsidRPr="001256F4">
              <w:rPr>
                <w:bCs/>
                <w:szCs w:val="24"/>
              </w:rPr>
              <w:t>Anafazė</w:t>
            </w:r>
            <w:proofErr w:type="spellEnd"/>
            <w:r w:rsidRPr="001256F4">
              <w:rPr>
                <w:bCs/>
                <w:szCs w:val="24"/>
              </w:rPr>
              <w:t xml:space="preserve"> / </w:t>
            </w:r>
            <w:proofErr w:type="spellStart"/>
            <w:r w:rsidRPr="001256F4">
              <w:rPr>
                <w:bCs/>
                <w:szCs w:val="24"/>
              </w:rPr>
              <w:t>Anafazės</w:t>
            </w:r>
            <w:proofErr w:type="spellEnd"/>
            <w:r w:rsidRPr="001256F4">
              <w:rPr>
                <w:bCs/>
                <w:szCs w:val="24"/>
              </w:rPr>
              <w:t xml:space="preserve"> stadijos (</w:t>
            </w:r>
            <w:proofErr w:type="spellStart"/>
            <w:r w:rsidRPr="001256F4">
              <w:rPr>
                <w:bCs/>
                <w:szCs w:val="24"/>
              </w:rPr>
              <w:t>chromatidžių</w:t>
            </w:r>
            <w:proofErr w:type="spellEnd"/>
            <w:r w:rsidRPr="001256F4">
              <w:rPr>
                <w:bCs/>
                <w:szCs w:val="24"/>
              </w:rPr>
              <w:t xml:space="preserve"> judėjimas link polių);</w:t>
            </w:r>
            <w:r w:rsidRPr="001256F4">
              <w:rPr>
                <w:bCs/>
                <w:szCs w:val="24"/>
              </w:rPr>
              <w:br/>
              <w:t xml:space="preserve">• </w:t>
            </w:r>
            <w:proofErr w:type="spellStart"/>
            <w:r w:rsidRPr="001256F4">
              <w:rPr>
                <w:bCs/>
                <w:szCs w:val="24"/>
              </w:rPr>
              <w:t>Telofazė</w:t>
            </w:r>
            <w:proofErr w:type="spellEnd"/>
            <w:r w:rsidRPr="001256F4">
              <w:rPr>
                <w:bCs/>
                <w:szCs w:val="24"/>
              </w:rPr>
              <w:t xml:space="preserve"> (naujų branduolių formavimasis);</w:t>
            </w:r>
            <w:r w:rsidRPr="001256F4">
              <w:rPr>
                <w:bCs/>
                <w:szCs w:val="24"/>
              </w:rPr>
              <w:br/>
              <w:t xml:space="preserve">• </w:t>
            </w:r>
            <w:proofErr w:type="spellStart"/>
            <w:r w:rsidRPr="001256F4">
              <w:rPr>
                <w:bCs/>
                <w:szCs w:val="24"/>
              </w:rPr>
              <w:t>Citokinezė</w:t>
            </w:r>
            <w:proofErr w:type="spellEnd"/>
            <w:r w:rsidRPr="001256F4">
              <w:rPr>
                <w:bCs/>
                <w:szCs w:val="24"/>
              </w:rPr>
              <w:t xml:space="preserve"> (citoplazmos pasidalijimas / dukterinės ląstelės).</w:t>
            </w:r>
          </w:p>
        </w:tc>
        <w:tc>
          <w:tcPr>
            <w:tcW w:w="1170" w:type="pct"/>
          </w:tcPr>
          <w:p w14:paraId="59DFD8DF" w14:textId="77777777" w:rsidR="00A06FE5" w:rsidRPr="001256F4" w:rsidRDefault="00A06FE5" w:rsidP="00A06FE5">
            <w:pPr>
              <w:snapToGrid w:val="0"/>
              <w:spacing w:after="0" w:line="240" w:lineRule="auto"/>
              <w:ind w:left="83"/>
              <w:rPr>
                <w:bCs/>
                <w:szCs w:val="24"/>
              </w:rPr>
            </w:pPr>
          </w:p>
        </w:tc>
      </w:tr>
      <w:tr w:rsidR="00A06FE5" w:rsidRPr="001256F4" w14:paraId="58F39992" w14:textId="77777777" w:rsidTr="003F1C3B">
        <w:trPr>
          <w:trHeight w:val="351"/>
        </w:trPr>
        <w:tc>
          <w:tcPr>
            <w:tcW w:w="427" w:type="pct"/>
          </w:tcPr>
          <w:p w14:paraId="5771A4A8" w14:textId="77777777" w:rsidR="00A06FE5" w:rsidRPr="001256F4" w:rsidRDefault="00A06FE5" w:rsidP="00A06FE5">
            <w:pPr>
              <w:numPr>
                <w:ilvl w:val="0"/>
                <w:numId w:val="1"/>
              </w:numPr>
              <w:suppressAutoHyphens/>
              <w:spacing w:after="0" w:line="240" w:lineRule="auto"/>
              <w:rPr>
                <w:bCs/>
                <w:szCs w:val="24"/>
              </w:rPr>
            </w:pPr>
          </w:p>
        </w:tc>
        <w:tc>
          <w:tcPr>
            <w:tcW w:w="1110" w:type="pct"/>
          </w:tcPr>
          <w:p w14:paraId="3DC69793" w14:textId="5A5F18E6" w:rsidR="00A06FE5" w:rsidRPr="001256F4" w:rsidRDefault="00304E78" w:rsidP="00A06FE5">
            <w:pPr>
              <w:snapToGrid w:val="0"/>
              <w:spacing w:after="0" w:line="240" w:lineRule="auto"/>
              <w:rPr>
                <w:bCs/>
                <w:color w:val="000000"/>
                <w:szCs w:val="24"/>
              </w:rPr>
            </w:pPr>
            <w:r w:rsidRPr="001256F4">
              <w:rPr>
                <w:bCs/>
                <w:szCs w:val="24"/>
              </w:rPr>
              <w:t>Konstrukcija, stovas ir mobilumas</w:t>
            </w:r>
          </w:p>
        </w:tc>
        <w:tc>
          <w:tcPr>
            <w:tcW w:w="2293" w:type="pct"/>
          </w:tcPr>
          <w:p w14:paraId="3CBBB109" w14:textId="634BA5DC" w:rsidR="00A06FE5" w:rsidRPr="001256F4" w:rsidRDefault="00304E78" w:rsidP="00A06FE5">
            <w:pPr>
              <w:spacing w:after="0" w:line="240" w:lineRule="auto"/>
              <w:jc w:val="both"/>
              <w:rPr>
                <w:bCs/>
                <w:color w:val="000000"/>
                <w:szCs w:val="24"/>
              </w:rPr>
            </w:pPr>
            <w:r w:rsidRPr="001256F4">
              <w:rPr>
                <w:bCs/>
                <w:szCs w:val="24"/>
              </w:rPr>
              <w:t>Visi mitozės modelio etapai / dalys turi būti komplektuojami sumontuoti ant bendro stabilaus, plokščio pagrindo (lentos / skydo), kurio plotis ne didesnis kaip 65 cm, o aukštis – ne didesnis kaip 45 cm.</w:t>
            </w:r>
            <w:r w:rsidRPr="001256F4">
              <w:rPr>
                <w:bCs/>
                <w:szCs w:val="24"/>
              </w:rPr>
              <w:br/>
              <w:t xml:space="preserve">Kiekviena ląstelės fazę vaizduojanti dalis turi būti </w:t>
            </w:r>
            <w:r w:rsidRPr="001256F4">
              <w:rPr>
                <w:rStyle w:val="Strong"/>
                <w:b w:val="0"/>
                <w:szCs w:val="24"/>
              </w:rPr>
              <w:t>visiškai mobili</w:t>
            </w:r>
            <w:r w:rsidRPr="001256F4">
              <w:rPr>
                <w:bCs/>
                <w:szCs w:val="24"/>
              </w:rPr>
              <w:t xml:space="preserve"> – lengvai nuimama nuo pagrindo (lentos) atskirai, nenaudojant papildomų įrankių, ir pritaikyta patogiai laikyti bei sukioti mokinių rankose. Tvirtinimui prie pagrindo gali būti naudojami magnetai, kaiščiai, tekstiliniai užsegimai (lipukai) arba lygiaverčiai sprendimai.</w:t>
            </w:r>
          </w:p>
        </w:tc>
        <w:tc>
          <w:tcPr>
            <w:tcW w:w="1170" w:type="pct"/>
          </w:tcPr>
          <w:p w14:paraId="07837386" w14:textId="77777777" w:rsidR="00A06FE5" w:rsidRPr="001256F4" w:rsidRDefault="00A06FE5" w:rsidP="00A06FE5">
            <w:pPr>
              <w:snapToGrid w:val="0"/>
              <w:spacing w:after="0" w:line="240" w:lineRule="auto"/>
              <w:ind w:left="83"/>
              <w:rPr>
                <w:bCs/>
                <w:szCs w:val="24"/>
              </w:rPr>
            </w:pPr>
          </w:p>
        </w:tc>
      </w:tr>
      <w:tr w:rsidR="00A06FE5" w:rsidRPr="001256F4" w14:paraId="423F5984" w14:textId="77777777" w:rsidTr="003F1C3B">
        <w:trPr>
          <w:trHeight w:val="562"/>
        </w:trPr>
        <w:tc>
          <w:tcPr>
            <w:tcW w:w="427" w:type="pct"/>
          </w:tcPr>
          <w:p w14:paraId="1457513B" w14:textId="77777777" w:rsidR="00A06FE5" w:rsidRPr="001256F4" w:rsidRDefault="00A06FE5" w:rsidP="00A06FE5">
            <w:pPr>
              <w:numPr>
                <w:ilvl w:val="0"/>
                <w:numId w:val="1"/>
              </w:numPr>
              <w:suppressAutoHyphens/>
              <w:spacing w:after="0" w:line="240" w:lineRule="auto"/>
              <w:rPr>
                <w:bCs/>
                <w:szCs w:val="24"/>
              </w:rPr>
            </w:pPr>
          </w:p>
        </w:tc>
        <w:tc>
          <w:tcPr>
            <w:tcW w:w="1110" w:type="pct"/>
          </w:tcPr>
          <w:p w14:paraId="74D3FA14" w14:textId="2238174D" w:rsidR="00A06FE5" w:rsidRPr="001256F4" w:rsidRDefault="00304E78" w:rsidP="00A06FE5">
            <w:pPr>
              <w:snapToGrid w:val="0"/>
              <w:spacing w:after="0" w:line="240" w:lineRule="auto"/>
              <w:rPr>
                <w:bCs/>
                <w:color w:val="000000"/>
                <w:szCs w:val="24"/>
              </w:rPr>
            </w:pPr>
            <w:r w:rsidRPr="001256F4">
              <w:rPr>
                <w:bCs/>
                <w:szCs w:val="24"/>
              </w:rPr>
              <w:t>Medžiaga ir atsparumas</w:t>
            </w:r>
          </w:p>
        </w:tc>
        <w:tc>
          <w:tcPr>
            <w:tcW w:w="2293" w:type="pct"/>
          </w:tcPr>
          <w:p w14:paraId="101A36B9" w14:textId="18707500" w:rsidR="00A06FE5" w:rsidRPr="001256F4" w:rsidRDefault="00304E78" w:rsidP="00A06FE5">
            <w:pPr>
              <w:spacing w:after="0" w:line="240" w:lineRule="auto"/>
              <w:jc w:val="both"/>
              <w:rPr>
                <w:bCs/>
                <w:color w:val="000000"/>
                <w:szCs w:val="24"/>
              </w:rPr>
            </w:pPr>
            <w:r w:rsidRPr="001256F4">
              <w:rPr>
                <w:bCs/>
                <w:szCs w:val="24"/>
              </w:rPr>
              <w:t xml:space="preserve">Ląstelių modelių medžiaga – tvirtas, ilgaamžis, smūgiams bei įbrėžimams atsparus </w:t>
            </w:r>
            <w:proofErr w:type="spellStart"/>
            <w:r w:rsidRPr="001256F4">
              <w:rPr>
                <w:rStyle w:val="Strong"/>
                <w:b w:val="0"/>
                <w:szCs w:val="24"/>
              </w:rPr>
              <w:t>polivinilchloridas</w:t>
            </w:r>
            <w:proofErr w:type="spellEnd"/>
            <w:r w:rsidRPr="001256F4">
              <w:rPr>
                <w:rStyle w:val="Strong"/>
                <w:b w:val="0"/>
                <w:szCs w:val="24"/>
              </w:rPr>
              <w:t xml:space="preserve"> (PVC plastikas)</w:t>
            </w:r>
            <w:r w:rsidRPr="001256F4">
              <w:rPr>
                <w:bCs/>
                <w:szCs w:val="24"/>
              </w:rPr>
              <w:t xml:space="preserve"> arba lygiavertė polimerinė </w:t>
            </w:r>
            <w:r w:rsidRPr="001256F4">
              <w:rPr>
                <w:bCs/>
                <w:szCs w:val="24"/>
              </w:rPr>
              <w:lastRenderedPageBreak/>
              <w:t>medžiaga, pritaikyta aktyviam mokykliniam naudojimui.</w:t>
            </w:r>
            <w:r w:rsidRPr="001256F4">
              <w:rPr>
                <w:bCs/>
                <w:szCs w:val="24"/>
              </w:rPr>
              <w:br/>
              <w:t>Modelių paviršius turi būti lengvai valomas drėgna šluoste arba švelniais buitiniais valikliais.</w:t>
            </w:r>
          </w:p>
        </w:tc>
        <w:tc>
          <w:tcPr>
            <w:tcW w:w="1170" w:type="pct"/>
          </w:tcPr>
          <w:p w14:paraId="58B210E7" w14:textId="77777777" w:rsidR="00A06FE5" w:rsidRPr="001256F4" w:rsidRDefault="00A06FE5" w:rsidP="00A06FE5">
            <w:pPr>
              <w:snapToGrid w:val="0"/>
              <w:spacing w:after="0" w:line="240" w:lineRule="auto"/>
              <w:ind w:left="83"/>
              <w:rPr>
                <w:bCs/>
                <w:szCs w:val="24"/>
              </w:rPr>
            </w:pPr>
          </w:p>
        </w:tc>
      </w:tr>
      <w:tr w:rsidR="00A06FE5" w:rsidRPr="001256F4" w14:paraId="4E94F8B0" w14:textId="77777777" w:rsidTr="003F1C3B">
        <w:trPr>
          <w:trHeight w:val="562"/>
        </w:trPr>
        <w:tc>
          <w:tcPr>
            <w:tcW w:w="427" w:type="pct"/>
          </w:tcPr>
          <w:p w14:paraId="1359F080" w14:textId="77777777" w:rsidR="00A06FE5" w:rsidRPr="001256F4" w:rsidRDefault="00A06FE5" w:rsidP="00A06FE5">
            <w:pPr>
              <w:numPr>
                <w:ilvl w:val="0"/>
                <w:numId w:val="1"/>
              </w:numPr>
              <w:suppressAutoHyphens/>
              <w:spacing w:after="0" w:line="240" w:lineRule="auto"/>
              <w:rPr>
                <w:bCs/>
                <w:szCs w:val="24"/>
              </w:rPr>
            </w:pPr>
          </w:p>
        </w:tc>
        <w:tc>
          <w:tcPr>
            <w:tcW w:w="1110" w:type="pct"/>
          </w:tcPr>
          <w:p w14:paraId="7C6C2647" w14:textId="1E34BB05" w:rsidR="00A06FE5" w:rsidRPr="001256F4" w:rsidRDefault="00304E78" w:rsidP="00A06FE5">
            <w:pPr>
              <w:snapToGrid w:val="0"/>
              <w:spacing w:after="0" w:line="240" w:lineRule="auto"/>
              <w:rPr>
                <w:bCs/>
                <w:color w:val="000000"/>
                <w:szCs w:val="24"/>
              </w:rPr>
            </w:pPr>
            <w:r w:rsidRPr="001256F4">
              <w:rPr>
                <w:bCs/>
                <w:color w:val="000000"/>
                <w:szCs w:val="24"/>
              </w:rPr>
              <w:t>Spalvinimas ir saugumas</w:t>
            </w:r>
          </w:p>
        </w:tc>
        <w:tc>
          <w:tcPr>
            <w:tcW w:w="2293" w:type="pct"/>
          </w:tcPr>
          <w:p w14:paraId="5804549B" w14:textId="5471F7E9" w:rsidR="00A06FE5" w:rsidRPr="001256F4" w:rsidRDefault="00304E78" w:rsidP="00A06FE5">
            <w:pPr>
              <w:pStyle w:val="ListParagraph"/>
              <w:tabs>
                <w:tab w:val="left" w:pos="321"/>
              </w:tabs>
              <w:spacing w:after="0" w:line="240" w:lineRule="auto"/>
              <w:ind w:left="0"/>
              <w:jc w:val="both"/>
              <w:rPr>
                <w:bCs/>
                <w:color w:val="000000"/>
                <w:szCs w:val="24"/>
              </w:rPr>
            </w:pPr>
            <w:r w:rsidRPr="001256F4">
              <w:rPr>
                <w:bCs/>
                <w:szCs w:val="24"/>
              </w:rPr>
              <w:t xml:space="preserve">Ugdymo ir demonstraciniais tikslais ląstelių komponentai, </w:t>
            </w:r>
            <w:proofErr w:type="spellStart"/>
            <w:r w:rsidRPr="001256F4">
              <w:rPr>
                <w:bCs/>
                <w:szCs w:val="24"/>
              </w:rPr>
              <w:t>organelės</w:t>
            </w:r>
            <w:proofErr w:type="spellEnd"/>
            <w:r w:rsidRPr="001256F4">
              <w:rPr>
                <w:bCs/>
                <w:szCs w:val="24"/>
              </w:rPr>
              <w:t xml:space="preserve"> bei chromosomų judėjimas turi būti nudažyti kontrastingomis, ryškiomis spalvomis (naudojamos </w:t>
            </w:r>
            <w:r w:rsidRPr="001256F4">
              <w:rPr>
                <w:rStyle w:val="Strong"/>
                <w:b w:val="0"/>
                <w:szCs w:val="24"/>
              </w:rPr>
              <w:t>ne mažiau kaip 4 skirtingos spalvos</w:t>
            </w:r>
            <w:r w:rsidRPr="001256F4">
              <w:rPr>
                <w:bCs/>
                <w:szCs w:val="24"/>
              </w:rPr>
              <w:t>).</w:t>
            </w:r>
            <w:r w:rsidRPr="001256F4">
              <w:rPr>
                <w:bCs/>
                <w:szCs w:val="24"/>
              </w:rPr>
              <w:br/>
              <w:t>Gaminys turi būti saugus naudoti mokykloje: be aštrių išorinių briaunų, kampų ar atplaišų, pagamintas nenaudojant sveikatai kenksmingų ar toksiškų cheminių medžiagų. Gamyba turi atitikti tarptautinius kokybės bei aplinkosaugos vadybos principus (pvz., ISO 9001, ISO 14001 ar lygiaverčius standartus), patvirtintus dokumentais ar gamyklinėmis deklaracijomis.</w:t>
            </w:r>
          </w:p>
        </w:tc>
        <w:tc>
          <w:tcPr>
            <w:tcW w:w="1170" w:type="pct"/>
          </w:tcPr>
          <w:p w14:paraId="392EAC4E" w14:textId="77777777" w:rsidR="00A06FE5" w:rsidRPr="001256F4" w:rsidRDefault="00A06FE5" w:rsidP="00A06FE5">
            <w:pPr>
              <w:snapToGrid w:val="0"/>
              <w:spacing w:after="0" w:line="240" w:lineRule="auto"/>
              <w:ind w:left="83"/>
              <w:rPr>
                <w:bCs/>
                <w:szCs w:val="24"/>
              </w:rPr>
            </w:pPr>
          </w:p>
        </w:tc>
      </w:tr>
      <w:tr w:rsidR="00A06FE5" w:rsidRPr="001256F4" w14:paraId="458AB902" w14:textId="77777777" w:rsidTr="003F1C3B">
        <w:trPr>
          <w:trHeight w:val="562"/>
        </w:trPr>
        <w:tc>
          <w:tcPr>
            <w:tcW w:w="427" w:type="pct"/>
          </w:tcPr>
          <w:p w14:paraId="4415554C" w14:textId="77777777" w:rsidR="00A06FE5" w:rsidRPr="001256F4" w:rsidRDefault="00A06FE5" w:rsidP="00A06FE5">
            <w:pPr>
              <w:numPr>
                <w:ilvl w:val="0"/>
                <w:numId w:val="1"/>
              </w:numPr>
              <w:suppressAutoHyphens/>
              <w:spacing w:after="0" w:line="240" w:lineRule="auto"/>
              <w:rPr>
                <w:bCs/>
                <w:szCs w:val="24"/>
              </w:rPr>
            </w:pPr>
          </w:p>
        </w:tc>
        <w:tc>
          <w:tcPr>
            <w:tcW w:w="1110" w:type="pct"/>
          </w:tcPr>
          <w:p w14:paraId="01762AE4" w14:textId="129D6258" w:rsidR="00A06FE5" w:rsidRPr="001256F4" w:rsidRDefault="00304E78" w:rsidP="00A06FE5">
            <w:pPr>
              <w:snapToGrid w:val="0"/>
              <w:spacing w:after="0" w:line="240" w:lineRule="auto"/>
              <w:rPr>
                <w:bCs/>
                <w:color w:val="000000"/>
                <w:szCs w:val="24"/>
              </w:rPr>
            </w:pPr>
            <w:r w:rsidRPr="001256F4">
              <w:rPr>
                <w:bCs/>
                <w:color w:val="000000"/>
                <w:szCs w:val="24"/>
              </w:rPr>
              <w:t>D</w:t>
            </w:r>
            <w:r w:rsidR="001256F4" w:rsidRPr="001256F4">
              <w:rPr>
                <w:bCs/>
                <w:color w:val="000000"/>
                <w:szCs w:val="24"/>
              </w:rPr>
              <w:t>o</w:t>
            </w:r>
            <w:r w:rsidRPr="001256F4">
              <w:rPr>
                <w:bCs/>
                <w:color w:val="000000"/>
                <w:szCs w:val="24"/>
              </w:rPr>
              <w:t>kumentacija</w:t>
            </w:r>
          </w:p>
        </w:tc>
        <w:tc>
          <w:tcPr>
            <w:tcW w:w="2293" w:type="pct"/>
          </w:tcPr>
          <w:p w14:paraId="2D581DFC" w14:textId="01A71EDB" w:rsidR="00A06FE5" w:rsidRPr="001256F4" w:rsidRDefault="00304E78" w:rsidP="00A06FE5">
            <w:pPr>
              <w:spacing w:after="0" w:line="240" w:lineRule="auto"/>
              <w:jc w:val="both"/>
              <w:rPr>
                <w:bCs/>
                <w:color w:val="000000"/>
                <w:szCs w:val="24"/>
              </w:rPr>
            </w:pPr>
            <w:r w:rsidRPr="001256F4">
              <w:rPr>
                <w:bCs/>
                <w:szCs w:val="24"/>
              </w:rPr>
              <w:t xml:space="preserve">Kartu su kiekvienu mitozės modelių komplektu tiekėjas privalo pateikti naudotojo vadovą / metodines rekomendacijas pamokoms </w:t>
            </w:r>
            <w:r w:rsidRPr="001256F4">
              <w:rPr>
                <w:rStyle w:val="Strong"/>
                <w:b w:val="0"/>
                <w:szCs w:val="24"/>
              </w:rPr>
              <w:t>lietuvių ir (arba) anglų kalbomis</w:t>
            </w:r>
            <w:r w:rsidRPr="001256F4">
              <w:rPr>
                <w:bCs/>
                <w:szCs w:val="24"/>
              </w:rPr>
              <w:t>. Dokumentai gali būti pateikiami spausdintu arba elektroniniu formatu.</w:t>
            </w:r>
          </w:p>
        </w:tc>
        <w:tc>
          <w:tcPr>
            <w:tcW w:w="1170" w:type="pct"/>
          </w:tcPr>
          <w:p w14:paraId="28830605" w14:textId="77777777" w:rsidR="00A06FE5" w:rsidRPr="001256F4" w:rsidRDefault="00A06FE5" w:rsidP="00A06FE5">
            <w:pPr>
              <w:snapToGrid w:val="0"/>
              <w:spacing w:after="0" w:line="240" w:lineRule="auto"/>
              <w:ind w:left="83"/>
              <w:rPr>
                <w:bCs/>
                <w:szCs w:val="24"/>
              </w:rPr>
            </w:pPr>
          </w:p>
        </w:tc>
      </w:tr>
      <w:tr w:rsidR="00A73562" w:rsidRPr="001256F4" w14:paraId="0E6B65FB" w14:textId="77777777" w:rsidTr="003F1C3B">
        <w:trPr>
          <w:trHeight w:val="562"/>
        </w:trPr>
        <w:tc>
          <w:tcPr>
            <w:tcW w:w="427" w:type="pct"/>
          </w:tcPr>
          <w:p w14:paraId="2EC500AF" w14:textId="77777777" w:rsidR="00A73562" w:rsidRPr="001256F4" w:rsidRDefault="00A73562" w:rsidP="00A06FE5">
            <w:pPr>
              <w:numPr>
                <w:ilvl w:val="0"/>
                <w:numId w:val="1"/>
              </w:numPr>
              <w:suppressAutoHyphens/>
              <w:spacing w:after="0" w:line="240" w:lineRule="auto"/>
              <w:rPr>
                <w:bCs/>
                <w:szCs w:val="24"/>
              </w:rPr>
            </w:pPr>
          </w:p>
        </w:tc>
        <w:tc>
          <w:tcPr>
            <w:tcW w:w="1110" w:type="pct"/>
          </w:tcPr>
          <w:p w14:paraId="61336550" w14:textId="2E316C46" w:rsidR="00A73562" w:rsidRPr="001256F4" w:rsidRDefault="001256F4" w:rsidP="00A06FE5">
            <w:pPr>
              <w:snapToGrid w:val="0"/>
              <w:spacing w:after="0" w:line="240" w:lineRule="auto"/>
              <w:rPr>
                <w:bCs/>
                <w:szCs w:val="24"/>
                <w:lang w:val="lt"/>
              </w:rPr>
            </w:pPr>
            <w:r w:rsidRPr="001256F4">
              <w:rPr>
                <w:bCs/>
                <w:szCs w:val="24"/>
                <w:lang w:val="lt"/>
              </w:rPr>
              <w:t>Garantija</w:t>
            </w:r>
          </w:p>
          <w:p w14:paraId="56B7FFC8" w14:textId="1A2D917F" w:rsidR="001256F4" w:rsidRPr="001256F4" w:rsidRDefault="001256F4" w:rsidP="001256F4">
            <w:pPr>
              <w:jc w:val="center"/>
              <w:rPr>
                <w:bCs/>
                <w:szCs w:val="24"/>
                <w:lang w:val="lt"/>
              </w:rPr>
            </w:pPr>
          </w:p>
        </w:tc>
        <w:tc>
          <w:tcPr>
            <w:tcW w:w="2293" w:type="pct"/>
          </w:tcPr>
          <w:p w14:paraId="6BDC8890" w14:textId="269486F6" w:rsidR="00A73562" w:rsidRPr="001256F4" w:rsidRDefault="001256F4" w:rsidP="00A06FE5">
            <w:pPr>
              <w:spacing w:after="0" w:line="240" w:lineRule="auto"/>
              <w:jc w:val="both"/>
              <w:rPr>
                <w:bCs/>
                <w:szCs w:val="24"/>
                <w:lang w:val="lt"/>
              </w:rPr>
            </w:pPr>
            <w:r w:rsidRPr="001256F4">
              <w:rPr>
                <w:bCs/>
                <w:szCs w:val="24"/>
              </w:rPr>
              <w:t xml:space="preserve">Garantinės priežiūros laikotarpis priemonėms – </w:t>
            </w:r>
            <w:r w:rsidRPr="001256F4">
              <w:rPr>
                <w:rStyle w:val="Strong"/>
                <w:b w:val="0"/>
                <w:szCs w:val="24"/>
              </w:rPr>
              <w:t>ne mažiau kaip 12 mėnesių</w:t>
            </w:r>
            <w:r w:rsidRPr="001256F4">
              <w:rPr>
                <w:bCs/>
                <w:szCs w:val="24"/>
              </w:rPr>
              <w:t xml:space="preserve"> nuo prekių perdavimo-priėmimo akto pasirašymo dienos.</w:t>
            </w:r>
            <w:r w:rsidRPr="001256F4">
              <w:rPr>
                <w:bCs/>
                <w:szCs w:val="24"/>
              </w:rPr>
              <w:br/>
              <w:t>Garantiniu laikotarpiu tiekėjas įsipareigoja nekokybiškas prekes pakeisti naujomis arba sutaisyti savo lėšomis per protingą terminą.</w:t>
            </w:r>
          </w:p>
        </w:tc>
        <w:tc>
          <w:tcPr>
            <w:tcW w:w="1170" w:type="pct"/>
          </w:tcPr>
          <w:p w14:paraId="066FE9DD" w14:textId="77777777" w:rsidR="00A73562" w:rsidRPr="001256F4" w:rsidRDefault="00A73562" w:rsidP="00A06FE5">
            <w:pPr>
              <w:snapToGrid w:val="0"/>
              <w:spacing w:after="0" w:line="240" w:lineRule="auto"/>
              <w:ind w:left="83"/>
              <w:rPr>
                <w:bCs/>
                <w:szCs w:val="24"/>
              </w:rPr>
            </w:pPr>
          </w:p>
        </w:tc>
      </w:tr>
      <w:bookmarkEnd w:id="0"/>
    </w:tbl>
    <w:p w14:paraId="20743DFD" w14:textId="77777777" w:rsidR="009E2323" w:rsidRPr="001256F4" w:rsidRDefault="009E2323" w:rsidP="00F0631A">
      <w:pPr>
        <w:spacing w:after="0" w:line="240" w:lineRule="auto"/>
        <w:rPr>
          <w:bCs/>
          <w:szCs w:val="24"/>
        </w:rPr>
      </w:pPr>
    </w:p>
    <w:sectPr w:rsidR="009E2323" w:rsidRPr="001256F4" w:rsidSect="004D33E0">
      <w:pgSz w:w="12240" w:h="15840"/>
      <w:pgMar w:top="13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35285"/>
    <w:multiLevelType w:val="hybridMultilevel"/>
    <w:tmpl w:val="708E830C"/>
    <w:lvl w:ilvl="0" w:tplc="CEAE8440">
      <w:start w:val="1"/>
      <w:numFmt w:val="decimal"/>
      <w:lvlText w:val="%1."/>
      <w:lvlJc w:val="left"/>
      <w:pPr>
        <w:ind w:left="425"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862" w:hanging="360"/>
      </w:pPr>
      <w:rPr>
        <w:rFonts w:cs="Times New Roman"/>
      </w:rPr>
    </w:lvl>
    <w:lvl w:ilvl="2" w:tplc="0427001B" w:tentative="1">
      <w:start w:val="1"/>
      <w:numFmt w:val="lowerRoman"/>
      <w:lvlText w:val="%3."/>
      <w:lvlJc w:val="right"/>
      <w:pPr>
        <w:ind w:left="1582" w:hanging="180"/>
      </w:pPr>
      <w:rPr>
        <w:rFonts w:cs="Times New Roman"/>
      </w:rPr>
    </w:lvl>
    <w:lvl w:ilvl="3" w:tplc="0427000F" w:tentative="1">
      <w:start w:val="1"/>
      <w:numFmt w:val="decimal"/>
      <w:lvlText w:val="%4."/>
      <w:lvlJc w:val="left"/>
      <w:pPr>
        <w:ind w:left="2302" w:hanging="360"/>
      </w:pPr>
      <w:rPr>
        <w:rFonts w:cs="Times New Roman"/>
      </w:rPr>
    </w:lvl>
    <w:lvl w:ilvl="4" w:tplc="04270019" w:tentative="1">
      <w:start w:val="1"/>
      <w:numFmt w:val="lowerLetter"/>
      <w:lvlText w:val="%5."/>
      <w:lvlJc w:val="left"/>
      <w:pPr>
        <w:ind w:left="3022" w:hanging="360"/>
      </w:pPr>
      <w:rPr>
        <w:rFonts w:cs="Times New Roman"/>
      </w:rPr>
    </w:lvl>
    <w:lvl w:ilvl="5" w:tplc="0427001B" w:tentative="1">
      <w:start w:val="1"/>
      <w:numFmt w:val="lowerRoman"/>
      <w:lvlText w:val="%6."/>
      <w:lvlJc w:val="right"/>
      <w:pPr>
        <w:ind w:left="3742" w:hanging="180"/>
      </w:pPr>
      <w:rPr>
        <w:rFonts w:cs="Times New Roman"/>
      </w:rPr>
    </w:lvl>
    <w:lvl w:ilvl="6" w:tplc="0427000F" w:tentative="1">
      <w:start w:val="1"/>
      <w:numFmt w:val="decimal"/>
      <w:lvlText w:val="%7."/>
      <w:lvlJc w:val="left"/>
      <w:pPr>
        <w:ind w:left="4462" w:hanging="360"/>
      </w:pPr>
      <w:rPr>
        <w:rFonts w:cs="Times New Roman"/>
      </w:rPr>
    </w:lvl>
    <w:lvl w:ilvl="7" w:tplc="04270019" w:tentative="1">
      <w:start w:val="1"/>
      <w:numFmt w:val="lowerLetter"/>
      <w:lvlText w:val="%8."/>
      <w:lvlJc w:val="left"/>
      <w:pPr>
        <w:ind w:left="5182" w:hanging="360"/>
      </w:pPr>
      <w:rPr>
        <w:rFonts w:cs="Times New Roman"/>
      </w:rPr>
    </w:lvl>
    <w:lvl w:ilvl="8" w:tplc="0427001B" w:tentative="1">
      <w:start w:val="1"/>
      <w:numFmt w:val="lowerRoman"/>
      <w:lvlText w:val="%9."/>
      <w:lvlJc w:val="right"/>
      <w:pPr>
        <w:ind w:left="5902" w:hanging="180"/>
      </w:pPr>
      <w:rPr>
        <w:rFonts w:cs="Times New Roman"/>
      </w:rPr>
    </w:lvl>
  </w:abstractNum>
  <w:abstractNum w:abstractNumId="1" w15:restartNumberingAfterBreak="0">
    <w:nsid w:val="44B7623D"/>
    <w:multiLevelType w:val="multilevel"/>
    <w:tmpl w:val="029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A6D83"/>
    <w:multiLevelType w:val="hybridMultilevel"/>
    <w:tmpl w:val="1E7E4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2F"/>
    <w:rsid w:val="001256F4"/>
    <w:rsid w:val="001442D9"/>
    <w:rsid w:val="001C1F6F"/>
    <w:rsid w:val="00304E78"/>
    <w:rsid w:val="00491031"/>
    <w:rsid w:val="00622B2F"/>
    <w:rsid w:val="00836A8E"/>
    <w:rsid w:val="009227DE"/>
    <w:rsid w:val="00982DF8"/>
    <w:rsid w:val="009E2323"/>
    <w:rsid w:val="00A06FE5"/>
    <w:rsid w:val="00A73562"/>
    <w:rsid w:val="00E068AC"/>
    <w:rsid w:val="00F06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BE19"/>
  <w15:chartTrackingRefBased/>
  <w15:docId w15:val="{F666718E-8A1C-4486-9037-E7168802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2F"/>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2F"/>
    <w:pPr>
      <w:ind w:left="720"/>
      <w:contextualSpacing/>
    </w:pPr>
  </w:style>
  <w:style w:type="character" w:styleId="Hyperlink">
    <w:name w:val="Hyperlink"/>
    <w:basedOn w:val="DefaultParagraphFont"/>
    <w:uiPriority w:val="99"/>
    <w:unhideWhenUsed/>
    <w:rsid w:val="00622B2F"/>
    <w:rPr>
      <w:color w:val="0563C1" w:themeColor="hyperlink"/>
      <w:u w:val="single"/>
    </w:rPr>
  </w:style>
  <w:style w:type="paragraph" w:styleId="NormalWeb">
    <w:name w:val="Normal (Web)"/>
    <w:basedOn w:val="Normal"/>
    <w:uiPriority w:val="99"/>
    <w:semiHidden/>
    <w:unhideWhenUsed/>
    <w:rsid w:val="00F0631A"/>
    <w:pPr>
      <w:spacing w:before="100" w:beforeAutospacing="1" w:after="100" w:afterAutospacing="1" w:line="240" w:lineRule="auto"/>
    </w:pPr>
    <w:rPr>
      <w:rFonts w:eastAsia="Times New Roman"/>
      <w:szCs w:val="24"/>
      <w:lang w:eastAsia="lt-LT"/>
    </w:rPr>
  </w:style>
  <w:style w:type="character" w:styleId="Strong">
    <w:name w:val="Strong"/>
    <w:basedOn w:val="DefaultParagraphFont"/>
    <w:uiPriority w:val="22"/>
    <w:qFormat/>
    <w:rsid w:val="00A73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5364">
      <w:bodyDiv w:val="1"/>
      <w:marLeft w:val="0"/>
      <w:marRight w:val="0"/>
      <w:marTop w:val="0"/>
      <w:marBottom w:val="0"/>
      <w:divBdr>
        <w:top w:val="none" w:sz="0" w:space="0" w:color="auto"/>
        <w:left w:val="none" w:sz="0" w:space="0" w:color="auto"/>
        <w:bottom w:val="none" w:sz="0" w:space="0" w:color="auto"/>
        <w:right w:val="none" w:sz="0" w:space="0" w:color="auto"/>
      </w:divBdr>
      <w:divsChild>
        <w:div w:id="1344357714">
          <w:marLeft w:val="0"/>
          <w:marRight w:val="0"/>
          <w:marTop w:val="0"/>
          <w:marBottom w:val="0"/>
          <w:divBdr>
            <w:top w:val="none" w:sz="0" w:space="0" w:color="auto"/>
            <w:left w:val="none" w:sz="0" w:space="0" w:color="auto"/>
            <w:bottom w:val="none" w:sz="0" w:space="0" w:color="auto"/>
            <w:right w:val="none" w:sz="0" w:space="0" w:color="auto"/>
          </w:divBdr>
        </w:div>
      </w:divsChild>
    </w:div>
    <w:div w:id="507184549">
      <w:bodyDiv w:val="1"/>
      <w:marLeft w:val="0"/>
      <w:marRight w:val="0"/>
      <w:marTop w:val="0"/>
      <w:marBottom w:val="0"/>
      <w:divBdr>
        <w:top w:val="none" w:sz="0" w:space="0" w:color="auto"/>
        <w:left w:val="none" w:sz="0" w:space="0" w:color="auto"/>
        <w:bottom w:val="none" w:sz="0" w:space="0" w:color="auto"/>
        <w:right w:val="none" w:sz="0" w:space="0" w:color="auto"/>
      </w:divBdr>
      <w:divsChild>
        <w:div w:id="118765165">
          <w:marLeft w:val="0"/>
          <w:marRight w:val="0"/>
          <w:marTop w:val="0"/>
          <w:marBottom w:val="0"/>
          <w:divBdr>
            <w:top w:val="none" w:sz="0" w:space="0" w:color="auto"/>
            <w:left w:val="none" w:sz="0" w:space="0" w:color="auto"/>
            <w:bottom w:val="none" w:sz="0" w:space="0" w:color="auto"/>
            <w:right w:val="none" w:sz="0" w:space="0" w:color="auto"/>
          </w:divBdr>
        </w:div>
      </w:divsChild>
    </w:div>
    <w:div w:id="1114203533">
      <w:bodyDiv w:val="1"/>
      <w:marLeft w:val="0"/>
      <w:marRight w:val="0"/>
      <w:marTop w:val="0"/>
      <w:marBottom w:val="0"/>
      <w:divBdr>
        <w:top w:val="none" w:sz="0" w:space="0" w:color="auto"/>
        <w:left w:val="none" w:sz="0" w:space="0" w:color="auto"/>
        <w:bottom w:val="none" w:sz="0" w:space="0" w:color="auto"/>
        <w:right w:val="none" w:sz="0" w:space="0" w:color="auto"/>
      </w:divBdr>
      <w:divsChild>
        <w:div w:id="1208487538">
          <w:marLeft w:val="0"/>
          <w:marRight w:val="0"/>
          <w:marTop w:val="0"/>
          <w:marBottom w:val="0"/>
          <w:divBdr>
            <w:top w:val="none" w:sz="0" w:space="0" w:color="auto"/>
            <w:left w:val="none" w:sz="0" w:space="0" w:color="auto"/>
            <w:bottom w:val="none" w:sz="0" w:space="0" w:color="auto"/>
            <w:right w:val="none" w:sz="0" w:space="0" w:color="auto"/>
          </w:divBdr>
        </w:div>
      </w:divsChild>
    </w:div>
    <w:div w:id="1189490070">
      <w:bodyDiv w:val="1"/>
      <w:marLeft w:val="0"/>
      <w:marRight w:val="0"/>
      <w:marTop w:val="0"/>
      <w:marBottom w:val="0"/>
      <w:divBdr>
        <w:top w:val="none" w:sz="0" w:space="0" w:color="auto"/>
        <w:left w:val="none" w:sz="0" w:space="0" w:color="auto"/>
        <w:bottom w:val="none" w:sz="0" w:space="0" w:color="auto"/>
        <w:right w:val="none" w:sz="0" w:space="0" w:color="auto"/>
      </w:divBdr>
    </w:div>
    <w:div w:id="1207833295">
      <w:bodyDiv w:val="1"/>
      <w:marLeft w:val="0"/>
      <w:marRight w:val="0"/>
      <w:marTop w:val="0"/>
      <w:marBottom w:val="0"/>
      <w:divBdr>
        <w:top w:val="none" w:sz="0" w:space="0" w:color="auto"/>
        <w:left w:val="none" w:sz="0" w:space="0" w:color="auto"/>
        <w:bottom w:val="none" w:sz="0" w:space="0" w:color="auto"/>
        <w:right w:val="none" w:sz="0" w:space="0" w:color="auto"/>
      </w:divBdr>
      <w:divsChild>
        <w:div w:id="1764717815">
          <w:marLeft w:val="0"/>
          <w:marRight w:val="0"/>
          <w:marTop w:val="0"/>
          <w:marBottom w:val="0"/>
          <w:divBdr>
            <w:top w:val="none" w:sz="0" w:space="0" w:color="auto"/>
            <w:left w:val="none" w:sz="0" w:space="0" w:color="auto"/>
            <w:bottom w:val="none" w:sz="0" w:space="0" w:color="auto"/>
            <w:right w:val="none" w:sz="0" w:space="0" w:color="auto"/>
          </w:divBdr>
        </w:div>
      </w:divsChild>
    </w:div>
    <w:div w:id="1344698207">
      <w:bodyDiv w:val="1"/>
      <w:marLeft w:val="0"/>
      <w:marRight w:val="0"/>
      <w:marTop w:val="0"/>
      <w:marBottom w:val="0"/>
      <w:divBdr>
        <w:top w:val="none" w:sz="0" w:space="0" w:color="auto"/>
        <w:left w:val="none" w:sz="0" w:space="0" w:color="auto"/>
        <w:bottom w:val="none" w:sz="0" w:space="0" w:color="auto"/>
        <w:right w:val="none" w:sz="0" w:space="0" w:color="auto"/>
      </w:divBdr>
      <w:divsChild>
        <w:div w:id="2106148401">
          <w:marLeft w:val="0"/>
          <w:marRight w:val="0"/>
          <w:marTop w:val="0"/>
          <w:marBottom w:val="0"/>
          <w:divBdr>
            <w:top w:val="none" w:sz="0" w:space="0" w:color="auto"/>
            <w:left w:val="none" w:sz="0" w:space="0" w:color="auto"/>
            <w:bottom w:val="none" w:sz="0" w:space="0" w:color="auto"/>
            <w:right w:val="none" w:sz="0" w:space="0" w:color="auto"/>
          </w:divBdr>
        </w:div>
      </w:divsChild>
    </w:div>
    <w:div w:id="1348212410">
      <w:bodyDiv w:val="1"/>
      <w:marLeft w:val="0"/>
      <w:marRight w:val="0"/>
      <w:marTop w:val="0"/>
      <w:marBottom w:val="0"/>
      <w:divBdr>
        <w:top w:val="none" w:sz="0" w:space="0" w:color="auto"/>
        <w:left w:val="none" w:sz="0" w:space="0" w:color="auto"/>
        <w:bottom w:val="none" w:sz="0" w:space="0" w:color="auto"/>
        <w:right w:val="none" w:sz="0" w:space="0" w:color="auto"/>
      </w:divBdr>
      <w:divsChild>
        <w:div w:id="1624649430">
          <w:marLeft w:val="0"/>
          <w:marRight w:val="0"/>
          <w:marTop w:val="0"/>
          <w:marBottom w:val="0"/>
          <w:divBdr>
            <w:top w:val="none" w:sz="0" w:space="0" w:color="auto"/>
            <w:left w:val="none" w:sz="0" w:space="0" w:color="auto"/>
            <w:bottom w:val="none" w:sz="0" w:space="0" w:color="auto"/>
            <w:right w:val="none" w:sz="0" w:space="0" w:color="auto"/>
          </w:divBdr>
        </w:div>
      </w:divsChild>
    </w:div>
    <w:div w:id="1492792574">
      <w:bodyDiv w:val="1"/>
      <w:marLeft w:val="0"/>
      <w:marRight w:val="0"/>
      <w:marTop w:val="0"/>
      <w:marBottom w:val="0"/>
      <w:divBdr>
        <w:top w:val="none" w:sz="0" w:space="0" w:color="auto"/>
        <w:left w:val="none" w:sz="0" w:space="0" w:color="auto"/>
        <w:bottom w:val="none" w:sz="0" w:space="0" w:color="auto"/>
        <w:right w:val="none" w:sz="0" w:space="0" w:color="auto"/>
      </w:divBdr>
      <w:divsChild>
        <w:div w:id="971717291">
          <w:marLeft w:val="0"/>
          <w:marRight w:val="0"/>
          <w:marTop w:val="0"/>
          <w:marBottom w:val="0"/>
          <w:divBdr>
            <w:top w:val="none" w:sz="0" w:space="0" w:color="auto"/>
            <w:left w:val="none" w:sz="0" w:space="0" w:color="auto"/>
            <w:bottom w:val="none" w:sz="0" w:space="0" w:color="auto"/>
            <w:right w:val="none" w:sz="0" w:space="0" w:color="auto"/>
          </w:divBdr>
        </w:div>
      </w:divsChild>
    </w:div>
    <w:div w:id="1510022726">
      <w:bodyDiv w:val="1"/>
      <w:marLeft w:val="0"/>
      <w:marRight w:val="0"/>
      <w:marTop w:val="0"/>
      <w:marBottom w:val="0"/>
      <w:divBdr>
        <w:top w:val="none" w:sz="0" w:space="0" w:color="auto"/>
        <w:left w:val="none" w:sz="0" w:space="0" w:color="auto"/>
        <w:bottom w:val="none" w:sz="0" w:space="0" w:color="auto"/>
        <w:right w:val="none" w:sz="0" w:space="0" w:color="auto"/>
      </w:divBdr>
      <w:divsChild>
        <w:div w:id="816459301">
          <w:marLeft w:val="0"/>
          <w:marRight w:val="0"/>
          <w:marTop w:val="0"/>
          <w:marBottom w:val="0"/>
          <w:divBdr>
            <w:top w:val="none" w:sz="0" w:space="0" w:color="auto"/>
            <w:left w:val="none" w:sz="0" w:space="0" w:color="auto"/>
            <w:bottom w:val="none" w:sz="0" w:space="0" w:color="auto"/>
            <w:right w:val="none" w:sz="0" w:space="0" w:color="auto"/>
          </w:divBdr>
        </w:div>
      </w:divsChild>
    </w:div>
    <w:div w:id="1600021472">
      <w:bodyDiv w:val="1"/>
      <w:marLeft w:val="0"/>
      <w:marRight w:val="0"/>
      <w:marTop w:val="0"/>
      <w:marBottom w:val="0"/>
      <w:divBdr>
        <w:top w:val="none" w:sz="0" w:space="0" w:color="auto"/>
        <w:left w:val="none" w:sz="0" w:space="0" w:color="auto"/>
        <w:bottom w:val="none" w:sz="0" w:space="0" w:color="auto"/>
        <w:right w:val="none" w:sz="0" w:space="0" w:color="auto"/>
      </w:divBdr>
      <w:divsChild>
        <w:div w:id="147744901">
          <w:marLeft w:val="0"/>
          <w:marRight w:val="0"/>
          <w:marTop w:val="0"/>
          <w:marBottom w:val="0"/>
          <w:divBdr>
            <w:top w:val="none" w:sz="0" w:space="0" w:color="auto"/>
            <w:left w:val="none" w:sz="0" w:space="0" w:color="auto"/>
            <w:bottom w:val="none" w:sz="0" w:space="0" w:color="auto"/>
            <w:right w:val="none" w:sz="0" w:space="0" w:color="auto"/>
          </w:divBdr>
        </w:div>
      </w:divsChild>
    </w:div>
    <w:div w:id="1621104044">
      <w:bodyDiv w:val="1"/>
      <w:marLeft w:val="0"/>
      <w:marRight w:val="0"/>
      <w:marTop w:val="0"/>
      <w:marBottom w:val="0"/>
      <w:divBdr>
        <w:top w:val="none" w:sz="0" w:space="0" w:color="auto"/>
        <w:left w:val="none" w:sz="0" w:space="0" w:color="auto"/>
        <w:bottom w:val="none" w:sz="0" w:space="0" w:color="auto"/>
        <w:right w:val="none" w:sz="0" w:space="0" w:color="auto"/>
      </w:divBdr>
      <w:divsChild>
        <w:div w:id="1954703303">
          <w:marLeft w:val="0"/>
          <w:marRight w:val="0"/>
          <w:marTop w:val="0"/>
          <w:marBottom w:val="0"/>
          <w:divBdr>
            <w:top w:val="none" w:sz="0" w:space="0" w:color="auto"/>
            <w:left w:val="none" w:sz="0" w:space="0" w:color="auto"/>
            <w:bottom w:val="none" w:sz="0" w:space="0" w:color="auto"/>
            <w:right w:val="none" w:sz="0" w:space="0" w:color="auto"/>
          </w:divBdr>
        </w:div>
      </w:divsChild>
    </w:div>
    <w:div w:id="1699550695">
      <w:bodyDiv w:val="1"/>
      <w:marLeft w:val="0"/>
      <w:marRight w:val="0"/>
      <w:marTop w:val="0"/>
      <w:marBottom w:val="0"/>
      <w:divBdr>
        <w:top w:val="none" w:sz="0" w:space="0" w:color="auto"/>
        <w:left w:val="none" w:sz="0" w:space="0" w:color="auto"/>
        <w:bottom w:val="none" w:sz="0" w:space="0" w:color="auto"/>
        <w:right w:val="none" w:sz="0" w:space="0" w:color="auto"/>
      </w:divBdr>
      <w:divsChild>
        <w:div w:id="1195388153">
          <w:marLeft w:val="0"/>
          <w:marRight w:val="0"/>
          <w:marTop w:val="0"/>
          <w:marBottom w:val="0"/>
          <w:divBdr>
            <w:top w:val="none" w:sz="0" w:space="0" w:color="auto"/>
            <w:left w:val="none" w:sz="0" w:space="0" w:color="auto"/>
            <w:bottom w:val="none" w:sz="0" w:space="0" w:color="auto"/>
            <w:right w:val="none" w:sz="0" w:space="0" w:color="auto"/>
          </w:divBdr>
        </w:div>
      </w:divsChild>
    </w:div>
    <w:div w:id="2073579208">
      <w:bodyDiv w:val="1"/>
      <w:marLeft w:val="0"/>
      <w:marRight w:val="0"/>
      <w:marTop w:val="0"/>
      <w:marBottom w:val="0"/>
      <w:divBdr>
        <w:top w:val="none" w:sz="0" w:space="0" w:color="auto"/>
        <w:left w:val="none" w:sz="0" w:space="0" w:color="auto"/>
        <w:bottom w:val="none" w:sz="0" w:space="0" w:color="auto"/>
        <w:right w:val="none" w:sz="0" w:space="0" w:color="auto"/>
      </w:divBdr>
      <w:divsChild>
        <w:div w:id="1551696569">
          <w:marLeft w:val="0"/>
          <w:marRight w:val="0"/>
          <w:marTop w:val="0"/>
          <w:marBottom w:val="0"/>
          <w:divBdr>
            <w:top w:val="none" w:sz="0" w:space="0" w:color="auto"/>
            <w:left w:val="none" w:sz="0" w:space="0" w:color="auto"/>
            <w:bottom w:val="none" w:sz="0" w:space="0" w:color="auto"/>
            <w:right w:val="none" w:sz="0" w:space="0" w:color="auto"/>
          </w:divBdr>
        </w:div>
      </w:divsChild>
    </w:div>
    <w:div w:id="2084835935">
      <w:bodyDiv w:val="1"/>
      <w:marLeft w:val="0"/>
      <w:marRight w:val="0"/>
      <w:marTop w:val="0"/>
      <w:marBottom w:val="0"/>
      <w:divBdr>
        <w:top w:val="none" w:sz="0" w:space="0" w:color="auto"/>
        <w:left w:val="none" w:sz="0" w:space="0" w:color="auto"/>
        <w:bottom w:val="none" w:sz="0" w:space="0" w:color="auto"/>
        <w:right w:val="none" w:sz="0" w:space="0" w:color="auto"/>
      </w:divBdr>
      <w:divsChild>
        <w:div w:id="113432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1914</Words>
  <Characters>1091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2026-06-15T16:04:00Z</dcterms:created>
  <dcterms:modified xsi:type="dcterms:W3CDTF">2026-06-15T16:04:00Z</dcterms:modified>
</cp:coreProperties>
</file>