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6EA7" w14:textId="663F6A26" w:rsidR="00712449" w:rsidRPr="00712449" w:rsidRDefault="00712449" w:rsidP="00712449">
      <w:pPr>
        <w:jc w:val="center"/>
        <w:rPr>
          <w:rFonts w:ascii="Times New Roman" w:hAnsi="Times New Roman" w:cs="Times New Roman"/>
          <w:b/>
          <w:bCs/>
        </w:rPr>
      </w:pPr>
      <w:r>
        <w:rPr>
          <w:rFonts w:ascii="Times New Roman" w:hAnsi="Times New Roman" w:cs="Times New Roman"/>
          <w:b/>
          <w:bCs/>
        </w:rPr>
        <w:t>Viešo pirkimo</w:t>
      </w:r>
      <w:r w:rsidRPr="00712449">
        <w:rPr>
          <w:rFonts w:ascii="Times New Roman" w:hAnsi="Times New Roman" w:cs="Times New Roman"/>
          <w:b/>
          <w:bCs/>
        </w:rPr>
        <w:t> </w:t>
      </w:r>
      <w:r w:rsidR="00C4531E">
        <w:rPr>
          <w:rFonts w:ascii="Times New Roman" w:hAnsi="Times New Roman" w:cs="Times New Roman"/>
          <w:b/>
          <w:bCs/>
        </w:rPr>
        <w:t>Keleivių</w:t>
      </w:r>
      <w:r w:rsidR="006145BB">
        <w:rPr>
          <w:rFonts w:ascii="Times New Roman" w:hAnsi="Times New Roman" w:cs="Times New Roman"/>
          <w:b/>
          <w:bCs/>
        </w:rPr>
        <w:t xml:space="preserve"> </w:t>
      </w:r>
      <w:r w:rsidR="00C4531E">
        <w:rPr>
          <w:rFonts w:ascii="Times New Roman" w:hAnsi="Times New Roman" w:cs="Times New Roman"/>
          <w:b/>
          <w:bCs/>
        </w:rPr>
        <w:t>transporto priemonių nuoma su vairuotoju</w:t>
      </w:r>
      <w:r w:rsidR="00F33CDF">
        <w:rPr>
          <w:rFonts w:ascii="Times New Roman" w:hAnsi="Times New Roman" w:cs="Times New Roman"/>
          <w:b/>
          <w:bCs/>
        </w:rPr>
        <w:t xml:space="preserve"> paslaugos</w:t>
      </w:r>
      <w:r w:rsidRPr="00712449">
        <w:rPr>
          <w:rFonts w:ascii="Times New Roman" w:hAnsi="Times New Roman" w:cs="Times New Roman"/>
          <w:b/>
          <w:bCs/>
        </w:rPr>
        <w:t xml:space="preserve"> (skelbiama apklausa) </w:t>
      </w:r>
    </w:p>
    <w:tbl>
      <w:tblPr>
        <w:tblStyle w:val="Lentelstinklelis"/>
        <w:tblW w:w="9634" w:type="dxa"/>
        <w:tblLook w:val="04A0" w:firstRow="1" w:lastRow="0" w:firstColumn="1" w:lastColumn="0" w:noHBand="0" w:noVBand="1"/>
      </w:tblPr>
      <w:tblGrid>
        <w:gridCol w:w="570"/>
        <w:gridCol w:w="1524"/>
        <w:gridCol w:w="3571"/>
        <w:gridCol w:w="3969"/>
      </w:tblGrid>
      <w:tr w:rsidR="00712449" w:rsidRPr="00B24A65" w14:paraId="601F8EC9" w14:textId="77777777" w:rsidTr="00C4531E">
        <w:tc>
          <w:tcPr>
            <w:tcW w:w="570" w:type="dxa"/>
            <w:shd w:val="clear" w:color="auto" w:fill="CAEDFB" w:themeFill="accent4" w:themeFillTint="33"/>
          </w:tcPr>
          <w:p w14:paraId="6F701884" w14:textId="77777777" w:rsidR="00712449" w:rsidRPr="00B24A65" w:rsidRDefault="00712449" w:rsidP="00A22160">
            <w:pPr>
              <w:jc w:val="center"/>
              <w:rPr>
                <w:rFonts w:ascii="Times New Roman" w:hAnsi="Times New Roman" w:cs="Times New Roman"/>
              </w:rPr>
            </w:pPr>
            <w:r w:rsidRPr="00712449">
              <w:rPr>
                <w:rFonts w:ascii="Times New Roman" w:hAnsi="Times New Roman" w:cs="Times New Roman"/>
                <w:b/>
                <w:bCs/>
              </w:rPr>
              <w:t>Eil. Nr</w:t>
            </w:r>
            <w:r w:rsidRPr="00B24A65">
              <w:rPr>
                <w:rFonts w:ascii="Times New Roman" w:hAnsi="Times New Roman" w:cs="Times New Roman"/>
              </w:rPr>
              <w:t>.</w:t>
            </w:r>
          </w:p>
        </w:tc>
        <w:tc>
          <w:tcPr>
            <w:tcW w:w="1524" w:type="dxa"/>
            <w:shd w:val="clear" w:color="auto" w:fill="CAEDFB" w:themeFill="accent4" w:themeFillTint="33"/>
          </w:tcPr>
          <w:p w14:paraId="3A69834E" w14:textId="77777777" w:rsidR="00712449" w:rsidRPr="00B24A65" w:rsidRDefault="00712449" w:rsidP="00A22160">
            <w:pPr>
              <w:jc w:val="center"/>
              <w:rPr>
                <w:rFonts w:ascii="Times New Roman" w:hAnsi="Times New Roman" w:cs="Times New Roman"/>
                <w:b/>
                <w:bCs/>
              </w:rPr>
            </w:pPr>
            <w:r w:rsidRPr="00712449">
              <w:rPr>
                <w:rFonts w:ascii="Times New Roman" w:hAnsi="Times New Roman" w:cs="Times New Roman"/>
                <w:b/>
                <w:bCs/>
              </w:rPr>
              <w:t>Išsiuntimo CVP IS tiekėjams data ir dokumento (failo) pavadinimas</w:t>
            </w:r>
          </w:p>
        </w:tc>
        <w:tc>
          <w:tcPr>
            <w:tcW w:w="3571" w:type="dxa"/>
            <w:shd w:val="clear" w:color="auto" w:fill="CAEDFB" w:themeFill="accent4" w:themeFillTint="33"/>
          </w:tcPr>
          <w:p w14:paraId="7CDF0AD8" w14:textId="4961565F" w:rsidR="00712449" w:rsidRPr="00B24A65" w:rsidRDefault="00712449" w:rsidP="00A22160">
            <w:pPr>
              <w:jc w:val="center"/>
              <w:rPr>
                <w:rFonts w:ascii="Times New Roman" w:hAnsi="Times New Roman" w:cs="Times New Roman"/>
                <w:b/>
                <w:bCs/>
              </w:rPr>
            </w:pPr>
            <w:r>
              <w:rPr>
                <w:rFonts w:ascii="Times New Roman" w:hAnsi="Times New Roman" w:cs="Times New Roman"/>
                <w:b/>
                <w:bCs/>
              </w:rPr>
              <w:t>Klausimas/Pirminė sąlyga</w:t>
            </w:r>
          </w:p>
        </w:tc>
        <w:tc>
          <w:tcPr>
            <w:tcW w:w="3969" w:type="dxa"/>
            <w:shd w:val="clear" w:color="auto" w:fill="CAEDFB" w:themeFill="accent4" w:themeFillTint="33"/>
          </w:tcPr>
          <w:p w14:paraId="13AFF390" w14:textId="1F3EF43B" w:rsidR="00712449" w:rsidRPr="00B24A65" w:rsidRDefault="00712449" w:rsidP="00A22160">
            <w:pPr>
              <w:jc w:val="center"/>
              <w:rPr>
                <w:rFonts w:ascii="Times New Roman" w:hAnsi="Times New Roman" w:cs="Times New Roman"/>
                <w:b/>
                <w:bCs/>
              </w:rPr>
            </w:pPr>
            <w:r>
              <w:rPr>
                <w:rFonts w:ascii="Times New Roman" w:hAnsi="Times New Roman" w:cs="Times New Roman"/>
                <w:b/>
                <w:bCs/>
              </w:rPr>
              <w:t>A</w:t>
            </w:r>
            <w:r w:rsidRPr="00B24A65">
              <w:rPr>
                <w:rFonts w:ascii="Times New Roman" w:hAnsi="Times New Roman" w:cs="Times New Roman"/>
                <w:b/>
                <w:bCs/>
              </w:rPr>
              <w:t>tsakymai</w:t>
            </w:r>
            <w:r>
              <w:rPr>
                <w:rFonts w:ascii="Times New Roman" w:hAnsi="Times New Roman" w:cs="Times New Roman"/>
                <w:b/>
                <w:bCs/>
              </w:rPr>
              <w:t>/Pakeista sąlyga</w:t>
            </w:r>
          </w:p>
        </w:tc>
      </w:tr>
      <w:tr w:rsidR="00862BBA" w:rsidRPr="00B24A65" w14:paraId="5EBB7E03" w14:textId="77777777" w:rsidTr="00C4531E">
        <w:tc>
          <w:tcPr>
            <w:tcW w:w="570" w:type="dxa"/>
          </w:tcPr>
          <w:p w14:paraId="35B5AD0E" w14:textId="77777777" w:rsidR="00862BBA" w:rsidRPr="00B24A65" w:rsidRDefault="00862BBA" w:rsidP="00F33CDF">
            <w:pPr>
              <w:jc w:val="center"/>
              <w:rPr>
                <w:rFonts w:ascii="Times New Roman" w:hAnsi="Times New Roman" w:cs="Times New Roman"/>
              </w:rPr>
            </w:pPr>
            <w:r>
              <w:rPr>
                <w:rFonts w:ascii="Times New Roman" w:hAnsi="Times New Roman" w:cs="Times New Roman"/>
              </w:rPr>
              <w:t>1.</w:t>
            </w:r>
          </w:p>
        </w:tc>
        <w:tc>
          <w:tcPr>
            <w:tcW w:w="1524" w:type="dxa"/>
            <w:vMerge w:val="restart"/>
          </w:tcPr>
          <w:p w14:paraId="639A445B" w14:textId="12197BE6" w:rsidR="00862BBA" w:rsidRDefault="00862BBA" w:rsidP="00F33CDF">
            <w:pPr>
              <w:autoSpaceDE w:val="0"/>
              <w:autoSpaceDN w:val="0"/>
              <w:adjustRightInd w:val="0"/>
              <w:jc w:val="center"/>
              <w:rPr>
                <w:rFonts w:ascii="Times New Roman" w:hAnsi="Times New Roman" w:cs="Times New Roman"/>
                <w:b/>
                <w:bCs/>
                <w:color w:val="323232"/>
              </w:rPr>
            </w:pPr>
            <w:r>
              <w:rPr>
                <w:rFonts w:ascii="Times New Roman" w:hAnsi="Times New Roman" w:cs="Times New Roman"/>
                <w:b/>
                <w:bCs/>
                <w:color w:val="323232"/>
              </w:rPr>
              <w:t xml:space="preserve">2026-06-15 </w:t>
            </w:r>
          </w:p>
          <w:p w14:paraId="303D44E8" w14:textId="77777777" w:rsidR="00862BBA" w:rsidRDefault="00862BBA" w:rsidP="00F33CDF">
            <w:pPr>
              <w:autoSpaceDE w:val="0"/>
              <w:autoSpaceDN w:val="0"/>
              <w:adjustRightInd w:val="0"/>
              <w:jc w:val="center"/>
              <w:rPr>
                <w:rFonts w:ascii="Times New Roman" w:hAnsi="Times New Roman" w:cs="Times New Roman"/>
                <w:b/>
                <w:bCs/>
                <w:color w:val="323232"/>
              </w:rPr>
            </w:pPr>
          </w:p>
          <w:p w14:paraId="15BCCB7A" w14:textId="64BFAAF7" w:rsidR="00862BBA" w:rsidRPr="009C335E" w:rsidRDefault="00862BBA" w:rsidP="00F33CDF">
            <w:pPr>
              <w:rPr>
                <w:rFonts w:ascii="Times New Roman" w:hAnsi="Times New Roman" w:cs="Times New Roman"/>
              </w:rPr>
            </w:pPr>
            <w:r>
              <w:rPr>
                <w:rFonts w:ascii="Times New Roman" w:hAnsi="Times New Roman" w:cs="Times New Roman"/>
                <w:b/>
                <w:bCs/>
                <w:color w:val="323232"/>
              </w:rPr>
              <w:t>„</w:t>
            </w:r>
            <w:r w:rsidRPr="00BA622A">
              <w:rPr>
                <w:rFonts w:ascii="Times New Roman" w:hAnsi="Times New Roman" w:cs="Times New Roman"/>
                <w:b/>
                <w:bCs/>
                <w:color w:val="323232"/>
              </w:rPr>
              <w:t xml:space="preserve">Atsakymai į klausimus Nr. </w:t>
            </w:r>
            <w:r>
              <w:rPr>
                <w:rFonts w:ascii="Times New Roman" w:hAnsi="Times New Roman" w:cs="Times New Roman"/>
                <w:b/>
                <w:bCs/>
                <w:color w:val="323232"/>
              </w:rPr>
              <w:t>1_2026-06-1</w:t>
            </w:r>
            <w:r w:rsidR="00B24331">
              <w:rPr>
                <w:rFonts w:ascii="Times New Roman" w:hAnsi="Times New Roman" w:cs="Times New Roman"/>
                <w:b/>
                <w:bCs/>
                <w:color w:val="323232"/>
              </w:rPr>
              <w:t>1</w:t>
            </w:r>
            <w:r>
              <w:rPr>
                <w:rFonts w:ascii="Times New Roman" w:hAnsi="Times New Roman" w:cs="Times New Roman"/>
                <w:b/>
                <w:bCs/>
                <w:color w:val="323232"/>
              </w:rPr>
              <w:t xml:space="preserve">“ </w:t>
            </w:r>
          </w:p>
        </w:tc>
        <w:tc>
          <w:tcPr>
            <w:tcW w:w="3571" w:type="dxa"/>
          </w:tcPr>
          <w:p w14:paraId="06D6D58D" w14:textId="71FCC828" w:rsidR="00862BBA" w:rsidRPr="00B24A65" w:rsidRDefault="00C4531E" w:rsidP="00F33CDF">
            <w:pPr>
              <w:rPr>
                <w:rFonts w:ascii="Times New Roman" w:hAnsi="Times New Roman" w:cs="Times New Roman"/>
              </w:rPr>
            </w:pPr>
            <w:r w:rsidRPr="00C4531E">
              <w:rPr>
                <w:rFonts w:ascii="Times New Roman" w:hAnsi="Times New Roman" w:cs="Times New Roman"/>
              </w:rPr>
              <w:t xml:space="preserve">Dėl kilometražo apskaičiavimo ir daugiadienių kelionių </w:t>
            </w:r>
            <w:r w:rsidRPr="00C4531E">
              <w:rPr>
                <w:rFonts w:ascii="Times New Roman" w:hAnsi="Times New Roman" w:cs="Times New Roman"/>
              </w:rPr>
              <w:br/>
            </w:r>
            <w:r w:rsidRPr="00C4531E">
              <w:rPr>
                <w:rFonts w:ascii="Times New Roman" w:hAnsi="Times New Roman" w:cs="Times New Roman"/>
              </w:rPr>
              <w:br/>
              <w:t xml:space="preserve">Techninės specifikacijos 2.13 punkte nurodyta, kad atstumas kilometrais bus skaičiuojamas ir apmokamas tik nuo Užsakovo nurodyto atvykimo iki nuvykimo adreso. </w:t>
            </w:r>
            <w:r w:rsidRPr="00C4531E">
              <w:rPr>
                <w:rFonts w:ascii="Times New Roman" w:hAnsi="Times New Roman" w:cs="Times New Roman"/>
              </w:rPr>
              <w:br/>
            </w:r>
            <w:r w:rsidRPr="00C4531E">
              <w:rPr>
                <w:rFonts w:ascii="Times New Roman" w:hAnsi="Times New Roman" w:cs="Times New Roman"/>
              </w:rPr>
              <w:br/>
              <w:t xml:space="preserve">Prašome paaiškinti: </w:t>
            </w:r>
            <w:r w:rsidRPr="00C4531E">
              <w:rPr>
                <w:rFonts w:ascii="Times New Roman" w:hAnsi="Times New Roman" w:cs="Times New Roman"/>
              </w:rPr>
              <w:br/>
            </w:r>
            <w:r w:rsidRPr="00C4531E">
              <w:rPr>
                <w:rFonts w:ascii="Times New Roman" w:hAnsi="Times New Roman" w:cs="Times New Roman"/>
              </w:rPr>
              <w:br/>
              <w:t xml:space="preserve">Kaip bus apmokamos daugiadienės kelionės, kai keleivių nuvežimas ir parvežimas vykdomi skirtingomis dienomis? </w:t>
            </w:r>
            <w:r w:rsidRPr="00C4531E">
              <w:rPr>
                <w:rFonts w:ascii="Times New Roman" w:hAnsi="Times New Roman" w:cs="Times New Roman"/>
              </w:rPr>
              <w:br/>
              <w:t xml:space="preserve">Kaip bus apmokamos transporto priemonės ir vairuotojo prastovos, kai tarp nuvežimo ir parvežimo susidaro vienos ar kelių dienų laikotarpis? </w:t>
            </w:r>
            <w:r w:rsidRPr="00C4531E">
              <w:rPr>
                <w:rFonts w:ascii="Times New Roman" w:hAnsi="Times New Roman" w:cs="Times New Roman"/>
              </w:rPr>
              <w:br/>
              <w:t xml:space="preserve">Ar bus kompensuojamos vairuotojų nakvynės, parkavimo, saugojimo bei kitos išlaidos, atsirandančios dėl tokios prastovos? </w:t>
            </w:r>
            <w:r w:rsidRPr="00C4531E">
              <w:rPr>
                <w:rFonts w:ascii="Times New Roman" w:hAnsi="Times New Roman" w:cs="Times New Roman"/>
              </w:rPr>
              <w:br/>
              <w:t>Ar Perkančioji organizacija nelaikytų tikslingu papildyti techninę specifikaciją nuostata, aiškiai reglamentuojančia daugiadienių kelionių apmokėjimo tvarką, siekiant išvengti skirtingo sąlygų interpretavimo?</w:t>
            </w:r>
          </w:p>
        </w:tc>
        <w:tc>
          <w:tcPr>
            <w:tcW w:w="3969" w:type="dxa"/>
          </w:tcPr>
          <w:p w14:paraId="74B713D7" w14:textId="77777777" w:rsidR="00862BBA" w:rsidRPr="00862BBA" w:rsidRDefault="00862BBA" w:rsidP="00862BBA">
            <w:pPr>
              <w:rPr>
                <w:rFonts w:ascii="Times New Roman" w:hAnsi="Times New Roman" w:cs="Times New Roman"/>
              </w:rPr>
            </w:pPr>
            <w:r w:rsidRPr="00862BBA">
              <w:rPr>
                <w:rFonts w:ascii="Times New Roman" w:hAnsi="Times New Roman" w:cs="Times New Roman"/>
              </w:rPr>
              <w:t>Techninės specifikacijos 2.13 punkte nustatyta, kad atstumas kilometrais skaičiuojamas ir apmokamas tik nuo Užsakovo nurodyto atvykimo iki nuvykimo adreso.</w:t>
            </w:r>
          </w:p>
          <w:p w14:paraId="2E810CA7" w14:textId="77777777" w:rsidR="00862BBA" w:rsidRPr="00862BBA" w:rsidRDefault="00862BBA" w:rsidP="00862BBA">
            <w:pPr>
              <w:rPr>
                <w:rFonts w:ascii="Times New Roman" w:hAnsi="Times New Roman" w:cs="Times New Roman"/>
              </w:rPr>
            </w:pPr>
            <w:r w:rsidRPr="00862BBA">
              <w:rPr>
                <w:rFonts w:ascii="Times New Roman" w:hAnsi="Times New Roman" w:cs="Times New Roman"/>
              </w:rPr>
              <w:t>Ši nuostata aiškintina taip, kad daugiadienių kelionių atveju Paslaugų teikėjui grįžus į bazę (garažą) po keleivių nuvežimo ir vėliau pakartotinai atvykus keleivių parvežimui, papildomas kilometražas yra apmokamas pagal tiekėjo pasiūlyme pateiktus kilometro įkainius.</w:t>
            </w:r>
          </w:p>
          <w:p w14:paraId="27CF2BBA" w14:textId="77777777" w:rsidR="00862BBA" w:rsidRDefault="00862BBA" w:rsidP="00862BBA">
            <w:pPr>
              <w:rPr>
                <w:rFonts w:ascii="Times New Roman" w:hAnsi="Times New Roman" w:cs="Times New Roman"/>
              </w:rPr>
            </w:pPr>
            <w:r w:rsidRPr="00862BBA">
              <w:rPr>
                <w:rFonts w:ascii="Times New Roman" w:hAnsi="Times New Roman" w:cs="Times New Roman"/>
              </w:rPr>
              <w:t>Perkančioji organizacija pažymi, kad Užsakovas taip pat gali pasirinkti mokėti už šį laikotarpį kaip už prastovas. Todėl kiekvienu konkrečiu atveju Užsakovas pats priima sprendimą dėl ekonomiškai naudingesnio varianto – transporto priemonės grįžimo į bazę ar prastovos taikymo.</w:t>
            </w:r>
          </w:p>
          <w:p w14:paraId="5B863AC4" w14:textId="77777777" w:rsidR="00C4531E" w:rsidRPr="00862BBA" w:rsidRDefault="00C4531E" w:rsidP="00862BBA">
            <w:pPr>
              <w:rPr>
                <w:rFonts w:ascii="Times New Roman" w:hAnsi="Times New Roman" w:cs="Times New Roman"/>
              </w:rPr>
            </w:pPr>
          </w:p>
          <w:p w14:paraId="29A1137E" w14:textId="77777777" w:rsidR="00C4531E" w:rsidRPr="00862BBA" w:rsidRDefault="00C4531E" w:rsidP="00C4531E">
            <w:pPr>
              <w:rPr>
                <w:rFonts w:ascii="Times New Roman" w:hAnsi="Times New Roman" w:cs="Times New Roman"/>
              </w:rPr>
            </w:pPr>
            <w:r w:rsidRPr="00862BBA">
              <w:rPr>
                <w:rFonts w:ascii="Times New Roman" w:hAnsi="Times New Roman" w:cs="Times New Roman"/>
              </w:rPr>
              <w:t>Techninės specifikacijos 1.6 punkte yra numatyta atskira paslaugos pozicija „Prastova, 1 val.“, o Techninės specifikacijos 2.12 punkte reglamentuota prastovos laiko skaičiavimo tvarka.</w:t>
            </w:r>
          </w:p>
          <w:p w14:paraId="237582D8" w14:textId="77777777" w:rsidR="00C4531E" w:rsidRDefault="00C4531E" w:rsidP="00C4531E">
            <w:pPr>
              <w:rPr>
                <w:rFonts w:ascii="Times New Roman" w:hAnsi="Times New Roman" w:cs="Times New Roman"/>
              </w:rPr>
            </w:pPr>
            <w:r w:rsidRPr="00862BBA">
              <w:rPr>
                <w:rFonts w:ascii="Times New Roman" w:hAnsi="Times New Roman" w:cs="Times New Roman"/>
              </w:rPr>
              <w:t>Atsižvelgiant į tai, jei Perkančioji organizacija nuspręstų, kad konkrečiu atveju ekonomiškai naudingiau transporto priemonės negrąžinti į bazę (garažą), o palikti ją laukimo vietoje iki keleivių parvežimo, susidaręs laukimo laikotarpis būtų laikomas prastova ir apmokamas pagal tiekėjo pasiūlyme nurodytą prastovos valandinį įkainį.</w:t>
            </w:r>
          </w:p>
          <w:p w14:paraId="23594DAE" w14:textId="77777777" w:rsidR="00C4531E" w:rsidRPr="00862BBA" w:rsidRDefault="00C4531E" w:rsidP="00C4531E">
            <w:pPr>
              <w:rPr>
                <w:rFonts w:ascii="Times New Roman" w:hAnsi="Times New Roman" w:cs="Times New Roman"/>
              </w:rPr>
            </w:pPr>
          </w:p>
          <w:p w14:paraId="7BBC129E" w14:textId="77777777" w:rsidR="00C4531E" w:rsidRPr="00862BBA" w:rsidRDefault="00C4531E" w:rsidP="00C4531E">
            <w:pPr>
              <w:rPr>
                <w:rFonts w:ascii="Times New Roman" w:hAnsi="Times New Roman" w:cs="Times New Roman"/>
              </w:rPr>
            </w:pPr>
            <w:r w:rsidRPr="00862BBA">
              <w:rPr>
                <w:rFonts w:ascii="Times New Roman" w:hAnsi="Times New Roman" w:cs="Times New Roman"/>
              </w:rPr>
              <w:t>Techninės specifikacijos 2.3 punkte nustatyta, kad Paslaugų teikėjas privalo apmokėti visas išlaidas, susijusias su nuomos teikimu ir autobuso aptarnavimu, įskaitant vairuotojų poilsio laiką, maitinimą, autobusų parkavimą, saugumą bei kitus galimus mokesčius visų kelionių metu.</w:t>
            </w:r>
          </w:p>
          <w:p w14:paraId="0198FBE7" w14:textId="77777777" w:rsidR="00C4531E" w:rsidRDefault="00C4531E" w:rsidP="00C4531E">
            <w:pPr>
              <w:rPr>
                <w:rFonts w:ascii="Times New Roman" w:hAnsi="Times New Roman" w:cs="Times New Roman"/>
              </w:rPr>
            </w:pPr>
            <w:r w:rsidRPr="00862BBA">
              <w:rPr>
                <w:rFonts w:ascii="Times New Roman" w:hAnsi="Times New Roman" w:cs="Times New Roman"/>
              </w:rPr>
              <w:t xml:space="preserve">Atsižvelgiant į tai, papildomas vairuotojų nakvynės, parkavimo, saugojimo ar kitų išlaidų kompensavimas nėra numatomas. </w:t>
            </w:r>
          </w:p>
          <w:p w14:paraId="79932ACB" w14:textId="77777777" w:rsidR="00C4531E" w:rsidRDefault="00C4531E" w:rsidP="00C4531E">
            <w:pPr>
              <w:rPr>
                <w:rFonts w:ascii="Times New Roman" w:hAnsi="Times New Roman" w:cs="Times New Roman"/>
              </w:rPr>
            </w:pPr>
          </w:p>
          <w:p w14:paraId="2DD4D8D0" w14:textId="650485F0" w:rsidR="00C4531E" w:rsidRPr="00862BBA" w:rsidRDefault="00C4531E" w:rsidP="00C4531E">
            <w:pPr>
              <w:rPr>
                <w:rFonts w:ascii="Times New Roman" w:hAnsi="Times New Roman" w:cs="Times New Roman"/>
              </w:rPr>
            </w:pPr>
            <w:r w:rsidRPr="00862BBA">
              <w:rPr>
                <w:rFonts w:ascii="Times New Roman" w:hAnsi="Times New Roman" w:cs="Times New Roman"/>
              </w:rPr>
              <w:t>Siekiant aiškesnio Techninės specifikacijos nuostatų taikymo bei vienodo jų interpretavimo perkančioji organizacija patikslina Techninę specifikaciją 2.14 punktu:</w:t>
            </w:r>
          </w:p>
          <w:p w14:paraId="598E7755" w14:textId="77777777" w:rsidR="00C4531E" w:rsidRPr="00862BBA" w:rsidRDefault="00C4531E" w:rsidP="00C4531E">
            <w:pPr>
              <w:rPr>
                <w:rFonts w:ascii="Times New Roman" w:hAnsi="Times New Roman" w:cs="Times New Roman"/>
                <w:i/>
                <w:iCs/>
              </w:rPr>
            </w:pPr>
            <w:r w:rsidRPr="00862BBA">
              <w:rPr>
                <w:rFonts w:ascii="Times New Roman" w:hAnsi="Times New Roman" w:cs="Times New Roman"/>
                <w:i/>
                <w:iCs/>
              </w:rPr>
              <w:t>2.14 Daugiadienių kelionių atveju Paslaugų teikėjui grįžus į bazę (garažą) po keleivių nuvežimo ir vėliau pakartotinai atvykus keleivių parvežimui, papildomas kilometražas apmokamas pagal tiekėjo pasiūlyme nurodytus kilometro įkainius.</w:t>
            </w:r>
          </w:p>
          <w:p w14:paraId="7ACB279C" w14:textId="4984D491" w:rsidR="00862BBA" w:rsidRPr="00B24A65" w:rsidRDefault="00C4531E" w:rsidP="00C4531E">
            <w:pPr>
              <w:rPr>
                <w:rFonts w:ascii="Times New Roman" w:hAnsi="Times New Roman" w:cs="Times New Roman"/>
              </w:rPr>
            </w:pPr>
            <w:r w:rsidRPr="00862BBA">
              <w:rPr>
                <w:rFonts w:ascii="Times New Roman" w:hAnsi="Times New Roman" w:cs="Times New Roman"/>
              </w:rPr>
              <w:t>Kitos Techninės specifikacijos nuostatos lieka nekeičiamos.</w:t>
            </w:r>
          </w:p>
        </w:tc>
      </w:tr>
      <w:tr w:rsidR="00862BBA" w:rsidRPr="00B24A65" w14:paraId="4F64AB17" w14:textId="77777777" w:rsidTr="00C4531E">
        <w:tc>
          <w:tcPr>
            <w:tcW w:w="570" w:type="dxa"/>
          </w:tcPr>
          <w:p w14:paraId="2F34601F" w14:textId="02C5020B" w:rsidR="00862BBA" w:rsidRPr="00B24A65" w:rsidRDefault="00862BBA" w:rsidP="00862BBA">
            <w:pPr>
              <w:jc w:val="center"/>
              <w:rPr>
                <w:rFonts w:ascii="Times New Roman" w:hAnsi="Times New Roman" w:cs="Times New Roman"/>
              </w:rPr>
            </w:pPr>
            <w:r>
              <w:rPr>
                <w:rFonts w:ascii="Times New Roman" w:hAnsi="Times New Roman" w:cs="Times New Roman"/>
              </w:rPr>
              <w:lastRenderedPageBreak/>
              <w:t>5.</w:t>
            </w:r>
          </w:p>
        </w:tc>
        <w:tc>
          <w:tcPr>
            <w:tcW w:w="1524" w:type="dxa"/>
            <w:vMerge/>
          </w:tcPr>
          <w:p w14:paraId="075848ED" w14:textId="77777777" w:rsidR="00862BBA" w:rsidRPr="00B24A65" w:rsidRDefault="00862BBA" w:rsidP="00862BBA">
            <w:pPr>
              <w:rPr>
                <w:rFonts w:ascii="Times New Roman" w:hAnsi="Times New Roman" w:cs="Times New Roman"/>
              </w:rPr>
            </w:pPr>
          </w:p>
        </w:tc>
        <w:tc>
          <w:tcPr>
            <w:tcW w:w="3571" w:type="dxa"/>
          </w:tcPr>
          <w:p w14:paraId="60F26065" w14:textId="30F596DE" w:rsidR="00862BBA" w:rsidRPr="00B24A65" w:rsidRDefault="00C4531E" w:rsidP="00862BBA">
            <w:pPr>
              <w:rPr>
                <w:rFonts w:ascii="Times New Roman" w:hAnsi="Times New Roman" w:cs="Times New Roman"/>
              </w:rPr>
            </w:pPr>
            <w:r w:rsidRPr="00C4531E">
              <w:rPr>
                <w:rFonts w:ascii="Times New Roman" w:hAnsi="Times New Roman" w:cs="Times New Roman"/>
              </w:rPr>
              <w:t xml:space="preserve">2. Dėl kvalifikacijos reikalavimų proporcingumo </w:t>
            </w:r>
            <w:r w:rsidRPr="00C4531E">
              <w:rPr>
                <w:rFonts w:ascii="Times New Roman" w:hAnsi="Times New Roman" w:cs="Times New Roman"/>
              </w:rPr>
              <w:br/>
            </w:r>
            <w:r w:rsidRPr="00C4531E">
              <w:rPr>
                <w:rFonts w:ascii="Times New Roman" w:hAnsi="Times New Roman" w:cs="Times New Roman"/>
              </w:rPr>
              <w:br/>
              <w:t xml:space="preserve">Techninėje specifikacijoje numatyti preliminarūs kiekiai: </w:t>
            </w:r>
            <w:r w:rsidRPr="00C4531E">
              <w:rPr>
                <w:rFonts w:ascii="Times New Roman" w:hAnsi="Times New Roman" w:cs="Times New Roman"/>
              </w:rPr>
              <w:br/>
            </w:r>
            <w:r w:rsidRPr="00C4531E">
              <w:rPr>
                <w:rFonts w:ascii="Times New Roman" w:hAnsi="Times New Roman" w:cs="Times New Roman"/>
              </w:rPr>
              <w:br/>
              <w:t xml:space="preserve">autobusai nuo 18 vietų – 50 000 km; </w:t>
            </w:r>
            <w:r w:rsidRPr="00C4531E">
              <w:rPr>
                <w:rFonts w:ascii="Times New Roman" w:hAnsi="Times New Roman" w:cs="Times New Roman"/>
              </w:rPr>
              <w:br/>
              <w:t xml:space="preserve">autobusai nuo 30 vietų – 20 000 km; </w:t>
            </w:r>
            <w:r w:rsidRPr="00C4531E">
              <w:rPr>
                <w:rFonts w:ascii="Times New Roman" w:hAnsi="Times New Roman" w:cs="Times New Roman"/>
              </w:rPr>
              <w:br/>
              <w:t xml:space="preserve">autobusai nuo 45 vietų – 1 000 km. </w:t>
            </w:r>
            <w:r w:rsidRPr="00C4531E">
              <w:rPr>
                <w:rFonts w:ascii="Times New Roman" w:hAnsi="Times New Roman" w:cs="Times New Roman"/>
              </w:rPr>
              <w:br/>
            </w:r>
            <w:r w:rsidRPr="00C4531E">
              <w:rPr>
                <w:rFonts w:ascii="Times New Roman" w:hAnsi="Times New Roman" w:cs="Times New Roman"/>
              </w:rPr>
              <w:br/>
              <w:t xml:space="preserve">Tuo pačiu kvalifikacijos reikalavimuose nustatyta pareiga turėti ne mažiau kaip: </w:t>
            </w:r>
            <w:r w:rsidRPr="00C4531E">
              <w:rPr>
                <w:rFonts w:ascii="Times New Roman" w:hAnsi="Times New Roman" w:cs="Times New Roman"/>
              </w:rPr>
              <w:br/>
            </w:r>
            <w:r w:rsidRPr="00C4531E">
              <w:rPr>
                <w:rFonts w:ascii="Times New Roman" w:hAnsi="Times New Roman" w:cs="Times New Roman"/>
              </w:rPr>
              <w:br/>
              <w:t xml:space="preserve">2 autobusus nuo 30 vietų; </w:t>
            </w:r>
            <w:r w:rsidRPr="00C4531E">
              <w:rPr>
                <w:rFonts w:ascii="Times New Roman" w:hAnsi="Times New Roman" w:cs="Times New Roman"/>
              </w:rPr>
              <w:br/>
              <w:t xml:space="preserve">2 autobusus nuo 45 vietų. </w:t>
            </w:r>
            <w:r w:rsidRPr="00C4531E">
              <w:rPr>
                <w:rFonts w:ascii="Times New Roman" w:hAnsi="Times New Roman" w:cs="Times New Roman"/>
              </w:rPr>
              <w:br/>
            </w:r>
            <w:r w:rsidRPr="00C4531E">
              <w:rPr>
                <w:rFonts w:ascii="Times New Roman" w:hAnsi="Times New Roman" w:cs="Times New Roman"/>
              </w:rPr>
              <w:br/>
              <w:t xml:space="preserve">Atsižvelgiant į tai, kad 45 vietų </w:t>
            </w:r>
            <w:r w:rsidRPr="00C4531E">
              <w:rPr>
                <w:rFonts w:ascii="Times New Roman" w:hAnsi="Times New Roman" w:cs="Times New Roman"/>
              </w:rPr>
              <w:lastRenderedPageBreak/>
              <w:t xml:space="preserve">autobusų poreikis sudaro tik labai nedidelę bendros pirkimo apimties dalį, prašome: </w:t>
            </w:r>
            <w:r w:rsidRPr="00C4531E">
              <w:rPr>
                <w:rFonts w:ascii="Times New Roman" w:hAnsi="Times New Roman" w:cs="Times New Roman"/>
              </w:rPr>
              <w:br/>
            </w:r>
            <w:r w:rsidRPr="00C4531E">
              <w:rPr>
                <w:rFonts w:ascii="Times New Roman" w:hAnsi="Times New Roman" w:cs="Times New Roman"/>
              </w:rPr>
              <w:br/>
              <w:t xml:space="preserve">pagrįsti reikalavimo turėti 2 autobusus nuo 45 vietų būtinumą; </w:t>
            </w:r>
            <w:r w:rsidRPr="00C4531E">
              <w:rPr>
                <w:rFonts w:ascii="Times New Roman" w:hAnsi="Times New Roman" w:cs="Times New Roman"/>
              </w:rPr>
              <w:br/>
              <w:t xml:space="preserve">pagrįsti reikalavimo turėti 2 autobusus nuo 30 vietų proporcingumą numatomam poreikiui; </w:t>
            </w:r>
            <w:r w:rsidRPr="00C4531E">
              <w:rPr>
                <w:rFonts w:ascii="Times New Roman" w:hAnsi="Times New Roman" w:cs="Times New Roman"/>
              </w:rPr>
              <w:br/>
              <w:t xml:space="preserve">paaiškinti, kaip šie reikalavimai atitinka Viešųjų pirkimų įstatyme įtvirtintą proporcingumo principą ir neriboja tiekėjų konkurencijos. </w:t>
            </w:r>
            <w:r w:rsidRPr="00C4531E">
              <w:rPr>
                <w:rFonts w:ascii="Times New Roman" w:hAnsi="Times New Roman" w:cs="Times New Roman"/>
              </w:rPr>
              <w:br/>
            </w:r>
            <w:r w:rsidRPr="00C4531E">
              <w:rPr>
                <w:rFonts w:ascii="Times New Roman" w:hAnsi="Times New Roman" w:cs="Times New Roman"/>
              </w:rPr>
              <w:br/>
              <w:t>Prašome pateikti išaiškinimą arba, esant pagrindui, patikslinti pirkimo dokumentus.</w:t>
            </w:r>
          </w:p>
        </w:tc>
        <w:tc>
          <w:tcPr>
            <w:tcW w:w="3969" w:type="dxa"/>
          </w:tcPr>
          <w:p w14:paraId="282DF210"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lastRenderedPageBreak/>
              <w:t>Techninėje specifikacijoje nustatytas reikalavimas Paslaugos teikėjui turėti ne mažiau kaip po 2 kiekvienos kategorijos autobusus buvo nustatytas siekiant užtikrinti nepertraukiamą, savalaikį ir kokybišką paslaugų teikimą viso Sutarties vykdymo laikotarpiu.</w:t>
            </w:r>
          </w:p>
          <w:p w14:paraId="05AC283B"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Perkančioji organizacija vykdo nuolatinę sportinę veiklą, organizuoja ugdytinių vykimą į varžybas, turnyrus, stovyklas, čempionatus, olimpiadas bei kitus renginius, todėl transporto paslaugos dažnai reikalingos konkrečiu laiku ir negali būti nukeliamos ar atidedamos.</w:t>
            </w:r>
          </w:p>
          <w:p w14:paraId="38901FCC"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Reikalavimas turėti ne mažiau kaip 2 autobusus kiekvienoje kategorijoje nustatytas įvertinus šias rizikas:</w:t>
            </w:r>
          </w:p>
          <w:p w14:paraId="0C20B013" w14:textId="77777777" w:rsidR="00C4531E" w:rsidRPr="00C4531E" w:rsidRDefault="00C4531E" w:rsidP="00C4531E">
            <w:pPr>
              <w:numPr>
                <w:ilvl w:val="0"/>
                <w:numId w:val="1"/>
              </w:numPr>
              <w:rPr>
                <w:rFonts w:ascii="Times New Roman" w:hAnsi="Times New Roman" w:cs="Times New Roman"/>
              </w:rPr>
            </w:pPr>
            <w:r w:rsidRPr="00C4531E">
              <w:rPr>
                <w:rFonts w:ascii="Times New Roman" w:hAnsi="Times New Roman" w:cs="Times New Roman"/>
              </w:rPr>
              <w:lastRenderedPageBreak/>
              <w:t>galimą kelių grupių ar didesnio skaičiaus ugdytinių vykimą tuo pačiu metu;</w:t>
            </w:r>
          </w:p>
          <w:p w14:paraId="5D0F9002" w14:textId="77777777" w:rsidR="00C4531E" w:rsidRPr="00C4531E" w:rsidRDefault="00C4531E" w:rsidP="00C4531E">
            <w:pPr>
              <w:numPr>
                <w:ilvl w:val="0"/>
                <w:numId w:val="1"/>
              </w:numPr>
              <w:rPr>
                <w:rFonts w:ascii="Times New Roman" w:hAnsi="Times New Roman" w:cs="Times New Roman"/>
              </w:rPr>
            </w:pPr>
            <w:r w:rsidRPr="00C4531E">
              <w:rPr>
                <w:rFonts w:ascii="Times New Roman" w:hAnsi="Times New Roman" w:cs="Times New Roman"/>
              </w:rPr>
              <w:t>galimus transporto priemonių techninius gedimus;</w:t>
            </w:r>
          </w:p>
          <w:p w14:paraId="39148507" w14:textId="77777777" w:rsidR="00C4531E" w:rsidRPr="00C4531E" w:rsidRDefault="00C4531E" w:rsidP="00C4531E">
            <w:pPr>
              <w:numPr>
                <w:ilvl w:val="0"/>
                <w:numId w:val="1"/>
              </w:numPr>
              <w:rPr>
                <w:rFonts w:ascii="Times New Roman" w:hAnsi="Times New Roman" w:cs="Times New Roman"/>
              </w:rPr>
            </w:pPr>
            <w:r w:rsidRPr="00C4531E">
              <w:rPr>
                <w:rFonts w:ascii="Times New Roman" w:hAnsi="Times New Roman" w:cs="Times New Roman"/>
              </w:rPr>
              <w:t>vengiant situacijų, kai viena turima transporto priemonė yra užimta vykdant kitus užsakymus;</w:t>
            </w:r>
          </w:p>
          <w:p w14:paraId="63403163" w14:textId="77777777" w:rsidR="00C4531E" w:rsidRPr="00C4531E" w:rsidRDefault="00C4531E" w:rsidP="00C4531E">
            <w:pPr>
              <w:numPr>
                <w:ilvl w:val="0"/>
                <w:numId w:val="1"/>
              </w:numPr>
              <w:rPr>
                <w:rFonts w:ascii="Times New Roman" w:hAnsi="Times New Roman" w:cs="Times New Roman"/>
              </w:rPr>
            </w:pPr>
            <w:r w:rsidRPr="00C4531E">
              <w:rPr>
                <w:rFonts w:ascii="Times New Roman" w:hAnsi="Times New Roman" w:cs="Times New Roman"/>
              </w:rPr>
              <w:t>poreikį operatyviai pakeisti transporto priemonę nenumatytų aplinkybių atveju;</w:t>
            </w:r>
          </w:p>
          <w:p w14:paraId="30B3869F" w14:textId="77777777" w:rsidR="00C4531E" w:rsidRPr="00C4531E" w:rsidRDefault="00C4531E" w:rsidP="00C4531E">
            <w:pPr>
              <w:numPr>
                <w:ilvl w:val="0"/>
                <w:numId w:val="1"/>
              </w:numPr>
              <w:rPr>
                <w:rFonts w:ascii="Times New Roman" w:hAnsi="Times New Roman" w:cs="Times New Roman"/>
              </w:rPr>
            </w:pPr>
            <w:r w:rsidRPr="00C4531E">
              <w:rPr>
                <w:rFonts w:ascii="Times New Roman" w:hAnsi="Times New Roman" w:cs="Times New Roman"/>
              </w:rPr>
              <w:t>būtinybę užtikrinti, kad ugdytiniai būtų laiku ir saugiai pristatyti į sporto renginius techniškai tvarkingomis transporto priemonėmis.</w:t>
            </w:r>
          </w:p>
          <w:p w14:paraId="72404B90"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Perkančioji organizacija pažymi, kad preliminarūs kiekiai, nurodyti Techninės specifikacijos 1.6 punkte, yra naudojami pasiūlymų vertinimui ir neatspindi maksimalaus vienalaikio poreikio. Net ir santykinai mažesnė tam tikros kategorijos autobusų (30 ir 45 vietų) poreikio apimtis nepaneigia būtinybės užtikrinti paslaugos tęstinumą ir rezervinę galimybę.</w:t>
            </w:r>
          </w:p>
          <w:p w14:paraId="279FD04B"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Reikalavimas turėti ne mažiau kaip 2 autobusus nuo 30 vietų ir 2 autobusus nuo 45 vietų nelaikytinas neproporcingu, kadangi:</w:t>
            </w:r>
          </w:p>
          <w:p w14:paraId="3906A630" w14:textId="77777777" w:rsidR="00C4531E" w:rsidRPr="00C4531E" w:rsidRDefault="00C4531E" w:rsidP="00C4531E">
            <w:pPr>
              <w:numPr>
                <w:ilvl w:val="0"/>
                <w:numId w:val="2"/>
              </w:numPr>
              <w:rPr>
                <w:rFonts w:ascii="Times New Roman" w:hAnsi="Times New Roman" w:cs="Times New Roman"/>
              </w:rPr>
            </w:pPr>
            <w:r w:rsidRPr="00C4531E">
              <w:rPr>
                <w:rFonts w:ascii="Times New Roman" w:hAnsi="Times New Roman" w:cs="Times New Roman"/>
              </w:rPr>
              <w:t>nėra reikalaujama autobusų nuosavybės teisės;</w:t>
            </w:r>
          </w:p>
          <w:p w14:paraId="4F224A37" w14:textId="77777777" w:rsidR="00C4531E" w:rsidRPr="00C4531E" w:rsidRDefault="00C4531E" w:rsidP="00C4531E">
            <w:pPr>
              <w:numPr>
                <w:ilvl w:val="0"/>
                <w:numId w:val="2"/>
              </w:numPr>
              <w:rPr>
                <w:rFonts w:ascii="Times New Roman" w:hAnsi="Times New Roman" w:cs="Times New Roman"/>
              </w:rPr>
            </w:pPr>
            <w:r w:rsidRPr="00C4531E">
              <w:rPr>
                <w:rFonts w:ascii="Times New Roman" w:hAnsi="Times New Roman" w:cs="Times New Roman"/>
              </w:rPr>
              <w:t>reikalavimas taikomas vienodai visiems tiekėjams;</w:t>
            </w:r>
          </w:p>
          <w:p w14:paraId="71860475" w14:textId="77777777" w:rsidR="00C4531E" w:rsidRPr="00C4531E" w:rsidRDefault="00C4531E" w:rsidP="00C4531E">
            <w:pPr>
              <w:numPr>
                <w:ilvl w:val="0"/>
                <w:numId w:val="2"/>
              </w:numPr>
              <w:rPr>
                <w:rFonts w:ascii="Times New Roman" w:hAnsi="Times New Roman" w:cs="Times New Roman"/>
              </w:rPr>
            </w:pPr>
            <w:r w:rsidRPr="00C4531E">
              <w:rPr>
                <w:rFonts w:ascii="Times New Roman" w:hAnsi="Times New Roman" w:cs="Times New Roman"/>
              </w:rPr>
              <w:t>reikalavimas tiesiogiai susijęs su pirkimo objektu ir būtinybe užtikrinti nepertraukiamą paslaugų teikimą.</w:t>
            </w:r>
          </w:p>
          <w:p w14:paraId="3D65EC99"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Perkančioji organizacija, nustatydama kvalifikacijos reikalavimus, vadovavosi Lietuvos Respublikos viešųjų pirkimų įstatyme įtvirtintais proporcingumo, lygiateisiškumo ir racionalaus lėšų panaudojimo principais bei siekiu tinkamai valdyti paslaugų teikimo rizikas.</w:t>
            </w:r>
          </w:p>
          <w:p w14:paraId="0A32793C"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 xml:space="preserve">Atsižvelgiant į tai, Perkančioji organizacija mano, kad Techninės specifikacijos 2.2 punkte nustatyti </w:t>
            </w:r>
            <w:r w:rsidRPr="00C4531E">
              <w:rPr>
                <w:rFonts w:ascii="Times New Roman" w:hAnsi="Times New Roman" w:cs="Times New Roman"/>
              </w:rPr>
              <w:lastRenderedPageBreak/>
              <w:t>reikalavimai yra objektyviai pagrįsti, proporcingi pirkimo objektui ir būtini tinkamam Sutarties vykdymui užtikrinti, todėl pirkimo dokumentų šioje dalyje keisti neketina.</w:t>
            </w:r>
          </w:p>
          <w:p w14:paraId="4D61A97E" w14:textId="77777777" w:rsidR="00C4531E" w:rsidRPr="00C4531E" w:rsidRDefault="00C4531E" w:rsidP="00C4531E">
            <w:pPr>
              <w:rPr>
                <w:rFonts w:ascii="Times New Roman" w:hAnsi="Times New Roman" w:cs="Times New Roman"/>
              </w:rPr>
            </w:pPr>
          </w:p>
          <w:p w14:paraId="36B0378B" w14:textId="77777777" w:rsidR="00C4531E" w:rsidRPr="00C4531E" w:rsidRDefault="00C4531E" w:rsidP="00C4531E">
            <w:pPr>
              <w:rPr>
                <w:rFonts w:ascii="Times New Roman" w:hAnsi="Times New Roman" w:cs="Times New Roman"/>
              </w:rPr>
            </w:pPr>
          </w:p>
          <w:p w14:paraId="214F9123" w14:textId="77777777" w:rsidR="00C4531E" w:rsidRPr="00C4531E" w:rsidRDefault="00C4531E" w:rsidP="00C4531E">
            <w:pPr>
              <w:rPr>
                <w:rFonts w:ascii="Times New Roman" w:hAnsi="Times New Roman" w:cs="Times New Roman"/>
              </w:rPr>
            </w:pPr>
            <w:r w:rsidRPr="00C4531E">
              <w:rPr>
                <w:rFonts w:ascii="Times New Roman" w:hAnsi="Times New Roman" w:cs="Times New Roman"/>
              </w:rPr>
              <w:t>Vienintelis papildymas ar keitimas būtų tik pridedant papildomą punktą dėl grįžimo į bazę apmokėjimo, bet galima jį ir netraukti papildomai, nes pateiktas išaiškinime į pirmą klausimą. Tad palieku pačiai spręsti ką daryti.</w:t>
            </w:r>
          </w:p>
          <w:p w14:paraId="4D68FAA7" w14:textId="36FC8B7A" w:rsidR="00862BBA" w:rsidRPr="00B24A65" w:rsidRDefault="00862BBA" w:rsidP="00862BBA">
            <w:pPr>
              <w:rPr>
                <w:rFonts w:ascii="Times New Roman" w:hAnsi="Times New Roman" w:cs="Times New Roman"/>
              </w:rPr>
            </w:pPr>
          </w:p>
        </w:tc>
      </w:tr>
    </w:tbl>
    <w:p w14:paraId="2EC24F7C" w14:textId="759C0D26" w:rsidR="00712449" w:rsidRPr="00B24A65" w:rsidRDefault="00712449" w:rsidP="00B24A65">
      <w:pPr>
        <w:jc w:val="center"/>
        <w:rPr>
          <w:rFonts w:ascii="Times New Roman" w:hAnsi="Times New Roman" w:cs="Times New Roman"/>
        </w:rPr>
      </w:pPr>
    </w:p>
    <w:sectPr w:rsidR="00712449" w:rsidRPr="00B24A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662D"/>
    <w:multiLevelType w:val="multilevel"/>
    <w:tmpl w:val="545CA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46CB7"/>
    <w:multiLevelType w:val="multilevel"/>
    <w:tmpl w:val="CD0E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0580591">
    <w:abstractNumId w:val="0"/>
  </w:num>
  <w:num w:numId="2" w16cid:durableId="81718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07"/>
    <w:rsid w:val="00042732"/>
    <w:rsid w:val="00070AD6"/>
    <w:rsid w:val="00157B88"/>
    <w:rsid w:val="001D616D"/>
    <w:rsid w:val="003C7C52"/>
    <w:rsid w:val="005C0218"/>
    <w:rsid w:val="005C5BBD"/>
    <w:rsid w:val="006145BB"/>
    <w:rsid w:val="00712449"/>
    <w:rsid w:val="00862BBA"/>
    <w:rsid w:val="00877C2B"/>
    <w:rsid w:val="008A34BA"/>
    <w:rsid w:val="008F1C4E"/>
    <w:rsid w:val="0099265B"/>
    <w:rsid w:val="00A6431F"/>
    <w:rsid w:val="00AC6711"/>
    <w:rsid w:val="00B14307"/>
    <w:rsid w:val="00B24331"/>
    <w:rsid w:val="00B24A65"/>
    <w:rsid w:val="00C4531E"/>
    <w:rsid w:val="00F33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199B"/>
  <w15:chartTrackingRefBased/>
  <w15:docId w15:val="{C23B0FFA-A854-4811-B606-60D19A83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43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43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43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43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3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3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3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3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43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43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43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43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43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3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3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3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3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3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3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3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307"/>
    <w:rPr>
      <w:i/>
      <w:iCs/>
      <w:color w:val="404040" w:themeColor="text1" w:themeTint="BF"/>
    </w:rPr>
  </w:style>
  <w:style w:type="paragraph" w:styleId="Sraopastraipa">
    <w:name w:val="List Paragraph"/>
    <w:basedOn w:val="prastasis"/>
    <w:uiPriority w:val="34"/>
    <w:qFormat/>
    <w:rsid w:val="00B14307"/>
    <w:pPr>
      <w:ind w:left="720"/>
      <w:contextualSpacing/>
    </w:pPr>
  </w:style>
  <w:style w:type="character" w:styleId="Rykuspabraukimas">
    <w:name w:val="Intense Emphasis"/>
    <w:basedOn w:val="Numatytasispastraiposriftas"/>
    <w:uiPriority w:val="21"/>
    <w:qFormat/>
    <w:rsid w:val="00B14307"/>
    <w:rPr>
      <w:i/>
      <w:iCs/>
      <w:color w:val="0F4761" w:themeColor="accent1" w:themeShade="BF"/>
    </w:rPr>
  </w:style>
  <w:style w:type="paragraph" w:styleId="Iskirtacitata">
    <w:name w:val="Intense Quote"/>
    <w:basedOn w:val="prastasis"/>
    <w:next w:val="prastasis"/>
    <w:link w:val="IskirtacitataDiagrama"/>
    <w:uiPriority w:val="30"/>
    <w:qFormat/>
    <w:rsid w:val="00B1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4307"/>
    <w:rPr>
      <w:i/>
      <w:iCs/>
      <w:color w:val="0F4761" w:themeColor="accent1" w:themeShade="BF"/>
    </w:rPr>
  </w:style>
  <w:style w:type="character" w:styleId="Rykinuoroda">
    <w:name w:val="Intense Reference"/>
    <w:basedOn w:val="Numatytasispastraiposriftas"/>
    <w:uiPriority w:val="32"/>
    <w:qFormat/>
    <w:rsid w:val="00B14307"/>
    <w:rPr>
      <w:b/>
      <w:bCs/>
      <w:smallCaps/>
      <w:color w:val="0F4761" w:themeColor="accent1" w:themeShade="BF"/>
      <w:spacing w:val="5"/>
    </w:rPr>
  </w:style>
  <w:style w:type="table" w:styleId="Lentelstinklelis">
    <w:name w:val="Table Grid"/>
    <w:basedOn w:val="prastojilentel"/>
    <w:uiPriority w:val="39"/>
    <w:rsid w:val="00B2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486">
      <w:bodyDiv w:val="1"/>
      <w:marLeft w:val="0"/>
      <w:marRight w:val="0"/>
      <w:marTop w:val="0"/>
      <w:marBottom w:val="0"/>
      <w:divBdr>
        <w:top w:val="none" w:sz="0" w:space="0" w:color="auto"/>
        <w:left w:val="none" w:sz="0" w:space="0" w:color="auto"/>
        <w:bottom w:val="none" w:sz="0" w:space="0" w:color="auto"/>
        <w:right w:val="none" w:sz="0" w:space="0" w:color="auto"/>
      </w:divBdr>
    </w:div>
    <w:div w:id="214317975">
      <w:bodyDiv w:val="1"/>
      <w:marLeft w:val="0"/>
      <w:marRight w:val="0"/>
      <w:marTop w:val="0"/>
      <w:marBottom w:val="0"/>
      <w:divBdr>
        <w:top w:val="none" w:sz="0" w:space="0" w:color="auto"/>
        <w:left w:val="none" w:sz="0" w:space="0" w:color="auto"/>
        <w:bottom w:val="none" w:sz="0" w:space="0" w:color="auto"/>
        <w:right w:val="none" w:sz="0" w:space="0" w:color="auto"/>
      </w:divBdr>
    </w:div>
    <w:div w:id="239828893">
      <w:bodyDiv w:val="1"/>
      <w:marLeft w:val="0"/>
      <w:marRight w:val="0"/>
      <w:marTop w:val="0"/>
      <w:marBottom w:val="0"/>
      <w:divBdr>
        <w:top w:val="none" w:sz="0" w:space="0" w:color="auto"/>
        <w:left w:val="none" w:sz="0" w:space="0" w:color="auto"/>
        <w:bottom w:val="none" w:sz="0" w:space="0" w:color="auto"/>
        <w:right w:val="none" w:sz="0" w:space="0" w:color="auto"/>
      </w:divBdr>
    </w:div>
    <w:div w:id="730347191">
      <w:bodyDiv w:val="1"/>
      <w:marLeft w:val="0"/>
      <w:marRight w:val="0"/>
      <w:marTop w:val="0"/>
      <w:marBottom w:val="0"/>
      <w:divBdr>
        <w:top w:val="none" w:sz="0" w:space="0" w:color="auto"/>
        <w:left w:val="none" w:sz="0" w:space="0" w:color="auto"/>
        <w:bottom w:val="none" w:sz="0" w:space="0" w:color="auto"/>
        <w:right w:val="none" w:sz="0" w:space="0" w:color="auto"/>
      </w:divBdr>
    </w:div>
    <w:div w:id="809589870">
      <w:bodyDiv w:val="1"/>
      <w:marLeft w:val="0"/>
      <w:marRight w:val="0"/>
      <w:marTop w:val="0"/>
      <w:marBottom w:val="0"/>
      <w:divBdr>
        <w:top w:val="none" w:sz="0" w:space="0" w:color="auto"/>
        <w:left w:val="none" w:sz="0" w:space="0" w:color="auto"/>
        <w:bottom w:val="none" w:sz="0" w:space="0" w:color="auto"/>
        <w:right w:val="none" w:sz="0" w:space="0" w:color="auto"/>
      </w:divBdr>
    </w:div>
    <w:div w:id="875000181">
      <w:bodyDiv w:val="1"/>
      <w:marLeft w:val="0"/>
      <w:marRight w:val="0"/>
      <w:marTop w:val="0"/>
      <w:marBottom w:val="0"/>
      <w:divBdr>
        <w:top w:val="none" w:sz="0" w:space="0" w:color="auto"/>
        <w:left w:val="none" w:sz="0" w:space="0" w:color="auto"/>
        <w:bottom w:val="none" w:sz="0" w:space="0" w:color="auto"/>
        <w:right w:val="none" w:sz="0" w:space="0" w:color="auto"/>
      </w:divBdr>
    </w:div>
    <w:div w:id="966351349">
      <w:bodyDiv w:val="1"/>
      <w:marLeft w:val="0"/>
      <w:marRight w:val="0"/>
      <w:marTop w:val="0"/>
      <w:marBottom w:val="0"/>
      <w:divBdr>
        <w:top w:val="none" w:sz="0" w:space="0" w:color="auto"/>
        <w:left w:val="none" w:sz="0" w:space="0" w:color="auto"/>
        <w:bottom w:val="none" w:sz="0" w:space="0" w:color="auto"/>
        <w:right w:val="none" w:sz="0" w:space="0" w:color="auto"/>
      </w:divBdr>
    </w:div>
    <w:div w:id="1115754225">
      <w:bodyDiv w:val="1"/>
      <w:marLeft w:val="0"/>
      <w:marRight w:val="0"/>
      <w:marTop w:val="0"/>
      <w:marBottom w:val="0"/>
      <w:divBdr>
        <w:top w:val="none" w:sz="0" w:space="0" w:color="auto"/>
        <w:left w:val="none" w:sz="0" w:space="0" w:color="auto"/>
        <w:bottom w:val="none" w:sz="0" w:space="0" w:color="auto"/>
        <w:right w:val="none" w:sz="0" w:space="0" w:color="auto"/>
      </w:divBdr>
    </w:div>
    <w:div w:id="1310986210">
      <w:bodyDiv w:val="1"/>
      <w:marLeft w:val="0"/>
      <w:marRight w:val="0"/>
      <w:marTop w:val="0"/>
      <w:marBottom w:val="0"/>
      <w:divBdr>
        <w:top w:val="none" w:sz="0" w:space="0" w:color="auto"/>
        <w:left w:val="none" w:sz="0" w:space="0" w:color="auto"/>
        <w:bottom w:val="none" w:sz="0" w:space="0" w:color="auto"/>
        <w:right w:val="none" w:sz="0" w:space="0" w:color="auto"/>
      </w:divBdr>
    </w:div>
    <w:div w:id="1378358910">
      <w:bodyDiv w:val="1"/>
      <w:marLeft w:val="0"/>
      <w:marRight w:val="0"/>
      <w:marTop w:val="0"/>
      <w:marBottom w:val="0"/>
      <w:divBdr>
        <w:top w:val="none" w:sz="0" w:space="0" w:color="auto"/>
        <w:left w:val="none" w:sz="0" w:space="0" w:color="auto"/>
        <w:bottom w:val="none" w:sz="0" w:space="0" w:color="auto"/>
        <w:right w:val="none" w:sz="0" w:space="0" w:color="auto"/>
      </w:divBdr>
    </w:div>
    <w:div w:id="1400444835">
      <w:bodyDiv w:val="1"/>
      <w:marLeft w:val="0"/>
      <w:marRight w:val="0"/>
      <w:marTop w:val="0"/>
      <w:marBottom w:val="0"/>
      <w:divBdr>
        <w:top w:val="none" w:sz="0" w:space="0" w:color="auto"/>
        <w:left w:val="none" w:sz="0" w:space="0" w:color="auto"/>
        <w:bottom w:val="none" w:sz="0" w:space="0" w:color="auto"/>
        <w:right w:val="none" w:sz="0" w:space="0" w:color="auto"/>
      </w:divBdr>
    </w:div>
    <w:div w:id="1476950526">
      <w:bodyDiv w:val="1"/>
      <w:marLeft w:val="0"/>
      <w:marRight w:val="0"/>
      <w:marTop w:val="0"/>
      <w:marBottom w:val="0"/>
      <w:divBdr>
        <w:top w:val="none" w:sz="0" w:space="0" w:color="auto"/>
        <w:left w:val="none" w:sz="0" w:space="0" w:color="auto"/>
        <w:bottom w:val="none" w:sz="0" w:space="0" w:color="auto"/>
        <w:right w:val="none" w:sz="0" w:space="0" w:color="auto"/>
      </w:divBdr>
    </w:div>
    <w:div w:id="1487820518">
      <w:bodyDiv w:val="1"/>
      <w:marLeft w:val="0"/>
      <w:marRight w:val="0"/>
      <w:marTop w:val="0"/>
      <w:marBottom w:val="0"/>
      <w:divBdr>
        <w:top w:val="none" w:sz="0" w:space="0" w:color="auto"/>
        <w:left w:val="none" w:sz="0" w:space="0" w:color="auto"/>
        <w:bottom w:val="none" w:sz="0" w:space="0" w:color="auto"/>
        <w:right w:val="none" w:sz="0" w:space="0" w:color="auto"/>
      </w:divBdr>
    </w:div>
    <w:div w:id="1636793658">
      <w:bodyDiv w:val="1"/>
      <w:marLeft w:val="0"/>
      <w:marRight w:val="0"/>
      <w:marTop w:val="0"/>
      <w:marBottom w:val="0"/>
      <w:divBdr>
        <w:top w:val="none" w:sz="0" w:space="0" w:color="auto"/>
        <w:left w:val="none" w:sz="0" w:space="0" w:color="auto"/>
        <w:bottom w:val="none" w:sz="0" w:space="0" w:color="auto"/>
        <w:right w:val="none" w:sz="0" w:space="0" w:color="auto"/>
      </w:divBdr>
    </w:div>
    <w:div w:id="1804688297">
      <w:bodyDiv w:val="1"/>
      <w:marLeft w:val="0"/>
      <w:marRight w:val="0"/>
      <w:marTop w:val="0"/>
      <w:marBottom w:val="0"/>
      <w:divBdr>
        <w:top w:val="none" w:sz="0" w:space="0" w:color="auto"/>
        <w:left w:val="none" w:sz="0" w:space="0" w:color="auto"/>
        <w:bottom w:val="none" w:sz="0" w:space="0" w:color="auto"/>
        <w:right w:val="none" w:sz="0" w:space="0" w:color="auto"/>
      </w:divBdr>
    </w:div>
    <w:div w:id="1896768996">
      <w:bodyDiv w:val="1"/>
      <w:marLeft w:val="0"/>
      <w:marRight w:val="0"/>
      <w:marTop w:val="0"/>
      <w:marBottom w:val="0"/>
      <w:divBdr>
        <w:top w:val="none" w:sz="0" w:space="0" w:color="auto"/>
        <w:left w:val="none" w:sz="0" w:space="0" w:color="auto"/>
        <w:bottom w:val="none" w:sz="0" w:space="0" w:color="auto"/>
        <w:right w:val="none" w:sz="0" w:space="0" w:color="auto"/>
      </w:divBdr>
    </w:div>
    <w:div w:id="1968584943">
      <w:bodyDiv w:val="1"/>
      <w:marLeft w:val="0"/>
      <w:marRight w:val="0"/>
      <w:marTop w:val="0"/>
      <w:marBottom w:val="0"/>
      <w:divBdr>
        <w:top w:val="none" w:sz="0" w:space="0" w:color="auto"/>
        <w:left w:val="none" w:sz="0" w:space="0" w:color="auto"/>
        <w:bottom w:val="none" w:sz="0" w:space="0" w:color="auto"/>
        <w:right w:val="none" w:sz="0" w:space="0" w:color="auto"/>
      </w:divBdr>
    </w:div>
    <w:div w:id="1986816146">
      <w:bodyDiv w:val="1"/>
      <w:marLeft w:val="0"/>
      <w:marRight w:val="0"/>
      <w:marTop w:val="0"/>
      <w:marBottom w:val="0"/>
      <w:divBdr>
        <w:top w:val="none" w:sz="0" w:space="0" w:color="auto"/>
        <w:left w:val="none" w:sz="0" w:space="0" w:color="auto"/>
        <w:bottom w:val="none" w:sz="0" w:space="0" w:color="auto"/>
        <w:right w:val="none" w:sz="0" w:space="0" w:color="auto"/>
      </w:divBdr>
    </w:div>
    <w:div w:id="2019119603">
      <w:bodyDiv w:val="1"/>
      <w:marLeft w:val="0"/>
      <w:marRight w:val="0"/>
      <w:marTop w:val="0"/>
      <w:marBottom w:val="0"/>
      <w:divBdr>
        <w:top w:val="none" w:sz="0" w:space="0" w:color="auto"/>
        <w:left w:val="none" w:sz="0" w:space="0" w:color="auto"/>
        <w:bottom w:val="none" w:sz="0" w:space="0" w:color="auto"/>
        <w:right w:val="none" w:sz="0" w:space="0" w:color="auto"/>
      </w:divBdr>
    </w:div>
    <w:div w:id="2023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E8C5-7732-4736-8334-570C01BF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4179</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cp:lastModifiedBy>
  <cp:revision>8</cp:revision>
  <dcterms:created xsi:type="dcterms:W3CDTF">2025-06-02T11:07:00Z</dcterms:created>
  <dcterms:modified xsi:type="dcterms:W3CDTF">2026-06-16T04:36:00Z</dcterms:modified>
</cp:coreProperties>
</file>