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2365" w14:textId="4F0B45C1" w:rsidR="007A5C96" w:rsidRPr="007A5C96" w:rsidRDefault="007A5C96" w:rsidP="00E63299">
      <w:pPr>
        <w:ind w:left="-567"/>
        <w:jc w:val="center"/>
        <w:rPr>
          <w:rFonts w:ascii="Times New Roman" w:eastAsia="Calibri" w:hAnsi="Times New Roman" w:cs="Times New Roman"/>
          <w:b/>
          <w:bCs/>
          <w:color w:val="ED0000"/>
          <w:sz w:val="28"/>
          <w:szCs w:val="28"/>
        </w:rPr>
      </w:pPr>
      <w:r w:rsidRPr="007A5C96">
        <w:rPr>
          <w:rFonts w:ascii="Times New Roman" w:eastAsia="Calibri" w:hAnsi="Times New Roman" w:cs="Times New Roman"/>
          <w:b/>
          <w:bCs/>
          <w:color w:val="ED0000"/>
          <w:sz w:val="28"/>
          <w:szCs w:val="28"/>
        </w:rPr>
        <w:t>PROJEKTAS</w:t>
      </w:r>
    </w:p>
    <w:p w14:paraId="09FEB4E5" w14:textId="29CDCA0D" w:rsidR="00E63299" w:rsidRPr="00E63299" w:rsidRDefault="09DB8E9B" w:rsidP="00E63299">
      <w:pPr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A16D75B">
        <w:rPr>
          <w:rFonts w:ascii="Times New Roman" w:eastAsia="Calibri" w:hAnsi="Times New Roman" w:cs="Times New Roman"/>
          <w:b/>
          <w:bCs/>
          <w:sz w:val="24"/>
          <w:szCs w:val="24"/>
        </w:rPr>
        <w:t>VISŲ PROFESINIŲ KVALIFIKACIJŲ GYDYTOJŲ PAPILDOMO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B468363" w:rsidRPr="0A16D75B">
        <w:rPr>
          <w:rFonts w:ascii="Times New Roman" w:eastAsia="Calibri" w:hAnsi="Times New Roman" w:cs="Times New Roman"/>
          <w:b/>
          <w:bCs/>
          <w:sz w:val="24"/>
          <w:szCs w:val="24"/>
        </w:rPr>
        <w:t>PROFESINĖS KVALIFIKACIJOS TOBULINIMO MOKYMŲ</w:t>
      </w:r>
      <w:r w:rsidRPr="0A16D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STAŽUOČIŲ</w:t>
      </w:r>
      <w:r w:rsidR="4B468363" w:rsidRPr="0A16D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PASLAUGŲ TECHNINĖ SPECIFIKACIJA</w:t>
      </w:r>
    </w:p>
    <w:p w14:paraId="26EB8BB3" w14:textId="77777777" w:rsidR="00E63299" w:rsidRPr="00E63299" w:rsidRDefault="00E63299" w:rsidP="00E63299">
      <w:pPr>
        <w:numPr>
          <w:ilvl w:val="0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>BENDROJI INFORMACIJA APIE PROJEKTĄ</w:t>
      </w:r>
    </w:p>
    <w:p w14:paraId="355B1038" w14:textId="77777777" w:rsidR="00E63299" w:rsidRPr="00E63299" w:rsidRDefault="00E63299" w:rsidP="00E6329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8A050C" w14:textId="77777777" w:rsidR="00E63299" w:rsidRPr="00E63299" w:rsidRDefault="00E63299" w:rsidP="00DA69A9">
      <w:pPr>
        <w:ind w:hanging="567"/>
        <w:contextualSpacing/>
        <w:jc w:val="both"/>
        <w:rPr>
          <w:rFonts w:ascii="Calibri" w:eastAsia="Calibri" w:hAnsi="Calibri" w:cs="Times New Roman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1.1.  Perkančioji organizacija – </w:t>
      </w:r>
      <w:r w:rsidRPr="00E63299">
        <w:rPr>
          <w:rFonts w:ascii="Times New Roman" w:eastAsia="Calibri" w:hAnsi="Times New Roman" w:cs="Times New Roman"/>
          <w:sz w:val="24"/>
          <w:szCs w:val="24"/>
        </w:rPr>
        <w:t>Valstybinė akreditavimo sveikatos priežiūros veiklai tarnyba prie Sveikatos apsaugos ministerijos  (toliau – VASPVT)</w:t>
      </w:r>
    </w:p>
    <w:p w14:paraId="26F04287" w14:textId="77777777" w:rsidR="00E63299" w:rsidRPr="00E63299" w:rsidRDefault="00E63299" w:rsidP="00E63299">
      <w:p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 Projekto pavadinimas – </w:t>
      </w:r>
      <w:r w:rsidRPr="00E63299">
        <w:rPr>
          <w:rFonts w:ascii="Times New Roman" w:eastAsia="Calibri" w:hAnsi="Times New Roman" w:cs="Times New Roman"/>
          <w:sz w:val="24"/>
          <w:szCs w:val="24"/>
        </w:rPr>
        <w:t>Užsienio sveikatos priežiūros specialistų (įskaitant ir iš Lietuvos išvykusius sveikatos priežiūros specialistus) ir neaktyvių sveikatos priežiūros specialistų pritraukimas.</w:t>
      </w:r>
    </w:p>
    <w:p w14:paraId="6A34EC1D" w14:textId="77777777" w:rsidR="00E63299" w:rsidRPr="00E63299" w:rsidRDefault="00E63299" w:rsidP="00E63299">
      <w:p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 Projekto tikslas – </w:t>
      </w:r>
      <w:r w:rsidRPr="00E63299">
        <w:rPr>
          <w:rFonts w:ascii="Times New Roman" w:eastAsia="Calibri" w:hAnsi="Times New Roman" w:cs="Times New Roman"/>
          <w:sz w:val="24"/>
          <w:szCs w:val="24"/>
        </w:rPr>
        <w:t>sumažinti asmens sveikatos priežiūros (toliau – ASP)</w:t>
      </w: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3299">
        <w:rPr>
          <w:rFonts w:ascii="Times New Roman" w:eastAsia="Calibri" w:hAnsi="Times New Roman" w:cs="Times New Roman"/>
          <w:sz w:val="24"/>
          <w:szCs w:val="24"/>
        </w:rPr>
        <w:t>specialistų trūkumą Lietuvoje, pagerinti sveikatos priežiūros paslaugų kokybę ir prieinamumą pacientams.</w:t>
      </w: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0B530D49" w14:textId="475DEA39" w:rsidR="00E63299" w:rsidRPr="00E63299" w:rsidRDefault="00E63299" w:rsidP="00E63299">
      <w:pPr>
        <w:ind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1.4. Projekto tikslinė grupė – </w:t>
      </w:r>
      <w:r w:rsidRPr="00E63299">
        <w:rPr>
          <w:rFonts w:ascii="Times New Roman" w:eastAsia="Times New Roman" w:hAnsi="Times New Roman" w:cs="Times New Roman"/>
          <w:sz w:val="24"/>
          <w:szCs w:val="24"/>
        </w:rPr>
        <w:t>ASP specialistai ir kiti sveikatos priežiūros srityje dirbantys specialistai</w:t>
      </w:r>
    </w:p>
    <w:p w14:paraId="0C31652A" w14:textId="77777777" w:rsidR="00E63299" w:rsidRPr="00E63299" w:rsidRDefault="00E63299" w:rsidP="00E63299">
      <w:pPr>
        <w:numPr>
          <w:ilvl w:val="0"/>
          <w:numId w:val="3"/>
        </w:numPr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Times New Roman" w:hAnsi="Times New Roman" w:cs="Times New Roman"/>
          <w:sz w:val="24"/>
          <w:szCs w:val="24"/>
        </w:rPr>
        <w:t>užsienio sveikatos priežiūros specialistai – asmenys, turintys profesinės ar aukštosios mokyklos diplomą arba licenciją, patvirtinančius įgytą sveikatos priežiūros specialisto profesinę kvalifikaciją užsienyje; </w:t>
      </w:r>
    </w:p>
    <w:p w14:paraId="5E02C636" w14:textId="77777777" w:rsidR="00E63299" w:rsidRPr="00E63299" w:rsidRDefault="00E63299" w:rsidP="00E63299">
      <w:pPr>
        <w:numPr>
          <w:ilvl w:val="0"/>
          <w:numId w:val="3"/>
        </w:numPr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Times New Roman" w:hAnsi="Times New Roman" w:cs="Times New Roman"/>
          <w:sz w:val="24"/>
          <w:szCs w:val="24"/>
        </w:rPr>
        <w:t>neaktyvūs sveikatos priežiūros specialistai – asmenys, turintys VASPVT išduotas specialistų licencijas arba spaudo numerį (licencija, spaudo numeris gali būti galiojantis arba negaliojantis). </w:t>
      </w:r>
    </w:p>
    <w:p w14:paraId="2B7AEA2C" w14:textId="77777777" w:rsidR="00E63299" w:rsidRPr="00E63299" w:rsidRDefault="00E63299" w:rsidP="00E63299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766AAF" w14:textId="77777777" w:rsidR="00E63299" w:rsidRPr="00E63299" w:rsidRDefault="00E63299" w:rsidP="00E63299">
      <w:pPr>
        <w:numPr>
          <w:ilvl w:val="0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>BENDROJI INFORMACIJA APIE PIRKIMO KONTEKSTĄ</w:t>
      </w:r>
    </w:p>
    <w:p w14:paraId="4AE7871A" w14:textId="77777777" w:rsidR="00E63299" w:rsidRPr="00E63299" w:rsidRDefault="00E63299" w:rsidP="00E6329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36CDE2" w14:textId="07880BE2" w:rsidR="00E63299" w:rsidRPr="00E63299" w:rsidRDefault="00E63299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Pirkimo objektas </w:t>
      </w:r>
      <w:r w:rsidRPr="00E63299">
        <w:rPr>
          <w:rFonts w:ascii="Times New Roman" w:eastAsia="Calibri" w:hAnsi="Times New Roman" w:cs="Times New Roman"/>
          <w:sz w:val="24"/>
          <w:szCs w:val="24"/>
        </w:rPr>
        <w:t>–</w:t>
      </w:r>
      <w:r w:rsidR="00881D11" w:rsidRPr="00881D11">
        <w:rPr>
          <w:rFonts w:ascii="Times New Roman" w:eastAsia="Calibri" w:hAnsi="Times New Roman" w:cs="Times New Roman"/>
          <w:sz w:val="24"/>
          <w:szCs w:val="24"/>
        </w:rPr>
        <w:t xml:space="preserve"> visų profesinių</w:t>
      </w:r>
      <w:r w:rsidR="00881D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1D11">
        <w:rPr>
          <w:rFonts w:ascii="Times New Roman" w:eastAsia="Calibri" w:hAnsi="Times New Roman" w:cs="Times New Roman"/>
          <w:sz w:val="24"/>
          <w:szCs w:val="24"/>
        </w:rPr>
        <w:t xml:space="preserve">kvalifikacijų </w:t>
      </w:r>
      <w:r w:rsidR="00BC6EF4">
        <w:rPr>
          <w:rFonts w:ascii="Times New Roman" w:eastAsia="Calibri" w:hAnsi="Times New Roman" w:cs="Times New Roman"/>
          <w:sz w:val="24"/>
          <w:szCs w:val="24"/>
        </w:rPr>
        <w:t xml:space="preserve">gydytojų </w:t>
      </w:r>
      <w:r w:rsidR="00881D11">
        <w:rPr>
          <w:rFonts w:ascii="Times New Roman" w:eastAsia="Calibri" w:hAnsi="Times New Roman" w:cs="Times New Roman"/>
          <w:sz w:val="24"/>
          <w:szCs w:val="24"/>
        </w:rPr>
        <w:t xml:space="preserve">papildomo </w:t>
      </w:r>
      <w:r w:rsidRPr="00E63299">
        <w:rPr>
          <w:rFonts w:ascii="Times New Roman" w:eastAsia="Calibri" w:hAnsi="Times New Roman" w:cs="Times New Roman"/>
          <w:sz w:val="24"/>
          <w:szCs w:val="24"/>
        </w:rPr>
        <w:t>profesinės kvalifikacijos tobulinimo</w:t>
      </w:r>
      <w:r w:rsidR="00881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299">
        <w:rPr>
          <w:rFonts w:ascii="Times New Roman" w:eastAsia="Calibri" w:hAnsi="Times New Roman" w:cs="Times New Roman"/>
          <w:sz w:val="24"/>
          <w:szCs w:val="24"/>
        </w:rPr>
        <w:t xml:space="preserve"> mokymai</w:t>
      </w:r>
      <w:r w:rsidR="00881D11">
        <w:rPr>
          <w:rFonts w:ascii="Times New Roman" w:eastAsia="Calibri" w:hAnsi="Times New Roman" w:cs="Times New Roman"/>
          <w:sz w:val="24"/>
          <w:szCs w:val="24"/>
        </w:rPr>
        <w:t xml:space="preserve"> – stažuotės (toliau – stažuotės)</w:t>
      </w:r>
      <w:r w:rsidRPr="00E632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851DFB" w14:textId="633C24CF" w:rsidR="00E63299" w:rsidRPr="00E63299" w:rsidRDefault="00E63299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Paslaugų tikslinė grupė – </w:t>
      </w:r>
      <w:r w:rsidR="00EB0A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30 </w:t>
      </w:r>
      <w:r w:rsidR="00881D11">
        <w:rPr>
          <w:rFonts w:ascii="Times New Roman" w:eastAsia="Calibri" w:hAnsi="Times New Roman" w:cs="Times New Roman"/>
          <w:sz w:val="24"/>
          <w:szCs w:val="24"/>
        </w:rPr>
        <w:t xml:space="preserve">visų </w:t>
      </w:r>
      <w:r w:rsidR="00881D11" w:rsidRPr="00881D11">
        <w:rPr>
          <w:rFonts w:ascii="Times New Roman" w:eastAsia="Calibri" w:hAnsi="Times New Roman" w:cs="Times New Roman"/>
          <w:sz w:val="24"/>
          <w:szCs w:val="24"/>
        </w:rPr>
        <w:t>profesinių</w:t>
      </w:r>
      <w:r w:rsidR="00881D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1D11">
        <w:rPr>
          <w:rFonts w:ascii="Times New Roman" w:eastAsia="Calibri" w:hAnsi="Times New Roman" w:cs="Times New Roman"/>
          <w:sz w:val="24"/>
          <w:szCs w:val="24"/>
        </w:rPr>
        <w:t>kvalifikacijų gydytoj</w:t>
      </w:r>
      <w:r w:rsidR="00EB0AFF">
        <w:rPr>
          <w:rFonts w:ascii="Times New Roman" w:eastAsia="Calibri" w:hAnsi="Times New Roman" w:cs="Times New Roman"/>
          <w:sz w:val="24"/>
          <w:szCs w:val="24"/>
        </w:rPr>
        <w:t xml:space="preserve">ų. </w:t>
      </w:r>
      <w:r w:rsidR="001F2ADF" w:rsidRPr="001F2ADF">
        <w:rPr>
          <w:rFonts w:ascii="Times New Roman" w:eastAsia="Calibri" w:hAnsi="Times New Roman" w:cs="Times New Roman"/>
          <w:sz w:val="24"/>
          <w:szCs w:val="24"/>
        </w:rPr>
        <w:t xml:space="preserve">Nurodytas gydytojų skaičius yra preliminarus. Tikslus gydytojų skaičius priklausys nuo </w:t>
      </w:r>
      <w:r w:rsidR="00E60BF5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1F2ADF" w:rsidRPr="001F2ADF">
        <w:rPr>
          <w:rFonts w:ascii="Times New Roman" w:eastAsia="Calibri" w:hAnsi="Times New Roman" w:cs="Times New Roman"/>
          <w:sz w:val="24"/>
          <w:szCs w:val="24"/>
        </w:rPr>
        <w:t xml:space="preserve"> poreikio ir negalės viršyti sutarčiai skirtų lėšų.</w:t>
      </w:r>
    </w:p>
    <w:p w14:paraId="61DC1FF1" w14:textId="6669449A" w:rsidR="00E63299" w:rsidRPr="002204C8" w:rsidRDefault="12C1208C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5A536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Pirkimo paslaugų tikslas </w:t>
      </w:r>
      <w:r w:rsidRPr="5A536BF3">
        <w:rPr>
          <w:rFonts w:ascii="Times New Roman" w:eastAsia="Calibri" w:hAnsi="Times New Roman" w:cs="Times New Roman"/>
          <w:sz w:val="24"/>
          <w:szCs w:val="24"/>
        </w:rPr>
        <w:t xml:space="preserve">– užtikrinti </w:t>
      </w:r>
      <w:r w:rsidR="001F7915">
        <w:rPr>
          <w:rFonts w:ascii="Times New Roman" w:eastAsia="Calibri" w:hAnsi="Times New Roman" w:cs="Times New Roman"/>
          <w:sz w:val="24"/>
          <w:szCs w:val="24"/>
        </w:rPr>
        <w:t xml:space="preserve">preliminariai </w:t>
      </w:r>
      <w:r w:rsidR="649911DE" w:rsidRPr="5A536BF3">
        <w:rPr>
          <w:rFonts w:ascii="Times New Roman" w:eastAsia="Calibri" w:hAnsi="Times New Roman" w:cs="Times New Roman"/>
          <w:sz w:val="24"/>
          <w:szCs w:val="24"/>
        </w:rPr>
        <w:t>30 įvairių profesinių</w:t>
      </w:r>
      <w:r w:rsidR="649911DE" w:rsidRPr="5A536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649911DE" w:rsidRPr="5A536BF3">
        <w:rPr>
          <w:rFonts w:ascii="Times New Roman" w:eastAsia="Calibri" w:hAnsi="Times New Roman" w:cs="Times New Roman"/>
          <w:sz w:val="24"/>
          <w:szCs w:val="24"/>
        </w:rPr>
        <w:t>kvalifikacijų gydytojų stažuočių atlikimą</w:t>
      </w:r>
      <w:r w:rsidR="008A4B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C240C2" w14:textId="77777777" w:rsidR="00E63299" w:rsidRPr="00E63299" w:rsidRDefault="00E63299" w:rsidP="00E6329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3B3502" w14:textId="78BAD9FC" w:rsidR="00E63299" w:rsidRPr="00E63299" w:rsidRDefault="00E63299" w:rsidP="00E63299">
      <w:pPr>
        <w:numPr>
          <w:ilvl w:val="0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>REIKALAVIMAI TEIKĖJUI IR JO VYKDOM</w:t>
      </w:r>
      <w:r w:rsidR="002204C8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E6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MS </w:t>
      </w:r>
      <w:r w:rsidR="002204C8">
        <w:rPr>
          <w:rFonts w:ascii="Times New Roman" w:eastAsia="Calibri" w:hAnsi="Times New Roman" w:cs="Times New Roman"/>
          <w:b/>
          <w:bCs/>
          <w:sz w:val="24"/>
          <w:szCs w:val="24"/>
        </w:rPr>
        <w:t>STAŽUOTĖMS</w:t>
      </w:r>
    </w:p>
    <w:p w14:paraId="696D6218" w14:textId="77777777" w:rsidR="00E63299" w:rsidRPr="00E63299" w:rsidRDefault="00E63299" w:rsidP="00E6329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5920CA" w14:textId="6B27B1B8" w:rsidR="00E63299" w:rsidRPr="00E63299" w:rsidRDefault="001E4008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 xml:space="preserve">eikėjas </w:t>
      </w:r>
      <w:r w:rsidR="00881D11" w:rsidRPr="00EB0AFF">
        <w:rPr>
          <w:rFonts w:ascii="Times New Roman" w:eastAsia="Calibri" w:hAnsi="Times New Roman" w:cs="Times New Roman"/>
          <w:sz w:val="24"/>
          <w:szCs w:val="24"/>
        </w:rPr>
        <w:t xml:space="preserve">stažuotes turėtų organizuoti vadovaudamasis </w:t>
      </w:r>
      <w:r w:rsidR="00881D11" w:rsidRPr="00EB0AFF">
        <w:rPr>
          <w:rFonts w:ascii="Times New Roman" w:hAnsi="Times New Roman" w:cs="Times New Roman"/>
          <w:color w:val="000000"/>
          <w:sz w:val="24"/>
          <w:szCs w:val="24"/>
        </w:rPr>
        <w:t>Gydytojų profesinės kvalifikacijos tobulinimo reikalavimų aprašu, patvirtintu</w:t>
      </w:r>
      <w:r w:rsidR="00881D11" w:rsidRPr="00EB0AFF">
        <w:rPr>
          <w:rFonts w:ascii="Times New Roman" w:hAnsi="Times New Roman" w:cs="Times New Roman"/>
          <w:color w:val="091A5A"/>
          <w:sz w:val="24"/>
          <w:szCs w:val="24"/>
          <w:shd w:val="clear" w:color="auto" w:fill="FFFFFF"/>
        </w:rPr>
        <w:t xml:space="preserve"> Lietuvos Respublikos sveikatos apsaugos ministro 2004 m. gegužės 27 d. įsakymas Nr. </w:t>
      </w:r>
      <w:hyperlink r:id="rId6" w:history="1">
        <w:r w:rsidR="00881D11" w:rsidRPr="00EB0AF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V-396</w:t>
        </w:r>
      </w:hyperlink>
      <w:r w:rsidR="00881D11" w:rsidRPr="00EB0AFF">
        <w:rPr>
          <w:rFonts w:ascii="Times New Roman" w:hAnsi="Times New Roman" w:cs="Times New Roman"/>
          <w:color w:val="091A5A"/>
          <w:sz w:val="24"/>
          <w:szCs w:val="24"/>
          <w:shd w:val="clear" w:color="auto" w:fill="FFFFFF"/>
        </w:rPr>
        <w:t> „Dėl Medicinos praktikos licencijavimo taisyklių patvirtinimo” bei</w:t>
      </w:r>
    </w:p>
    <w:p w14:paraId="0A4BB8B5" w14:textId="7B5DF343" w:rsidR="00E63299" w:rsidRPr="00E63299" w:rsidRDefault="12C1208C" w:rsidP="5A536BF3">
      <w:pPr>
        <w:ind w:left="-20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5A536BF3">
        <w:rPr>
          <w:rFonts w:ascii="Times New Roman" w:eastAsia="Calibri" w:hAnsi="Times New Roman" w:cs="Times New Roman"/>
          <w:sz w:val="24"/>
          <w:szCs w:val="24"/>
        </w:rPr>
        <w:t>Lietuvos Respublikos sveikatos apsaugos ministro 2002 m. kovo 18 d. įsakym</w:t>
      </w:r>
      <w:r w:rsidR="649911DE" w:rsidRPr="5A536BF3">
        <w:rPr>
          <w:rFonts w:ascii="Times New Roman" w:eastAsia="Calibri" w:hAnsi="Times New Roman" w:cs="Times New Roman"/>
          <w:sz w:val="24"/>
          <w:szCs w:val="24"/>
        </w:rPr>
        <w:t>u</w:t>
      </w:r>
      <w:r w:rsidRPr="5A536BF3">
        <w:rPr>
          <w:rFonts w:ascii="Times New Roman" w:eastAsia="Calibri" w:hAnsi="Times New Roman" w:cs="Times New Roman"/>
          <w:sz w:val="24"/>
          <w:szCs w:val="24"/>
        </w:rPr>
        <w:t xml:space="preserve"> Nr. 132 „Dėl sveikatos priežiūros ir farmacijos specialistų profesinės kvalifikacijos tobulinimo ir jo finansavimo tvarkos" .</w:t>
      </w:r>
    </w:p>
    <w:p w14:paraId="15F9AAA2" w14:textId="5452B2F9" w:rsidR="00E63299" w:rsidRPr="00E63299" w:rsidRDefault="4C17438A" w:rsidP="5A536BF3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AFF">
        <w:rPr>
          <w:rFonts w:ascii="Times New Roman" w:eastAsia="Calibri" w:hAnsi="Times New Roman" w:cs="Times New Roman"/>
          <w:kern w:val="0"/>
          <w:sz w:val="24"/>
          <w:szCs w:val="24"/>
        </w:rPr>
        <w:t xml:space="preserve">Stažuotės turi būti </w:t>
      </w:r>
      <w:r w:rsidR="12C1208C" w:rsidRPr="00E63299">
        <w:rPr>
          <w:rFonts w:ascii="Times New Roman" w:eastAsia="Calibri" w:hAnsi="Times New Roman" w:cs="Times New Roman"/>
          <w:kern w:val="0"/>
          <w:sz w:val="24"/>
          <w:szCs w:val="24"/>
        </w:rPr>
        <w:t>vykdom</w:t>
      </w:r>
      <w:r w:rsidRPr="00EB0AFF">
        <w:rPr>
          <w:rFonts w:ascii="Times New Roman" w:eastAsia="Calibri" w:hAnsi="Times New Roman" w:cs="Times New Roman"/>
          <w:kern w:val="0"/>
          <w:sz w:val="24"/>
          <w:szCs w:val="24"/>
        </w:rPr>
        <w:t>os</w:t>
      </w:r>
      <w:r w:rsidR="12C1208C" w:rsidRPr="00E632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lietuvių </w:t>
      </w:r>
      <w:r w:rsidR="6158C3CC" w:rsidRPr="00E63299">
        <w:rPr>
          <w:rFonts w:ascii="Times New Roman" w:eastAsia="Calibri" w:hAnsi="Times New Roman" w:cs="Times New Roman"/>
          <w:kern w:val="0"/>
          <w:sz w:val="24"/>
          <w:szCs w:val="24"/>
        </w:rPr>
        <w:t>kalba</w:t>
      </w:r>
      <w:r w:rsidR="0049033B" w:rsidRPr="00D6480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12C1208C" w:rsidRPr="00D6480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9033B" w:rsidRPr="00D6480B">
        <w:rPr>
          <w:rFonts w:ascii="Times New Roman" w:eastAsia="Calibri" w:hAnsi="Times New Roman" w:cs="Times New Roman"/>
          <w:kern w:val="0"/>
          <w:sz w:val="24"/>
          <w:szCs w:val="24"/>
        </w:rPr>
        <w:t xml:space="preserve">Stažuotės trukmę  apskaičiuoja VASPVT </w:t>
      </w:r>
      <w:r w:rsidRPr="00D6480B">
        <w:rPr>
          <w:rFonts w:ascii="Times New Roman" w:eastAsia="Calibri" w:hAnsi="Times New Roman" w:cs="Times New Roman"/>
          <w:kern w:val="0"/>
          <w:sz w:val="24"/>
          <w:szCs w:val="24"/>
        </w:rPr>
        <w:t xml:space="preserve">vadovaujantis </w:t>
      </w:r>
      <w:r w:rsidRPr="00D6480B">
        <w:rPr>
          <w:rFonts w:ascii="Times New Roman" w:hAnsi="Times New Roman" w:cs="Times New Roman"/>
          <w:color w:val="000000"/>
          <w:sz w:val="24"/>
          <w:szCs w:val="24"/>
        </w:rPr>
        <w:t>Gydytojų profesinės kvalifikacijos tobulinimo reikalavimų apraš</w:t>
      </w:r>
      <w:r w:rsidR="0049033B" w:rsidRPr="00D6480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B0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13C924" w14:textId="5AE9DEE5" w:rsidR="00E63299" w:rsidRPr="00E63299" w:rsidRDefault="00E63299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299">
        <w:rPr>
          <w:rFonts w:ascii="Times New Roman" w:eastAsia="Calibri" w:hAnsi="Times New Roman" w:cs="Times New Roman"/>
          <w:sz w:val="24"/>
          <w:szCs w:val="24"/>
        </w:rPr>
        <w:t xml:space="preserve">Organizuojamų </w:t>
      </w:r>
      <w:r w:rsidR="002204C8">
        <w:rPr>
          <w:rFonts w:ascii="Times New Roman" w:eastAsia="Calibri" w:hAnsi="Times New Roman" w:cs="Times New Roman"/>
          <w:sz w:val="24"/>
          <w:szCs w:val="24"/>
        </w:rPr>
        <w:t xml:space="preserve">stažuočių </w:t>
      </w:r>
      <w:r w:rsidRPr="00E63299">
        <w:rPr>
          <w:rFonts w:ascii="Times New Roman" w:eastAsia="Calibri" w:hAnsi="Times New Roman" w:cs="Times New Roman"/>
          <w:sz w:val="24"/>
          <w:szCs w:val="24"/>
        </w:rPr>
        <w:t xml:space="preserve">turinį turi sudaryti teoriniai ir praktiniai užsiėmimai. </w:t>
      </w:r>
    </w:p>
    <w:p w14:paraId="7C039EDB" w14:textId="387C65F7" w:rsidR="00E63299" w:rsidRPr="00E63299" w:rsidRDefault="00EB0AFF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Tiekėjo </w:t>
      </w:r>
      <w:r w:rsidR="00E63299" w:rsidRPr="00E63299">
        <w:rPr>
          <w:rFonts w:ascii="Times New Roman" w:eastAsia="Calibri" w:hAnsi="Times New Roman" w:cs="Times New Roman"/>
          <w:kern w:val="0"/>
          <w:sz w:val="24"/>
          <w:szCs w:val="24"/>
        </w:rPr>
        <w:t>organizuojam</w:t>
      </w:r>
      <w:r w:rsidR="00BE3C0F">
        <w:rPr>
          <w:rFonts w:ascii="Times New Roman" w:eastAsia="Calibri" w:hAnsi="Times New Roman" w:cs="Times New Roman"/>
          <w:kern w:val="0"/>
          <w:sz w:val="24"/>
          <w:szCs w:val="24"/>
        </w:rPr>
        <w:t>os</w:t>
      </w:r>
      <w:r w:rsidR="00E63299" w:rsidRPr="00E632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E3C0F">
        <w:rPr>
          <w:rFonts w:ascii="Times New Roman" w:eastAsia="Calibri" w:hAnsi="Times New Roman" w:cs="Times New Roman"/>
          <w:kern w:val="0"/>
          <w:sz w:val="24"/>
          <w:szCs w:val="24"/>
        </w:rPr>
        <w:t>stažuotės</w:t>
      </w:r>
      <w:r w:rsidR="00BE3C0F" w:rsidRPr="00E632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63299" w:rsidRPr="00E63299">
        <w:rPr>
          <w:rFonts w:ascii="Times New Roman" w:eastAsia="Calibri" w:hAnsi="Times New Roman" w:cs="Times New Roman"/>
          <w:kern w:val="0"/>
          <w:sz w:val="24"/>
          <w:szCs w:val="24"/>
        </w:rPr>
        <w:t xml:space="preserve">su praktine dalimi turi būti organizuojami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asmens sveikatos priežiūros įstaigose, kurios yra rezidentūros bazės. </w:t>
      </w:r>
    </w:p>
    <w:p w14:paraId="314428C4" w14:textId="55DD41EF" w:rsidR="00E63299" w:rsidRDefault="00542E1C" w:rsidP="5A536BF3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8EEB96E" w:rsidRPr="5A536BF3">
        <w:rPr>
          <w:rFonts w:ascii="Times New Roman" w:eastAsia="Calibri" w:hAnsi="Times New Roman" w:cs="Times New Roman"/>
          <w:sz w:val="24"/>
          <w:szCs w:val="24"/>
        </w:rPr>
        <w:t>ydytojus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, kuriems turi būti suteiktos </w:t>
      </w:r>
      <w:r w:rsidR="3AAE5861" w:rsidRPr="5A536BF3">
        <w:rPr>
          <w:rFonts w:ascii="Times New Roman" w:eastAsia="Calibri" w:hAnsi="Times New Roman" w:cs="Times New Roman"/>
          <w:sz w:val="24"/>
          <w:szCs w:val="24"/>
        </w:rPr>
        <w:t xml:space="preserve">papildomo 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profesinės kvalifikacijos tobulinimo paslaugos - </w:t>
      </w:r>
      <w:r w:rsidR="3AAE5861" w:rsidRPr="5A536BF3">
        <w:rPr>
          <w:rFonts w:ascii="Times New Roman" w:eastAsia="Calibri" w:hAnsi="Times New Roman" w:cs="Times New Roman"/>
          <w:sz w:val="24"/>
          <w:szCs w:val="24"/>
        </w:rPr>
        <w:t>stažuotės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, raštu </w:t>
      </w:r>
      <w:r w:rsidRPr="00067D00">
        <w:rPr>
          <w:rFonts w:ascii="Times New Roman" w:eastAsia="Calibri" w:hAnsi="Times New Roman" w:cs="Times New Roman"/>
          <w:sz w:val="24"/>
          <w:szCs w:val="24"/>
        </w:rPr>
        <w:t>(Tiekėjo nurodytu elektroniniu paštu teikdama atskirus užsakymus)</w:t>
      </w:r>
      <w:r w:rsidRPr="00542E1C">
        <w:rPr>
          <w:rFonts w:ascii="Arial" w:eastAsia="Times New Roman" w:hAnsi="Arial" w:cs="Arial"/>
        </w:rPr>
        <w:t xml:space="preserve"> 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nurodo VASPVT. Tiekėjas </w:t>
      </w:r>
      <w:r>
        <w:rPr>
          <w:rFonts w:ascii="Times New Roman" w:eastAsia="Calibri" w:hAnsi="Times New Roman" w:cs="Times New Roman"/>
          <w:sz w:val="24"/>
          <w:szCs w:val="24"/>
        </w:rPr>
        <w:t>privalo kiekvienam nurodytam gydytojui</w:t>
      </w:r>
      <w:r w:rsidR="00C30036">
        <w:rPr>
          <w:rFonts w:ascii="Times New Roman" w:eastAsia="Calibri" w:hAnsi="Times New Roman" w:cs="Times New Roman"/>
          <w:sz w:val="24"/>
          <w:szCs w:val="24"/>
        </w:rPr>
        <w:t xml:space="preserve"> pagal jo profesiją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turi </w:t>
      </w:r>
      <w:r w:rsidR="00B258C2">
        <w:rPr>
          <w:rFonts w:ascii="Times New Roman" w:eastAsia="Calibri" w:hAnsi="Times New Roman" w:cs="Times New Roman"/>
          <w:sz w:val="24"/>
          <w:szCs w:val="24"/>
        </w:rPr>
        <w:t>su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organizuoti </w:t>
      </w:r>
      <w:r w:rsidR="00097CC2">
        <w:rPr>
          <w:rFonts w:ascii="Times New Roman" w:eastAsia="Calibri" w:hAnsi="Times New Roman" w:cs="Times New Roman"/>
          <w:sz w:val="24"/>
          <w:szCs w:val="24"/>
        </w:rPr>
        <w:t xml:space="preserve">stažuotę 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ne vėliau kaip per </w:t>
      </w:r>
      <w:r w:rsidR="007F1B45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12C1208C" w:rsidRPr="5A536BF3">
        <w:rPr>
          <w:rFonts w:ascii="Times New Roman" w:eastAsia="Calibri" w:hAnsi="Times New Roman" w:cs="Times New Roman"/>
          <w:sz w:val="24"/>
          <w:szCs w:val="24"/>
        </w:rPr>
        <w:t xml:space="preserve"> mėn. nuo </w:t>
      </w:r>
      <w:r w:rsidR="007F1B45">
        <w:rPr>
          <w:rFonts w:ascii="Times New Roman" w:eastAsia="Calibri" w:hAnsi="Times New Roman" w:cs="Times New Roman"/>
          <w:sz w:val="24"/>
          <w:szCs w:val="24"/>
        </w:rPr>
        <w:t xml:space="preserve">el. paštu </w:t>
      </w:r>
      <w:r w:rsidR="00067D00">
        <w:rPr>
          <w:rFonts w:ascii="Times New Roman" w:eastAsia="Calibri" w:hAnsi="Times New Roman" w:cs="Times New Roman"/>
          <w:sz w:val="24"/>
          <w:szCs w:val="24"/>
        </w:rPr>
        <w:t>pateikto</w:t>
      </w:r>
      <w:r w:rsidR="007F1B45">
        <w:rPr>
          <w:rFonts w:ascii="Times New Roman" w:eastAsia="Calibri" w:hAnsi="Times New Roman" w:cs="Times New Roman"/>
          <w:sz w:val="24"/>
          <w:szCs w:val="24"/>
        </w:rPr>
        <w:t xml:space="preserve"> užsakymo dienos.</w:t>
      </w:r>
      <w:r w:rsidR="001F4861">
        <w:rPr>
          <w:rFonts w:ascii="Times New Roman" w:eastAsia="Calibri" w:hAnsi="Times New Roman" w:cs="Times New Roman"/>
          <w:sz w:val="24"/>
          <w:szCs w:val="24"/>
        </w:rPr>
        <w:t xml:space="preserve"> Per šį terminą Tiekėjas turi parengti ir su gydytoju bei VASPVT suderinti stažuotės vykdymo grafiką</w:t>
      </w:r>
      <w:r w:rsidR="00067D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F08D40" w14:textId="3317283D" w:rsidR="001A08F2" w:rsidRPr="00E63299" w:rsidRDefault="3AAE5861" w:rsidP="5A536BF3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A536B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Tiekėjas </w:t>
      </w:r>
      <w:r w:rsidR="001F4861">
        <w:rPr>
          <w:rFonts w:ascii="Times New Roman" w:eastAsia="Calibri" w:hAnsi="Times New Roman" w:cs="Times New Roman"/>
          <w:sz w:val="24"/>
          <w:szCs w:val="24"/>
        </w:rPr>
        <w:t xml:space="preserve">turi </w:t>
      </w:r>
      <w:r w:rsidR="00067D00">
        <w:rPr>
          <w:rFonts w:ascii="Times New Roman" w:eastAsia="Calibri" w:hAnsi="Times New Roman" w:cs="Times New Roman"/>
          <w:sz w:val="24"/>
          <w:szCs w:val="24"/>
        </w:rPr>
        <w:t>s</w:t>
      </w:r>
      <w:r w:rsidRPr="5A536BF3">
        <w:rPr>
          <w:rFonts w:ascii="Times New Roman" w:eastAsia="Calibri" w:hAnsi="Times New Roman" w:cs="Times New Roman"/>
          <w:sz w:val="24"/>
          <w:szCs w:val="24"/>
        </w:rPr>
        <w:t xml:space="preserve">tažuotes gydytojams vykdyti </w:t>
      </w:r>
      <w:r w:rsidR="55F1D6E5" w:rsidRPr="5A536BF3">
        <w:rPr>
          <w:rFonts w:ascii="Times New Roman" w:eastAsia="Calibri" w:hAnsi="Times New Roman" w:cs="Times New Roman"/>
          <w:sz w:val="24"/>
          <w:szCs w:val="24"/>
        </w:rPr>
        <w:t>pagal</w:t>
      </w:r>
      <w:r w:rsidRPr="5A536BF3">
        <w:rPr>
          <w:rFonts w:ascii="Times New Roman" w:eastAsia="Calibri" w:hAnsi="Times New Roman" w:cs="Times New Roman"/>
          <w:sz w:val="24"/>
          <w:szCs w:val="24"/>
        </w:rPr>
        <w:t xml:space="preserve"> suderin</w:t>
      </w:r>
      <w:r w:rsidR="5C648002" w:rsidRPr="5A536BF3">
        <w:rPr>
          <w:rFonts w:ascii="Times New Roman" w:eastAsia="Calibri" w:hAnsi="Times New Roman" w:cs="Times New Roman"/>
          <w:sz w:val="24"/>
          <w:szCs w:val="24"/>
        </w:rPr>
        <w:t>tą</w:t>
      </w:r>
      <w:r w:rsidRPr="5A536BF3">
        <w:rPr>
          <w:rFonts w:ascii="Times New Roman" w:eastAsia="Calibri" w:hAnsi="Times New Roman" w:cs="Times New Roman"/>
          <w:sz w:val="24"/>
          <w:szCs w:val="24"/>
        </w:rPr>
        <w:t xml:space="preserve">  stažuotės vykdymo grafik</w:t>
      </w:r>
      <w:r w:rsidR="640F93D7" w:rsidRPr="5A536BF3">
        <w:rPr>
          <w:rFonts w:ascii="Times New Roman" w:eastAsia="Calibri" w:hAnsi="Times New Roman" w:cs="Times New Roman"/>
          <w:sz w:val="24"/>
          <w:szCs w:val="24"/>
        </w:rPr>
        <w:t>ą</w:t>
      </w:r>
      <w:r w:rsidRPr="5A536BF3">
        <w:rPr>
          <w:rFonts w:ascii="Times New Roman" w:eastAsia="Calibri" w:hAnsi="Times New Roman" w:cs="Times New Roman"/>
          <w:sz w:val="24"/>
          <w:szCs w:val="24"/>
        </w:rPr>
        <w:t>.</w:t>
      </w:r>
      <w:r w:rsidR="00AA025D">
        <w:rPr>
          <w:rFonts w:ascii="Times New Roman" w:eastAsia="Calibri" w:hAnsi="Times New Roman" w:cs="Times New Roman"/>
          <w:sz w:val="24"/>
          <w:szCs w:val="24"/>
        </w:rPr>
        <w:t xml:space="preserve"> Grafiko pakeitimai turi būti suderinti su VASPVT</w:t>
      </w:r>
      <w:r w:rsidR="00067D00">
        <w:rPr>
          <w:rFonts w:ascii="Times New Roman" w:eastAsia="Calibri" w:hAnsi="Times New Roman" w:cs="Times New Roman"/>
          <w:sz w:val="24"/>
          <w:szCs w:val="24"/>
        </w:rPr>
        <w:t xml:space="preserve"> ir gydytoju</w:t>
      </w:r>
      <w:r w:rsidR="00AA02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2AB7AD" w14:textId="7EBA9D73" w:rsidR="05714339" w:rsidRDefault="05714339" w:rsidP="0A16D75B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A16D75B">
        <w:rPr>
          <w:rFonts w:ascii="Times New Roman" w:eastAsia="Calibri" w:hAnsi="Times New Roman" w:cs="Times New Roman"/>
          <w:sz w:val="24"/>
          <w:szCs w:val="24"/>
        </w:rPr>
        <w:t>Tiekėjas periodiškai, kas du mėnesius, per 5 darbo dienas pasibaigus kiekvienam dviejų mėnesių terminui, turi pranešti VASPVT apie kiekvieno</w:t>
      </w:r>
      <w:r w:rsidR="4F58DE6E" w:rsidRPr="0A16D75B">
        <w:rPr>
          <w:rFonts w:ascii="Times New Roman" w:eastAsia="Calibri" w:hAnsi="Times New Roman" w:cs="Times New Roman"/>
          <w:sz w:val="24"/>
          <w:szCs w:val="24"/>
        </w:rPr>
        <w:t xml:space="preserve"> gydytojo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, kuriam jis organizuoja </w:t>
      </w:r>
      <w:r w:rsidR="4F58DE6E" w:rsidRPr="0A16D75B">
        <w:rPr>
          <w:rFonts w:ascii="Times New Roman" w:eastAsia="Calibri" w:hAnsi="Times New Roman" w:cs="Times New Roman"/>
          <w:sz w:val="24"/>
          <w:szCs w:val="24"/>
        </w:rPr>
        <w:t xml:space="preserve">stažuotes </w:t>
      </w:r>
      <w:r w:rsidRPr="0A16D75B">
        <w:rPr>
          <w:rFonts w:ascii="Times New Roman" w:eastAsia="Calibri" w:hAnsi="Times New Roman" w:cs="Times New Roman"/>
          <w:sz w:val="24"/>
          <w:szCs w:val="24"/>
        </w:rPr>
        <w:t>eigą: pabaigt</w:t>
      </w:r>
      <w:r w:rsidR="20D5F9D2" w:rsidRPr="0A16D75B">
        <w:rPr>
          <w:rFonts w:ascii="Times New Roman" w:eastAsia="Calibri" w:hAnsi="Times New Roman" w:cs="Times New Roman"/>
          <w:sz w:val="24"/>
          <w:szCs w:val="24"/>
        </w:rPr>
        <w:t>a</w:t>
      </w:r>
      <w:r w:rsidRPr="0A16D75B">
        <w:rPr>
          <w:rFonts w:ascii="Times New Roman" w:eastAsia="Calibri" w:hAnsi="Times New Roman" w:cs="Times New Roman"/>
          <w:sz w:val="24"/>
          <w:szCs w:val="24"/>
        </w:rPr>
        <w:t>s bei vykdom</w:t>
      </w:r>
      <w:r w:rsidR="014BE808" w:rsidRPr="0A16D75B">
        <w:rPr>
          <w:rFonts w:ascii="Times New Roman" w:eastAsia="Calibri" w:hAnsi="Times New Roman" w:cs="Times New Roman"/>
          <w:sz w:val="24"/>
          <w:szCs w:val="24"/>
        </w:rPr>
        <w:t>a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D11517">
        <w:rPr>
          <w:rFonts w:ascii="Times New Roman" w:eastAsia="Calibri" w:hAnsi="Times New Roman" w:cs="Times New Roman"/>
          <w:sz w:val="24"/>
          <w:szCs w:val="24"/>
        </w:rPr>
        <w:t xml:space="preserve">stažuočių </w:t>
      </w:r>
      <w:r w:rsidR="4F58DE6E" w:rsidRPr="0A16D75B">
        <w:rPr>
          <w:rFonts w:ascii="Times New Roman" w:eastAsia="Calibri" w:hAnsi="Times New Roman" w:cs="Times New Roman"/>
          <w:sz w:val="24"/>
          <w:szCs w:val="24"/>
        </w:rPr>
        <w:t>programas, modulius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12DE48B1"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lankomumą </w:t>
      </w:r>
      <w:r w:rsidR="12DE48B1" w:rsidRPr="003F1579">
        <w:rPr>
          <w:rFonts w:ascii="Times New Roman" w:eastAsia="Times New Roman" w:hAnsi="Times New Roman" w:cs="Times New Roman"/>
          <w:sz w:val="24"/>
          <w:szCs w:val="24"/>
        </w:rPr>
        <w:t>pagal konkrečias  datas kartu su įrodomaisiais dokumentais (fiziniais ar el. parašais arba nuotolinio prisijungimo sąrašais, ekrano nuotraukomis kur būtų aiškiai matomi gydytojų vardai ir pavardės)</w:t>
      </w:r>
      <w:r w:rsidR="002825DD">
        <w:rPr>
          <w:rFonts w:ascii="Times New Roman" w:eastAsia="Times New Roman" w:hAnsi="Times New Roman" w:cs="Times New Roman"/>
          <w:sz w:val="24"/>
          <w:szCs w:val="24"/>
        </w:rPr>
        <w:t xml:space="preserve">. Duomenys teikiami </w:t>
      </w:r>
      <w:r w:rsidR="12DE48B1" w:rsidRPr="003F1579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="00282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šios Techninės specifikacijos priede nurodytą </w:t>
      </w:r>
      <w:r w:rsidR="12DE48B1"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Centrinės projektų valdymo agentūros patvirtintą formą.</w:t>
      </w:r>
      <w:r w:rsidR="12DE48B1" w:rsidRPr="0A16D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49AE0C" w14:textId="038226A2" w:rsidR="4B468363" w:rsidRDefault="4B468363" w:rsidP="0A16D75B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Tiekėjas  kiekvienam </w:t>
      </w:r>
      <w:r w:rsidR="1C086817" w:rsidRPr="0A16D75B">
        <w:rPr>
          <w:rFonts w:ascii="Times New Roman" w:eastAsia="Calibri" w:hAnsi="Times New Roman" w:cs="Times New Roman"/>
          <w:sz w:val="24"/>
          <w:szCs w:val="24"/>
        </w:rPr>
        <w:t xml:space="preserve">gydytojui 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pabaigus visą </w:t>
      </w:r>
      <w:r w:rsidR="1C086817" w:rsidRPr="0A16D75B">
        <w:rPr>
          <w:rFonts w:ascii="Times New Roman" w:eastAsia="Calibri" w:hAnsi="Times New Roman" w:cs="Times New Roman"/>
          <w:sz w:val="24"/>
          <w:szCs w:val="24"/>
        </w:rPr>
        <w:t>stažuotės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 kursą arba nutraukus </w:t>
      </w:r>
      <w:r w:rsidR="1C086817" w:rsidRPr="0A16D75B">
        <w:rPr>
          <w:rFonts w:ascii="Times New Roman" w:eastAsia="Calibri" w:hAnsi="Times New Roman" w:cs="Times New Roman"/>
          <w:sz w:val="24"/>
          <w:szCs w:val="24"/>
        </w:rPr>
        <w:t>stažuotę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 per 5 darbo dienas nuo šių juridinių faktų atsiradimo praneša apie juos </w:t>
      </w:r>
      <w:r w:rsidR="1C086817" w:rsidRPr="0A16D75B">
        <w:rPr>
          <w:rFonts w:ascii="Times New Roman" w:eastAsia="Calibri" w:hAnsi="Times New Roman" w:cs="Times New Roman"/>
          <w:sz w:val="24"/>
          <w:szCs w:val="24"/>
        </w:rPr>
        <w:t>VASPVT</w:t>
      </w:r>
      <w:r w:rsidR="05EBD751"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pateikdamas šios Techninės specifikacijos </w:t>
      </w:r>
      <w:r w:rsidR="00282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3.8 </w:t>
      </w:r>
      <w:r w:rsidR="05EBD751"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papunktyje nurodytą informaciją, kuri dar nebuvo pateikta nurodytame papunktyje nustatytu periodiškumu.</w:t>
      </w:r>
    </w:p>
    <w:p w14:paraId="7F108958" w14:textId="7DB2554F" w:rsidR="00E63299" w:rsidRPr="00E63299" w:rsidRDefault="00E63299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99">
        <w:rPr>
          <w:rFonts w:ascii="Times New Roman" w:eastAsia="Calibri" w:hAnsi="Times New Roman" w:cs="Times New Roman"/>
          <w:sz w:val="24"/>
          <w:szCs w:val="24"/>
        </w:rPr>
        <w:t xml:space="preserve">Tiekėjas </w:t>
      </w:r>
      <w:r w:rsidR="00AA025D">
        <w:rPr>
          <w:rFonts w:ascii="Times New Roman" w:eastAsia="Calibri" w:hAnsi="Times New Roman" w:cs="Times New Roman"/>
          <w:sz w:val="24"/>
          <w:szCs w:val="24"/>
        </w:rPr>
        <w:t>turi užtikrinti, kad pagal šią sutartį pradėtos vykdyti stažuotės turi būti užbaig</w:t>
      </w:r>
      <w:r w:rsidR="00AA3C78">
        <w:rPr>
          <w:rFonts w:ascii="Times New Roman" w:eastAsia="Calibri" w:hAnsi="Times New Roman" w:cs="Times New Roman"/>
          <w:sz w:val="24"/>
          <w:szCs w:val="24"/>
        </w:rPr>
        <w:t>tos ne vėliau kaip iki 2029 m. birželio 30 d.</w:t>
      </w:r>
      <w:r w:rsidRPr="00E6329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720342" w14:textId="37E73928" w:rsidR="00E63299" w:rsidRPr="00E63299" w:rsidRDefault="4B468363" w:rsidP="0A16D75B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VASPVT </w:t>
      </w:r>
      <w:r w:rsidR="00B253C5">
        <w:rPr>
          <w:rFonts w:ascii="Times New Roman" w:eastAsia="Calibri" w:hAnsi="Times New Roman" w:cs="Times New Roman"/>
          <w:sz w:val="24"/>
          <w:szCs w:val="24"/>
        </w:rPr>
        <w:t>įsipareigoja</w:t>
      </w:r>
      <w:r w:rsidR="00B253C5" w:rsidRPr="0A16D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44A0" w:rsidRPr="00E844A0">
        <w:rPr>
          <w:rFonts w:ascii="Times New Roman" w:eastAsia="Calibri" w:hAnsi="Times New Roman" w:cs="Times New Roman"/>
          <w:sz w:val="24"/>
          <w:szCs w:val="24"/>
        </w:rPr>
        <w:t>per sutarties galiojimo laikotarpį</w:t>
      </w:r>
      <w:r w:rsidR="00E844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A16D75B">
        <w:rPr>
          <w:rFonts w:ascii="Times New Roman" w:eastAsia="Calibri" w:hAnsi="Times New Roman" w:cs="Times New Roman"/>
          <w:sz w:val="24"/>
          <w:szCs w:val="24"/>
        </w:rPr>
        <w:t>pateikti Tiekėjui</w:t>
      </w:r>
      <w:r w:rsidR="1C086817" w:rsidRPr="0A16D75B">
        <w:rPr>
          <w:rFonts w:ascii="Times New Roman" w:eastAsia="Calibri" w:hAnsi="Times New Roman" w:cs="Times New Roman"/>
          <w:sz w:val="24"/>
          <w:szCs w:val="24"/>
        </w:rPr>
        <w:t xml:space="preserve"> stažuočių</w:t>
      </w:r>
      <w:r w:rsidR="00D16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organizavimui ir vykdymui ne mažiau kaip </w:t>
      </w:r>
      <w:r w:rsidR="66828F0A" w:rsidRPr="0A16D75B">
        <w:rPr>
          <w:rFonts w:ascii="Times New Roman" w:eastAsia="Calibri" w:hAnsi="Times New Roman" w:cs="Times New Roman"/>
          <w:sz w:val="24"/>
          <w:szCs w:val="24"/>
        </w:rPr>
        <w:t>7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0 procentų </w:t>
      </w:r>
      <w:r w:rsidR="09DB8E9B" w:rsidRPr="0A16D75B">
        <w:rPr>
          <w:rFonts w:ascii="Times New Roman" w:eastAsia="Calibri" w:hAnsi="Times New Roman" w:cs="Times New Roman"/>
          <w:sz w:val="24"/>
          <w:szCs w:val="24"/>
        </w:rPr>
        <w:t>gydytojų</w:t>
      </w:r>
      <w:r w:rsidR="00797359">
        <w:rPr>
          <w:rFonts w:ascii="Times New Roman" w:eastAsia="Calibri" w:hAnsi="Times New Roman" w:cs="Times New Roman"/>
          <w:sz w:val="24"/>
          <w:szCs w:val="24"/>
        </w:rPr>
        <w:t>,</w:t>
      </w:r>
      <w:r w:rsidR="09DB8E9B" w:rsidRPr="0A16D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skaičiuojant nuo šios </w:t>
      </w:r>
      <w:r w:rsidR="00797359">
        <w:rPr>
          <w:rFonts w:ascii="Times New Roman" w:eastAsia="Calibri" w:hAnsi="Times New Roman" w:cs="Times New Roman"/>
          <w:sz w:val="24"/>
          <w:szCs w:val="24"/>
        </w:rPr>
        <w:t xml:space="preserve">techninės </w:t>
      </w:r>
      <w:r w:rsidRPr="0A16D75B">
        <w:rPr>
          <w:rFonts w:ascii="Times New Roman" w:eastAsia="Calibri" w:hAnsi="Times New Roman" w:cs="Times New Roman"/>
          <w:sz w:val="24"/>
          <w:szCs w:val="24"/>
        </w:rPr>
        <w:t>specifikacijos 2.</w:t>
      </w:r>
      <w:r w:rsidR="00797359">
        <w:rPr>
          <w:rFonts w:ascii="Times New Roman" w:eastAsia="Calibri" w:hAnsi="Times New Roman" w:cs="Times New Roman"/>
          <w:sz w:val="24"/>
          <w:szCs w:val="24"/>
        </w:rPr>
        <w:t>2</w:t>
      </w:r>
      <w:r w:rsidRPr="0A16D75B">
        <w:rPr>
          <w:rFonts w:ascii="Times New Roman" w:eastAsia="Calibri" w:hAnsi="Times New Roman" w:cs="Times New Roman"/>
          <w:sz w:val="24"/>
          <w:szCs w:val="24"/>
        </w:rPr>
        <w:t xml:space="preserve"> papunktyje nurodyto </w:t>
      </w:r>
      <w:r w:rsidR="009A5E11">
        <w:rPr>
          <w:rFonts w:ascii="Times New Roman" w:eastAsia="Calibri" w:hAnsi="Times New Roman" w:cs="Times New Roman"/>
          <w:sz w:val="24"/>
          <w:szCs w:val="24"/>
        </w:rPr>
        <w:t xml:space="preserve">preliminaraus </w:t>
      </w:r>
      <w:r w:rsidR="09DB8E9B" w:rsidRPr="0A16D75B">
        <w:rPr>
          <w:rFonts w:ascii="Times New Roman" w:eastAsia="Calibri" w:hAnsi="Times New Roman" w:cs="Times New Roman"/>
          <w:sz w:val="24"/>
          <w:szCs w:val="24"/>
        </w:rPr>
        <w:t xml:space="preserve">gydytojų </w:t>
      </w:r>
      <w:r w:rsidRPr="0A16D75B">
        <w:rPr>
          <w:rFonts w:ascii="Times New Roman" w:eastAsia="Calibri" w:hAnsi="Times New Roman" w:cs="Times New Roman"/>
          <w:sz w:val="24"/>
          <w:szCs w:val="24"/>
        </w:rPr>
        <w:t>skaičiaus.</w:t>
      </w:r>
    </w:p>
    <w:p w14:paraId="08F3D26C" w14:textId="48F0C2E7" w:rsidR="00E63299" w:rsidRPr="00E63299" w:rsidRDefault="003A0B0E" w:rsidP="00E63299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Esant poreikiui</w:t>
      </w:r>
      <w:r w:rsidR="00EA639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 xml:space="preserve">VASPVT turi teisę </w:t>
      </w:r>
      <w:r w:rsidR="00AC2712">
        <w:rPr>
          <w:rFonts w:ascii="Times New Roman" w:eastAsia="Calibri" w:hAnsi="Times New Roman" w:cs="Times New Roman"/>
          <w:sz w:val="24"/>
          <w:szCs w:val="24"/>
        </w:rPr>
        <w:t>pateikti</w:t>
      </w:r>
      <w:r w:rsidR="00D73B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33283">
        <w:rPr>
          <w:rFonts w:ascii="Times New Roman" w:eastAsia="Calibri" w:hAnsi="Times New Roman" w:cs="Times New Roman"/>
          <w:sz w:val="24"/>
          <w:szCs w:val="24"/>
        </w:rPr>
        <w:t>didesnį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AFF">
        <w:rPr>
          <w:rFonts w:ascii="Times New Roman" w:eastAsia="Calibri" w:hAnsi="Times New Roman" w:cs="Times New Roman"/>
          <w:sz w:val="24"/>
          <w:szCs w:val="24"/>
        </w:rPr>
        <w:t xml:space="preserve">gydytojų </w:t>
      </w:r>
      <w:r w:rsidR="007320F1">
        <w:rPr>
          <w:rFonts w:ascii="Times New Roman" w:eastAsia="Calibri" w:hAnsi="Times New Roman" w:cs="Times New Roman"/>
          <w:sz w:val="24"/>
          <w:szCs w:val="24"/>
        </w:rPr>
        <w:t xml:space="preserve">skaičių stažuotėms </w:t>
      </w:r>
      <w:r w:rsidR="00D73BFB">
        <w:rPr>
          <w:rFonts w:ascii="Times New Roman" w:eastAsia="Calibri" w:hAnsi="Times New Roman" w:cs="Times New Roman"/>
          <w:sz w:val="24"/>
          <w:szCs w:val="24"/>
        </w:rPr>
        <w:t>, negu nurodyta</w:t>
      </w:r>
      <w:r w:rsidR="00D73BFB" w:rsidRPr="00E63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 xml:space="preserve">šios </w:t>
      </w:r>
      <w:r w:rsidR="00D73BFB">
        <w:rPr>
          <w:rFonts w:ascii="Times New Roman" w:eastAsia="Calibri" w:hAnsi="Times New Roman" w:cs="Times New Roman"/>
          <w:sz w:val="24"/>
          <w:szCs w:val="24"/>
        </w:rPr>
        <w:t xml:space="preserve">techninės 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>specifikacijos 2.</w:t>
      </w:r>
      <w:r w:rsidR="00F201F6">
        <w:rPr>
          <w:rFonts w:ascii="Times New Roman" w:eastAsia="Calibri" w:hAnsi="Times New Roman" w:cs="Times New Roman"/>
          <w:sz w:val="24"/>
          <w:szCs w:val="24"/>
        </w:rPr>
        <w:t>2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 xml:space="preserve"> papunktyje</w:t>
      </w:r>
      <w:r w:rsidR="00C14784">
        <w:rPr>
          <w:rFonts w:ascii="Times New Roman" w:eastAsia="Calibri" w:hAnsi="Times New Roman" w:cs="Times New Roman"/>
          <w:sz w:val="24"/>
          <w:szCs w:val="24"/>
        </w:rPr>
        <w:t>,</w:t>
      </w:r>
      <w:r w:rsidR="00F201F6" w:rsidRPr="00F201F6">
        <w:t xml:space="preserve"> </w:t>
      </w:r>
      <w:r w:rsidR="00F201F6" w:rsidRPr="00F201F6">
        <w:rPr>
          <w:rFonts w:ascii="Times New Roman" w:eastAsia="Calibri" w:hAnsi="Times New Roman" w:cs="Times New Roman"/>
          <w:sz w:val="24"/>
          <w:szCs w:val="24"/>
        </w:rPr>
        <w:t>neviršijant sutarčiai skirtų lėšų ir taikant tas pačias sutarties sąlygas.</w:t>
      </w:r>
      <w:r w:rsidR="00E63299" w:rsidRPr="00E632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B5AA65" w14:textId="18D08809" w:rsidR="05714339" w:rsidRDefault="00ED4AB5" w:rsidP="0A16D75B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Kiekvienam gydytojui pabaigus stažuotę, per 30 kalendorinių dienų  </w:t>
      </w:r>
      <w:r w:rsidR="05714339"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privalo informaciją apie </w:t>
      </w:r>
      <w:r w:rsidR="4F58DE6E" w:rsidRPr="0A16D75B">
        <w:rPr>
          <w:rFonts w:ascii="Times New Roman" w:eastAsia="Times New Roman" w:hAnsi="Times New Roman" w:cs="Times New Roman"/>
          <w:sz w:val="24"/>
          <w:szCs w:val="24"/>
        </w:rPr>
        <w:t xml:space="preserve">stažuotės </w:t>
      </w:r>
      <w:r w:rsidR="05714339" w:rsidRPr="0A16D75B">
        <w:rPr>
          <w:rFonts w:ascii="Times New Roman" w:eastAsia="Times New Roman" w:hAnsi="Times New Roman" w:cs="Times New Roman"/>
          <w:sz w:val="24"/>
          <w:szCs w:val="24"/>
        </w:rPr>
        <w:t>baigimą perd</w:t>
      </w:r>
      <w:r>
        <w:rPr>
          <w:rFonts w:ascii="Times New Roman" w:eastAsia="Times New Roman" w:hAnsi="Times New Roman" w:cs="Times New Roman"/>
          <w:sz w:val="24"/>
          <w:szCs w:val="24"/>
        </w:rPr>
        <w:t>uoti</w:t>
      </w:r>
      <w:r w:rsidR="05714339" w:rsidRPr="0A16D75B">
        <w:rPr>
          <w:rFonts w:ascii="Times New Roman" w:eastAsia="Times New Roman" w:hAnsi="Times New Roman" w:cs="Times New Roman"/>
          <w:sz w:val="24"/>
          <w:szCs w:val="24"/>
        </w:rPr>
        <w:t xml:space="preserve"> į Kompetencijų platformos informacinę sistemą;</w:t>
      </w:r>
    </w:p>
    <w:p w14:paraId="4BECA531" w14:textId="463A63C9" w:rsidR="00E63299" w:rsidRPr="003F1579" w:rsidRDefault="4AEC9CBA" w:rsidP="5A536BF3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579">
        <w:rPr>
          <w:rFonts w:ascii="Times New Roman" w:eastAsia="Times New Roman" w:hAnsi="Times New Roman" w:cs="Times New Roman"/>
          <w:sz w:val="24"/>
          <w:szCs w:val="24"/>
        </w:rPr>
        <w:t xml:space="preserve">Už paslaugas tiekėjui apmokama kiekvienam gydytojui atlikus visą stažuotę ir </w:t>
      </w:r>
      <w:r w:rsidR="4596C33B" w:rsidRPr="003F1579">
        <w:rPr>
          <w:rFonts w:ascii="Times New Roman" w:eastAsia="Times New Roman" w:hAnsi="Times New Roman" w:cs="Times New Roman"/>
          <w:sz w:val="24"/>
          <w:szCs w:val="24"/>
        </w:rPr>
        <w:t xml:space="preserve"> pateikus šios Techninės specifikacijos </w:t>
      </w:r>
      <w:r w:rsidR="00407C50">
        <w:rPr>
          <w:rFonts w:ascii="Times New Roman" w:eastAsia="Times New Roman" w:hAnsi="Times New Roman" w:cs="Times New Roman"/>
          <w:sz w:val="24"/>
          <w:szCs w:val="24"/>
        </w:rPr>
        <w:t xml:space="preserve">3.9 </w:t>
      </w:r>
      <w:r w:rsidR="4596C33B" w:rsidRPr="003F1579">
        <w:rPr>
          <w:rFonts w:ascii="Times New Roman" w:eastAsia="Times New Roman" w:hAnsi="Times New Roman" w:cs="Times New Roman"/>
          <w:sz w:val="24"/>
          <w:szCs w:val="24"/>
        </w:rPr>
        <w:t>papunktyje nurodytą informaciją</w:t>
      </w:r>
      <w:r w:rsidR="3C0A2722" w:rsidRPr="003F1579">
        <w:rPr>
          <w:rFonts w:ascii="Times New Roman" w:eastAsia="Times New Roman" w:hAnsi="Times New Roman" w:cs="Times New Roman"/>
          <w:sz w:val="24"/>
          <w:szCs w:val="24"/>
        </w:rPr>
        <w:t>,</w:t>
      </w:r>
      <w:r w:rsidR="4596C33B" w:rsidRPr="003F1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579">
        <w:rPr>
          <w:rFonts w:ascii="Times New Roman" w:eastAsia="Times New Roman" w:hAnsi="Times New Roman" w:cs="Times New Roman"/>
          <w:sz w:val="24"/>
          <w:szCs w:val="24"/>
        </w:rPr>
        <w:t>perdavimo–priėmimo aktą bei sąskaitą faktūrą. Apmokėjimas įvykdomas per 20 darbo dienų</w:t>
      </w:r>
      <w:r w:rsidR="00241375" w:rsidRPr="00241375">
        <w:rPr>
          <w:b/>
          <w:bCs/>
        </w:rPr>
        <w:t xml:space="preserve"> </w:t>
      </w:r>
      <w:r w:rsidR="00241375" w:rsidRPr="00241375">
        <w:rPr>
          <w:rFonts w:ascii="Times New Roman" w:eastAsia="Times New Roman" w:hAnsi="Times New Roman" w:cs="Times New Roman"/>
          <w:sz w:val="24"/>
          <w:szCs w:val="24"/>
        </w:rPr>
        <w:t xml:space="preserve">nuo sąskaitos faktūros pateikimo dienos. Jeigu VASPVT pateikia pastabas pagal </w:t>
      </w:r>
      <w:r w:rsidR="00C96C45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06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6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375" w:rsidRPr="00241375">
        <w:rPr>
          <w:rFonts w:ascii="Times New Roman" w:eastAsia="Times New Roman" w:hAnsi="Times New Roman" w:cs="Times New Roman"/>
          <w:sz w:val="24"/>
          <w:szCs w:val="24"/>
        </w:rPr>
        <w:t>punktą, apmokėjimo terminas sustabdomas ir atnaujinamas nuo trūkumų pašalinimo dienos. Jeigu pastabos susijusios tik su dalimi akte nurodytų gydytojų, apmokėjimas už likusius gydytojus nevėluojamas</w:t>
      </w:r>
      <w:r w:rsidRPr="003F1579">
        <w:rPr>
          <w:rFonts w:ascii="Times New Roman" w:eastAsia="Times New Roman" w:hAnsi="Times New Roman" w:cs="Times New Roman"/>
          <w:sz w:val="24"/>
          <w:szCs w:val="24"/>
        </w:rPr>
        <w:t xml:space="preserve">. Tiekėjas gali parengti bendrą perdavimo-priėmimo aktą ir sąskaitą faktūrą dėl kelių </w:t>
      </w:r>
      <w:r w:rsidR="6629E82D" w:rsidRPr="003F1579">
        <w:rPr>
          <w:rFonts w:ascii="Times New Roman" w:eastAsia="Times New Roman" w:hAnsi="Times New Roman" w:cs="Times New Roman"/>
          <w:sz w:val="24"/>
          <w:szCs w:val="24"/>
        </w:rPr>
        <w:t>atlikusių stažuot</w:t>
      </w:r>
      <w:r w:rsidR="00237943">
        <w:rPr>
          <w:rFonts w:ascii="Times New Roman" w:eastAsia="Times New Roman" w:hAnsi="Times New Roman" w:cs="Times New Roman"/>
          <w:sz w:val="24"/>
          <w:szCs w:val="24"/>
        </w:rPr>
        <w:t>e</w:t>
      </w:r>
      <w:r w:rsidR="6629E82D" w:rsidRPr="003F1579">
        <w:rPr>
          <w:rFonts w:ascii="Times New Roman" w:eastAsia="Times New Roman" w:hAnsi="Times New Roman" w:cs="Times New Roman"/>
          <w:sz w:val="24"/>
          <w:szCs w:val="24"/>
        </w:rPr>
        <w:t>s gydytojų</w:t>
      </w:r>
      <w:r w:rsidR="05714339" w:rsidRPr="003F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87030" w14:textId="73FC19F3" w:rsidR="00EB0AFF" w:rsidRPr="00B1596E" w:rsidRDefault="5CDA725B" w:rsidP="0A16D75B">
      <w:pPr>
        <w:numPr>
          <w:ilvl w:val="1"/>
          <w:numId w:val="2"/>
        </w:numPr>
        <w:ind w:hanging="567"/>
        <w:contextualSpacing/>
        <w:jc w:val="both"/>
        <w:rPr>
          <w:rFonts w:ascii="Times New Roman" w:eastAsia="Times New Roman" w:hAnsi="Times New Roman" w:cs="Times New Roman"/>
          <w:color w:val="D13438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VASPVT ne vėliau kaip per </w:t>
      </w:r>
      <w:r w:rsidR="00C96C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15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tris</w:t>
      </w: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darbo dienas nuo</w:t>
      </w:r>
      <w:r w:rsidR="00B15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C45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DA06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6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579">
        <w:rPr>
          <w:rFonts w:ascii="Times New Roman" w:eastAsia="Times New Roman" w:hAnsi="Times New Roman" w:cs="Times New Roman"/>
          <w:sz w:val="24"/>
          <w:szCs w:val="24"/>
        </w:rPr>
        <w:t>papunktyje</w:t>
      </w:r>
      <w:r w:rsidR="00B1596E" w:rsidRPr="00B1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nurodytų dokumentų pateikimo pateikia pastabas dėl suteiktų paslaugų ir nustato </w:t>
      </w:r>
      <w:r w:rsidR="00C96C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96C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penkių</w:t>
      </w: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kalendorinių dienų terminą (esant svarbioms aplinkybėms gali nustatyti ilgesnį terminą) pastabose nurodytiems trūkumams pašalinti, arba pasirašo paslaugų perdavimo–priėmimo aktą;</w:t>
      </w:r>
    </w:p>
    <w:p w14:paraId="2D22C381" w14:textId="77777777" w:rsidR="00DA064C" w:rsidRDefault="00C96C45" w:rsidP="00DA064C">
      <w:pPr>
        <w:numPr>
          <w:ilvl w:val="1"/>
          <w:numId w:val="2"/>
        </w:numPr>
        <w:spacing w:after="0"/>
        <w:ind w:left="-210" w:hanging="567"/>
        <w:contextualSpacing/>
        <w:jc w:val="both"/>
        <w:rPr>
          <w:rFonts w:ascii="Times New Roman" w:eastAsia="Times New Roman" w:hAnsi="Times New Roman" w:cs="Times New Roman"/>
          <w:color w:val="D13438"/>
          <w:sz w:val="24"/>
          <w:szCs w:val="24"/>
        </w:rPr>
      </w:pPr>
      <w:r w:rsidRPr="00B1596E">
        <w:rPr>
          <w:rFonts w:ascii="Times New Roman" w:hAnsi="Times New Roman" w:cs="Times New Roman"/>
          <w:sz w:val="24"/>
          <w:szCs w:val="24"/>
        </w:rPr>
        <w:t xml:space="preserve">Jeigu </w:t>
      </w:r>
      <w:r>
        <w:rPr>
          <w:rFonts w:ascii="Times New Roman" w:hAnsi="Times New Roman" w:cs="Times New Roman"/>
          <w:sz w:val="24"/>
          <w:szCs w:val="24"/>
        </w:rPr>
        <w:t xml:space="preserve">gydytojas </w:t>
      </w:r>
      <w:r w:rsidRPr="00B1596E">
        <w:rPr>
          <w:rFonts w:ascii="Times New Roman" w:hAnsi="Times New Roman" w:cs="Times New Roman"/>
          <w:sz w:val="24"/>
          <w:szCs w:val="24"/>
        </w:rPr>
        <w:t>nebaigia viso</w:t>
      </w:r>
      <w:r>
        <w:rPr>
          <w:rFonts w:ascii="Times New Roman" w:hAnsi="Times New Roman" w:cs="Times New Roman"/>
          <w:sz w:val="24"/>
          <w:szCs w:val="24"/>
        </w:rPr>
        <w:t>s jam paskirtos stažuotės</w:t>
      </w:r>
      <w:r w:rsidRPr="00B1596E">
        <w:rPr>
          <w:rFonts w:ascii="Times New Roman" w:hAnsi="Times New Roman" w:cs="Times New Roman"/>
          <w:sz w:val="24"/>
          <w:szCs w:val="24"/>
        </w:rPr>
        <w:t xml:space="preserve"> dėl nuo </w:t>
      </w:r>
      <w:r w:rsidRPr="00014D55">
        <w:rPr>
          <w:rFonts w:ascii="Times New Roman" w:hAnsi="Times New Roman" w:cs="Times New Roman"/>
          <w:sz w:val="24"/>
          <w:szCs w:val="24"/>
        </w:rPr>
        <w:t xml:space="preserve">Tiekėjo nepriklausančių aplinkybių, Tiekėjui apmokama </w:t>
      </w:r>
      <w:r w:rsidR="00EA01F3" w:rsidRPr="00014D55">
        <w:rPr>
          <w:rFonts w:ascii="Times New Roman" w:hAnsi="Times New Roman" w:cs="Times New Roman"/>
          <w:sz w:val="24"/>
          <w:szCs w:val="24"/>
        </w:rPr>
        <w:t xml:space="preserve">už </w:t>
      </w:r>
      <w:r w:rsidRPr="00014D55">
        <w:rPr>
          <w:rFonts w:ascii="Times New Roman" w:hAnsi="Times New Roman" w:cs="Times New Roman"/>
          <w:sz w:val="24"/>
          <w:szCs w:val="24"/>
        </w:rPr>
        <w:t>faktiškai suteikt</w:t>
      </w:r>
      <w:r w:rsidR="006979D6">
        <w:rPr>
          <w:rFonts w:ascii="Times New Roman" w:hAnsi="Times New Roman" w:cs="Times New Roman"/>
          <w:sz w:val="24"/>
          <w:szCs w:val="24"/>
        </w:rPr>
        <w:t>as</w:t>
      </w:r>
      <w:r w:rsidRPr="00014D55">
        <w:rPr>
          <w:rFonts w:ascii="Times New Roman" w:hAnsi="Times New Roman" w:cs="Times New Roman"/>
          <w:sz w:val="24"/>
          <w:szCs w:val="24"/>
        </w:rPr>
        <w:t>,</w:t>
      </w:r>
      <w:r w:rsidR="000433D6">
        <w:rPr>
          <w:rFonts w:ascii="Times New Roman" w:hAnsi="Times New Roman" w:cs="Times New Roman"/>
          <w:sz w:val="24"/>
          <w:szCs w:val="24"/>
        </w:rPr>
        <w:t xml:space="preserve"> </w:t>
      </w:r>
      <w:r w:rsidR="00E4207C" w:rsidRPr="00E4207C">
        <w:rPr>
          <w:rFonts w:ascii="Times New Roman" w:hAnsi="Times New Roman" w:cs="Times New Roman"/>
          <w:sz w:val="24"/>
          <w:szCs w:val="24"/>
        </w:rPr>
        <w:t>dokumentais pagrįstų ir VASPVT patvirtintų stažuotės valandų skaičių, taikant sutartyje nustatytą valandinį įkainį</w:t>
      </w:r>
      <w:r w:rsidRPr="00014D55">
        <w:rPr>
          <w:rFonts w:ascii="Times New Roman" w:hAnsi="Times New Roman" w:cs="Times New Roman"/>
          <w:sz w:val="24"/>
          <w:szCs w:val="24"/>
        </w:rPr>
        <w:t>.</w:t>
      </w:r>
    </w:p>
    <w:p w14:paraId="26EF7452" w14:textId="0FC13FCF" w:rsidR="00EB0AFF" w:rsidRPr="00DA064C" w:rsidRDefault="5CDA725B" w:rsidP="00DA064C">
      <w:pPr>
        <w:numPr>
          <w:ilvl w:val="1"/>
          <w:numId w:val="2"/>
        </w:numPr>
        <w:spacing w:after="0"/>
        <w:ind w:left="-210" w:hanging="567"/>
        <w:contextualSpacing/>
        <w:jc w:val="both"/>
        <w:rPr>
          <w:rFonts w:ascii="Times New Roman" w:eastAsia="Times New Roman" w:hAnsi="Times New Roman" w:cs="Times New Roman"/>
          <w:color w:val="D13438"/>
          <w:sz w:val="24"/>
          <w:szCs w:val="24"/>
        </w:rPr>
      </w:pPr>
      <w:r w:rsidRPr="00DA064C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Pr="00DA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turi užtikrinti sta</w:t>
      </w:r>
      <w:r w:rsidR="60E56568" w:rsidRPr="00DA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</w:t>
      </w:r>
      <w:r w:rsidRPr="00DA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uočių</w:t>
      </w:r>
      <w:r w:rsidR="006C5F5C">
        <w:rPr>
          <w:rStyle w:val="normaltextrun"/>
          <w:rFonts w:ascii="Times New Roman" w:eastAsia="Times New Roman" w:hAnsi="Times New Roman" w:cs="Times New Roman"/>
          <w:color w:val="D13438"/>
          <w:sz w:val="24"/>
          <w:szCs w:val="24"/>
        </w:rPr>
        <w:t xml:space="preserve"> </w:t>
      </w:r>
      <w:r w:rsidRPr="00DA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dalyvių asmens duomenų apsaugą</w:t>
      </w:r>
      <w:r w:rsidR="00E52C07" w:rsidRPr="00DA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C96C45" w:rsidRPr="00DA064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5DE43E10" w:rsidRPr="00DA064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tažuočių</w:t>
      </w:r>
      <w:r w:rsidRPr="00DA064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dalyvių asmens duomenis tvarkyti remiantis 2016 m. balandžio 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įstatymu, kitais asmens duomenų apsaugą reglamentuojančiais teisės aktais</w:t>
      </w:r>
      <w:r w:rsidR="00E52C07" w:rsidRPr="00DA064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A064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E08ED82" w14:textId="7D108114" w:rsidR="00EB0AFF" w:rsidRPr="00E63299" w:rsidRDefault="09DB8E9B" w:rsidP="0A16D75B">
      <w:pPr>
        <w:pStyle w:val="ListParagraph"/>
        <w:spacing w:after="0"/>
        <w:ind w:left="-207"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A95A584" w14:textId="540CE0C1" w:rsidR="00F82DD9" w:rsidRDefault="00F82DD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0D1730BF" w14:textId="77777777" w:rsidR="003F1579" w:rsidRDefault="003F1579" w:rsidP="0A16D75B">
      <w:pPr>
        <w:tabs>
          <w:tab w:val="left" w:pos="3544"/>
        </w:tabs>
        <w:ind w:left="5387"/>
        <w:rPr>
          <w:rFonts w:ascii="Times New Roman" w:eastAsia="Times New Roman" w:hAnsi="Times New Roman" w:cs="Times New Roman"/>
          <w:color w:val="000000" w:themeColor="text1"/>
        </w:rPr>
      </w:pPr>
    </w:p>
    <w:p w14:paraId="53ACE0AC" w14:textId="09FBBB55" w:rsidR="02D47E9A" w:rsidRDefault="02D47E9A" w:rsidP="00E52C07">
      <w:pPr>
        <w:tabs>
          <w:tab w:val="left" w:pos="3544"/>
        </w:tabs>
        <w:spacing w:after="0"/>
        <w:ind w:left="5387"/>
        <w:rPr>
          <w:rFonts w:ascii="Times New Roman" w:eastAsia="Times New Roman" w:hAnsi="Times New Roman" w:cs="Times New Roman"/>
          <w:color w:val="000000" w:themeColor="text1"/>
        </w:rPr>
      </w:pPr>
      <w:r w:rsidRPr="0A16D75B">
        <w:rPr>
          <w:rFonts w:ascii="Times New Roman" w:eastAsia="Times New Roman" w:hAnsi="Times New Roman" w:cs="Times New Roman"/>
          <w:color w:val="000000" w:themeColor="text1"/>
        </w:rPr>
        <w:t>V</w:t>
      </w:r>
      <w:r w:rsidRPr="0A16D75B">
        <w:rPr>
          <w:rFonts w:ascii="Times New Roman" w:eastAsia="Calibri" w:hAnsi="Times New Roman" w:cs="Times New Roman"/>
          <w:sz w:val="24"/>
          <w:szCs w:val="24"/>
        </w:rPr>
        <w:t>isų profesinių</w:t>
      </w:r>
      <w:r w:rsidRPr="0A16D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A16D75B">
        <w:rPr>
          <w:rFonts w:ascii="Times New Roman" w:eastAsia="Calibri" w:hAnsi="Times New Roman" w:cs="Times New Roman"/>
          <w:sz w:val="24"/>
          <w:szCs w:val="24"/>
        </w:rPr>
        <w:t>kvalifikacijų gydytojų papildomo profesinės kvalifikacijos tobulinimo  mokymų – stažuočių</w:t>
      </w:r>
      <w:r w:rsidRPr="0A16D75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C988869" w:rsidRPr="0A16D75B">
        <w:rPr>
          <w:rFonts w:ascii="Times New Roman" w:eastAsia="Times New Roman" w:hAnsi="Times New Roman" w:cs="Times New Roman"/>
          <w:color w:val="000000" w:themeColor="text1"/>
        </w:rPr>
        <w:t xml:space="preserve">paslaugų techninės specifikacijos  </w:t>
      </w:r>
    </w:p>
    <w:p w14:paraId="31D42EEF" w14:textId="53EC9A4C" w:rsidR="3C988869" w:rsidRDefault="3C988869" w:rsidP="0A16D75B">
      <w:pPr>
        <w:tabs>
          <w:tab w:val="left" w:pos="3544"/>
        </w:tabs>
        <w:ind w:left="5387"/>
        <w:rPr>
          <w:rFonts w:ascii="Times New Roman" w:eastAsia="Times New Roman" w:hAnsi="Times New Roman" w:cs="Times New Roman"/>
          <w:color w:val="000000" w:themeColor="text1"/>
        </w:rPr>
      </w:pPr>
      <w:r w:rsidRPr="0A16D75B">
        <w:rPr>
          <w:rFonts w:ascii="Times New Roman" w:eastAsia="Times New Roman" w:hAnsi="Times New Roman" w:cs="Times New Roman"/>
          <w:color w:val="000000" w:themeColor="text1"/>
        </w:rPr>
        <w:t>priedas</w:t>
      </w:r>
    </w:p>
    <w:p w14:paraId="00452EF7" w14:textId="5AB3DAA1" w:rsidR="0A16D75B" w:rsidRDefault="0A16D75B" w:rsidP="0A16D75B">
      <w:pPr>
        <w:tabs>
          <w:tab w:val="left" w:pos="3544"/>
        </w:tabs>
        <w:ind w:left="10065"/>
        <w:rPr>
          <w:rFonts w:ascii="Times New Roman" w:eastAsia="Times New Roman" w:hAnsi="Times New Roman" w:cs="Times New Roman"/>
          <w:color w:val="D13438"/>
        </w:rPr>
      </w:pPr>
    </w:p>
    <w:p w14:paraId="4CEDED1E" w14:textId="6D5D5AEF" w:rsidR="3C988869" w:rsidRDefault="3C988869" w:rsidP="0A16D75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MOKYMO (-Ų) DALYVIŲ SĄRAŠAS</w:t>
      </w:r>
    </w:p>
    <w:p w14:paraId="32F93C9F" w14:textId="6E66A27C" w:rsidR="3C988869" w:rsidRDefault="3C988869" w:rsidP="0A16D75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5647280E" w14:textId="3EA4DA82" w:rsidR="3C988869" w:rsidRDefault="3C988869" w:rsidP="0A16D75B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(data)</w:t>
      </w:r>
    </w:p>
    <w:p w14:paraId="74253090" w14:textId="6C678C89" w:rsidR="3C988869" w:rsidRDefault="3C988869" w:rsidP="0A16D75B">
      <w:pPr>
        <w:pStyle w:val="ListParagraph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BENDRA INFORMACIJA APIE PROJEKTĄ*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030"/>
        <w:gridCol w:w="6007"/>
      </w:tblGrid>
      <w:tr w:rsidR="0A16D75B" w14:paraId="4D0164F4" w14:textId="77777777" w:rsidTr="00171854">
        <w:trPr>
          <w:trHeight w:val="51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0D6B9455" w14:textId="0D3701D9" w:rsidR="0A16D75B" w:rsidRDefault="0A16D75B" w:rsidP="0A16D75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 vykdytojo / projekto partnerio pavadinimas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5DE67A" w14:textId="34BDCBAC" w:rsidR="0A16D75B" w:rsidRDefault="0A16D75B" w:rsidP="0A16D75B">
            <w:pPr>
              <w:tabs>
                <w:tab w:val="left" w:pos="2355"/>
              </w:tabs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Valstybinė akreditavimo sveikatos priežiūros veiklai tarnyba prie Sveikatos apsaugos ministerijos</w:t>
            </w:r>
          </w:p>
        </w:tc>
      </w:tr>
      <w:tr w:rsidR="0A16D75B" w14:paraId="1B305075" w14:textId="77777777" w:rsidTr="00171854">
        <w:trPr>
          <w:trHeight w:val="435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5B8DB67B" w14:textId="0941ACEA" w:rsidR="0A16D75B" w:rsidRDefault="0A16D75B" w:rsidP="0A16D75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 vykdytojo / projekto partnerio kodas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EFBD53" w14:textId="163D0673" w:rsidR="0A16D75B" w:rsidRDefault="0A16D75B" w:rsidP="0A16D75B">
            <w:pPr>
              <w:tabs>
                <w:tab w:val="left" w:pos="2355"/>
              </w:tabs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191352247</w:t>
            </w:r>
          </w:p>
        </w:tc>
      </w:tr>
      <w:tr w:rsidR="0A16D75B" w14:paraId="452A9526" w14:textId="77777777" w:rsidTr="00171854">
        <w:trPr>
          <w:trHeight w:val="435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608769AD" w14:textId="7C86875C" w:rsidR="0A16D75B" w:rsidRDefault="0A16D75B" w:rsidP="0A16D75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Projekto pavadinimas 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F6E897" w14:textId="7F68368E" w:rsidR="0A16D75B" w:rsidRDefault="0A16D75B" w:rsidP="0A16D75B">
            <w:pPr>
              <w:tabs>
                <w:tab w:val="left" w:pos="2355"/>
              </w:tabs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Užsienio sveikatos priežiūros specialistų (įskaitant ir iš Lietuvos išvykusius sveikatos priežiūros specialistus) ir neaktyvių sveikatos priežiūros specialistų pritraukimas</w:t>
            </w:r>
          </w:p>
        </w:tc>
      </w:tr>
      <w:tr w:rsidR="0A16D75B" w14:paraId="77C68953" w14:textId="77777777" w:rsidTr="00171854">
        <w:trPr>
          <w:trHeight w:val="435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4E91BBB4" w14:textId="00974924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 kodas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57685F" w14:textId="7FDD19D7" w:rsidR="0A16D75B" w:rsidRDefault="0A16D75B" w:rsidP="0A16D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09-030-P-0001</w:t>
            </w:r>
          </w:p>
        </w:tc>
      </w:tr>
    </w:tbl>
    <w:p w14:paraId="25C285D1" w14:textId="17DA5164" w:rsidR="3C988869" w:rsidRDefault="3C988869" w:rsidP="0017185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A16D75B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*Projektą arba Jungtinį projektą</w:t>
      </w:r>
      <w:r w:rsidRPr="0A16D75B">
        <w:rPr>
          <w:rStyle w:val="eop"/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4F8CEF77" w14:textId="1B9A2853" w:rsidR="3C988869" w:rsidRDefault="3C988869" w:rsidP="0017185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INFORMACIJA APIE MOKYMĄ* 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971"/>
        <w:gridCol w:w="6066"/>
      </w:tblGrid>
      <w:tr w:rsidR="0A16D75B" w14:paraId="6E0F13B0" w14:textId="77777777" w:rsidTr="00171854">
        <w:trPr>
          <w:trHeight w:val="510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68146AA3" w14:textId="34E19983" w:rsidR="0A16D75B" w:rsidRDefault="0A16D75B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Kurso numeris ir pavadinimas</w:t>
            </w: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F0CF86" w14:textId="6F57F25E" w:rsidR="0A16D75B" w:rsidRDefault="0A16D75B" w:rsidP="00171854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5BC5995C" w14:textId="77777777" w:rsidTr="00171854">
        <w:trPr>
          <w:trHeight w:val="510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71F6F13D" w14:textId="244C64F4" w:rsidR="0A16D75B" w:rsidRDefault="0A16D75B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Grupės numeris</w:t>
            </w: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2C04BE" w14:textId="5148DDBE" w:rsidR="0A16D75B" w:rsidRDefault="0A16D75B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22E1D82F" w14:textId="77777777" w:rsidTr="00171854">
        <w:trPr>
          <w:trHeight w:val="645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61745F89" w14:textId="2315E860" w:rsidR="0A16D75B" w:rsidRDefault="0A16D75B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Mokymų dėstytojas</w:t>
            </w: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88B374" w14:textId="7FF5CCD0" w:rsidR="0A16D75B" w:rsidRDefault="0A16D75B" w:rsidP="00171854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2ED16CB0" w14:textId="77777777" w:rsidTr="00171854">
        <w:trPr>
          <w:trHeight w:val="525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1B095EBB" w14:textId="0196E8C3" w:rsidR="0A16D75B" w:rsidRDefault="0A16D75B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Mokymų vieta</w:t>
            </w: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520D3F" w14:textId="7F7CEF0E" w:rsidR="0A16D75B" w:rsidRDefault="0A16D75B" w:rsidP="00171854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996603" w14:textId="13DD09C2" w:rsidR="3C988869" w:rsidRDefault="3C988869" w:rsidP="00171854">
      <w:pPr>
        <w:pStyle w:val="NoSpacing1"/>
        <w:tabs>
          <w:tab w:val="left" w:pos="851"/>
        </w:tabs>
        <w:spacing w:before="120"/>
        <w:ind w:right="56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*</w:t>
      </w: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Toliau vartojamos sąvokos: </w:t>
      </w:r>
      <w:r w:rsidRPr="0A16D75B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Grupė</w:t>
      </w:r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– dalyvių grupė, vienu metu vienoje vietoje dalyvaujanti mokymuose. </w:t>
      </w:r>
      <w:r w:rsidRPr="0A16D75B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Mokymas</w:t>
      </w:r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(paskaitų, seminarų, konsultacijų ar pan.) kursas ar renginys, t. y. viena kurso diena.</w:t>
      </w:r>
      <w:r w:rsidRPr="0A16D75B">
        <w:rPr>
          <w:rStyle w:val="eop"/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p w14:paraId="60FF43C5" w14:textId="6563DD47" w:rsidR="3C988869" w:rsidRDefault="3C988869" w:rsidP="0017185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MOKYMO (-Ų) DALYVIŲ SĄRAŠAS** </w:t>
      </w:r>
    </w:p>
    <w:p w14:paraId="06EB10BB" w14:textId="06C6CA18" w:rsidR="3C988869" w:rsidRDefault="3C988869" w:rsidP="0017185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Pildoma, kai Mokymo (-ų) dalyvių sąrašas yra rengiamas vienam mokymui (jei A dalis nereikalinga, ištrinti).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5"/>
        <w:gridCol w:w="4845"/>
      </w:tblGrid>
      <w:tr w:rsidR="0A16D75B" w14:paraId="49F1A516" w14:textId="77777777" w:rsidTr="00171854">
        <w:trPr>
          <w:trHeight w:val="52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60" w:type="dxa"/>
              <w:right w:w="60" w:type="dxa"/>
            </w:tcMar>
            <w:vAlign w:val="center"/>
          </w:tcPr>
          <w:p w14:paraId="23B7C616" w14:textId="04D4A5AC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Data***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CC507C" w14:textId="74EC13C6" w:rsidR="0A16D75B" w:rsidRDefault="0A16D75B" w:rsidP="0A16D75B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123E03" w14:textId="48016B36" w:rsidR="0A16D75B" w:rsidRDefault="0A16D75B" w:rsidP="0A16D7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607"/>
        <w:gridCol w:w="2206"/>
        <w:gridCol w:w="2062"/>
        <w:gridCol w:w="2171"/>
        <w:gridCol w:w="1976"/>
      </w:tblGrid>
      <w:tr w:rsidR="0A16D75B" w14:paraId="780A5B31" w14:textId="77777777" w:rsidTr="00171854">
        <w:trPr>
          <w:trHeight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73DE63" w14:textId="4865D568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D58BB4" w14:textId="5981D28F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Dalyvio vardas</w:t>
            </w:r>
          </w:p>
          <w:p w14:paraId="2AF90758" w14:textId="116DB304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C58021" w14:textId="36E77B1E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Dalyvio pavardė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A139D" w14:textId="1701A73A" w:rsidR="0A16D75B" w:rsidRDefault="0A16D75B" w:rsidP="0A16D7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A16D75B">
              <w:rPr>
                <w:rStyle w:val="eop"/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6B043659" w14:textId="0AB497B1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**(pvz., Atstovaujamos </w:t>
            </w:r>
            <w:r w:rsidRPr="0A16D75B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institucijos pavadinimas)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F965FD" w14:textId="68383213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16D75B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Parašas****</w:t>
            </w:r>
            <w:r w:rsidRPr="0A16D75B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A16D75B" w14:paraId="78E27691" w14:textId="77777777" w:rsidTr="00171854">
        <w:trPr>
          <w:trHeight w:val="2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203393" w14:textId="734D4CF8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76FCA" w14:textId="10AA1436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670A1" w14:textId="3E1E7BD4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E5B86C" w14:textId="4D9B7D12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133343" w14:textId="370D55A0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70BBFBE0" w14:textId="77777777" w:rsidTr="00171854">
        <w:trPr>
          <w:trHeight w:val="2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1025B" w14:textId="448EC3C2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EBE3B3" w14:textId="4E4D68D8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28188" w14:textId="6F66B15D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CC0B2A" w14:textId="7332ABEC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541600" w14:textId="60D09D8E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76BD8EFD" w14:textId="77777777" w:rsidTr="00171854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D68AD3" w14:textId="28F7DCDE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E1047" w14:textId="7CC6173E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4C7E31" w14:textId="1B0D83AF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59D5FA" w14:textId="30058427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DFBD3" w14:textId="2C1B16A3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5C1136B4" w14:textId="77777777" w:rsidTr="00171854">
        <w:trPr>
          <w:trHeight w:val="2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397A79" w14:textId="7296AC90" w:rsidR="0A16D75B" w:rsidRDefault="0A16D75B" w:rsidP="0A16D75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D61B5" w14:textId="30DE2304" w:rsidR="0A16D75B" w:rsidRDefault="0A16D75B" w:rsidP="0A16D75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A4496" w14:textId="670ABE08" w:rsidR="0A16D75B" w:rsidRDefault="0A16D75B" w:rsidP="0A16D75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7EDF2" w14:textId="5900B749" w:rsidR="0A16D75B" w:rsidRDefault="0A16D75B" w:rsidP="0A16D75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7215C" w14:textId="2398A226" w:rsidR="0A16D75B" w:rsidRDefault="0A16D75B" w:rsidP="0A16D75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3504E9" w14:textId="4197C95A" w:rsidR="3C988869" w:rsidRDefault="3C988869" w:rsidP="00171854">
      <w:pPr>
        <w:spacing w:after="0"/>
        <w:ind w:left="142" w:right="42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** Prireikus projekto vykdytojas gali A ar B dalyse įterpti daugiau stulpelių, pavyzdžiui „Dalyvio kontaktiniai duomenys“, „Pareigų pavadinimas“, „Atstovaujamos institucijos pavadinimas“, „Nurodoma mokymų data/suteiktų paslaugų data“ ir pan.</w:t>
      </w:r>
      <w:r w:rsidRPr="0A16D75B">
        <w:rPr>
          <w:rStyle w:val="eop"/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p w14:paraId="7E5A88F2" w14:textId="7FD7A67E" w:rsidR="3C988869" w:rsidRDefault="3C988869" w:rsidP="00171854">
      <w:pPr>
        <w:spacing w:after="0"/>
        <w:ind w:left="142" w:right="42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***</w:t>
      </w:r>
      <w:r w:rsidRPr="0A16D75B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soc</w:t>
      </w:r>
      <w:proofErr w:type="spellEnd"/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. paslaugomis,  gali būti nurodomas ataskaitinis laikotarpis (formatu nuo 0000-00-00 iki 0000-00-00).</w:t>
      </w:r>
      <w:r w:rsidRPr="0A16D75B">
        <w:rPr>
          <w:rStyle w:val="eop"/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p w14:paraId="50303328" w14:textId="18384179" w:rsidR="3C988869" w:rsidRDefault="3C988869" w:rsidP="00171854">
      <w:pPr>
        <w:tabs>
          <w:tab w:val="left" w:pos="284"/>
        </w:tabs>
        <w:ind w:left="142" w:right="42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**** Jeigu dalyvis yra mažametis (iki 14 metų), už jį dalyvių sąraše pasirašo vienas iš tėvų arba teisėtas atstovas, nurodydamas pasirašymo/atstovavimo pagrindą (pvz. tėvas, globėjas). Jeigu nei vienas iš tėvų arba teisėtas atstovas mažamečio nelydi , tada pasirašo pats dalyvis. Paslaugos teikėjas sąrašo pabaigoje parašu patvirtina, kad paslaugos buvo suteiktos.</w:t>
      </w:r>
    </w:p>
    <w:p w14:paraId="785A640F" w14:textId="05D395C5" w:rsidR="3C988869" w:rsidRDefault="3C988869" w:rsidP="00171854">
      <w:pPr>
        <w:tabs>
          <w:tab w:val="left" w:pos="284"/>
        </w:tabs>
        <w:ind w:left="142" w:right="42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Jeigu dalyvis dėl negalios ar sveikatos sutrikimų pasirašyti negali, už jį dalyvių sąraše pasirašo teisėtas atstovas, nurodydamas pasirašymo/atstovavimo pagrindą (pvz. tėvas, globėjas). Jeigu teisėtas atstovas dalyvio nelydi, tada pasirašo paslaugos teikėjas (pvz. psichologas, </w:t>
      </w:r>
      <w:proofErr w:type="spellStart"/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soc</w:t>
      </w:r>
      <w:proofErr w:type="spellEnd"/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. darbuotojas ir t.t.), nurodydamas pasirašymo pagrindą. Paslaugos teikėjas sąrašo pabaigoje parašu patvirtina, kad paslaugos buvo suteiktos.</w:t>
      </w:r>
    </w:p>
    <w:p w14:paraId="74AC7715" w14:textId="149FC311" w:rsidR="3C988869" w:rsidRDefault="3C988869" w:rsidP="00171854">
      <w:pPr>
        <w:ind w:left="142" w:righ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6D7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Pildoma, kai Mokymo (-ų) dalyvių sąrašas yra rengiamas daugiau nei vienam mokymui (jei B dalis nereikalinga, ištrinti).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49"/>
        <w:gridCol w:w="964"/>
        <w:gridCol w:w="1015"/>
        <w:gridCol w:w="1401"/>
        <w:gridCol w:w="1344"/>
        <w:gridCol w:w="1344"/>
        <w:gridCol w:w="1344"/>
        <w:gridCol w:w="1344"/>
      </w:tblGrid>
      <w:tr w:rsidR="0A16D75B" w14:paraId="0CFB7706" w14:textId="77777777" w:rsidTr="00171854">
        <w:trPr>
          <w:trHeight w:val="30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2393E9" w14:textId="1CC23502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7F004B" w14:textId="111608D0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Dalyvio vardas</w:t>
            </w:r>
          </w:p>
          <w:p w14:paraId="18B98C36" w14:textId="53C9946B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72FCFE" w14:textId="4AE5C258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Dalyvio pavardė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850D2F" w14:textId="517D5C18" w:rsidR="0A16D75B" w:rsidRPr="00171854" w:rsidRDefault="0A16D75B" w:rsidP="0A16D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(Nurodoma</w:t>
            </w:r>
            <w:r w:rsidRPr="00171854">
              <w:rPr>
                <w:rStyle w:val="eop"/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  <w:p w14:paraId="53BA4FE6" w14:textId="0F31BD34" w:rsidR="0A16D75B" w:rsidRPr="00171854" w:rsidRDefault="0A16D75B" w:rsidP="0A16D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 mokymų data***)  </w:t>
            </w:r>
          </w:p>
          <w:p w14:paraId="5DEB5D8A" w14:textId="4A2645FB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89BE39" w14:textId="5374EEC0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(Nurodoma mokymų data***)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71D3A8" w14:textId="15F31BFE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(Nurodoma mokymų data***)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4D060" w14:textId="7C8CE0B1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(Nurodoma mokymų data***)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73DC40" w14:textId="07712ACA" w:rsidR="0A16D75B" w:rsidRPr="00171854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85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(Nurodoma mokymų data***)</w:t>
            </w:r>
          </w:p>
        </w:tc>
      </w:tr>
      <w:tr w:rsidR="0A16D75B" w14:paraId="4CB0FC76" w14:textId="77777777" w:rsidTr="00171854">
        <w:trPr>
          <w:trHeight w:val="30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D6BA53" w14:textId="03A32E17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61043A" w14:textId="37C9E1DE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BE9BFC" w14:textId="4A34351D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1748A" w14:textId="3A4CAD2C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EC5AB" w14:textId="0D6936D8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459D7" w14:textId="07508498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7C2203" w14:textId="51A71D30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C317D" w14:textId="7590DD73" w:rsidR="0A16D75B" w:rsidRDefault="0A16D75B" w:rsidP="0A16D75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A16D7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(Dalyvio parašas****)</w:t>
            </w:r>
          </w:p>
        </w:tc>
      </w:tr>
      <w:tr w:rsidR="0A16D75B" w14:paraId="6B460456" w14:textId="77777777" w:rsidTr="00171854">
        <w:trPr>
          <w:trHeight w:val="30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7086F1" w14:textId="5ACD2AD7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915CE" w14:textId="4A9DBDB7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F274DF" w14:textId="172A0EBE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44071" w14:textId="47166714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880343" w14:textId="39DE8A16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11A20B" w14:textId="26EA5454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2FF99" w14:textId="14494CEC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85547B" w14:textId="11AA8FAF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3A1ED03C" w14:textId="77777777" w:rsidTr="00171854">
        <w:trPr>
          <w:trHeight w:val="30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10B2C9" w14:textId="43BA11A8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104089" w14:textId="7BEB5208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DBD8A" w14:textId="122E68CF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49941" w14:textId="49450CD6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2E987" w14:textId="5760316A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105097" w14:textId="1519AED1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F8475" w14:textId="4A1BE44D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D5F260" w14:textId="706BB2CF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A16D75B" w14:paraId="27DDA1ED" w14:textId="77777777" w:rsidTr="00171854">
        <w:trPr>
          <w:trHeight w:val="30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7DFE28" w14:textId="3E075799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81A90" w14:textId="0CD5F22E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FE1166" w14:textId="6F4F8B00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AFF93" w14:textId="3E06F410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3678A" w14:textId="3DC41179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8737B3" w14:textId="56F23C5C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3BFB4C" w14:textId="3DB46D66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89B42" w14:textId="7391F9A9" w:rsidR="0A16D75B" w:rsidRDefault="0A16D75B" w:rsidP="0A16D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E4745" w14:textId="08F0EA8E" w:rsidR="3C988869" w:rsidRDefault="3C988869" w:rsidP="00171854">
      <w:pPr>
        <w:tabs>
          <w:tab w:val="left" w:pos="1134"/>
        </w:tabs>
        <w:ind w:left="142" w:right="28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***Data įvedama rankiniu būdu (formatu 0000-00-00). Jeigu mokymai vyksta ne visą dieną, taip pat nurodomas tikslus mokymo pradžios ir pabaigos laikas (formatu 00:00-00:00).</w:t>
      </w:r>
      <w:r w:rsidRPr="0A16D75B">
        <w:rPr>
          <w:rStyle w:val="eop"/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p w14:paraId="46746C8C" w14:textId="4D3E6BD2" w:rsidR="3C988869" w:rsidRDefault="3C988869" w:rsidP="00171854">
      <w:pPr>
        <w:tabs>
          <w:tab w:val="left" w:pos="284"/>
        </w:tabs>
        <w:ind w:left="142" w:right="28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**** Jeigu dalyvis yra mažametis (iki 14 metų), už jį dalyvių sąraše pasirašo vienas iš tėvų arba teisėtas atstovas, nurodydamas pasirašymo/atstovavimo pagrindą. Jeigu nei vienas iš tėvų arba teisėtas atstovas mažamečio nelydi , tada pasirašo pats dalyvis. Paslaugos teikėjas sąrašo pabaigoje parašu patvirtina, kad paslaugos buvo suteiktos.</w:t>
      </w:r>
    </w:p>
    <w:p w14:paraId="745C3913" w14:textId="3A5B92D2" w:rsidR="3C988869" w:rsidRDefault="3C988869" w:rsidP="00171854">
      <w:pPr>
        <w:tabs>
          <w:tab w:val="left" w:pos="284"/>
        </w:tabs>
        <w:ind w:left="142" w:right="28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Jeigu dalyvis dėl negalios ar sveikatos sutrikimų pasirašyti negali, už jį dalyvių sąraše pasirašo teisėtas atstovas, nurodydamas pasirašymo/atstovavimo pagrindą. Jeigu teisėtas atstovas dalyvio nelydi, tada pasirašo paslaugos teikėjas (pvz. psichologas, </w:t>
      </w:r>
      <w:proofErr w:type="spellStart"/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soc</w:t>
      </w:r>
      <w:proofErr w:type="spellEnd"/>
      <w:r w:rsidRPr="0A16D75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. darbuotojas ir t.t.), nurodydamas pasirašymo pagrindą. Paslaugos teikėjas sąrašo pabaigoje parašu patvirtina, kad paslaugos buvo suteiktos.</w:t>
      </w:r>
    </w:p>
    <w:p w14:paraId="4CBF155D" w14:textId="4D774925" w:rsidR="0A16D75B" w:rsidRDefault="0A16D75B" w:rsidP="0A16D75B">
      <w:pPr>
        <w:tabs>
          <w:tab w:val="left" w:pos="480"/>
        </w:tabs>
        <w:spacing w:after="0"/>
        <w:ind w:left="-2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A6EC6C" w14:textId="1624DECE" w:rsidR="0A16D75B" w:rsidRDefault="0A16D75B"/>
    <w:sectPr w:rsidR="0A16D75B" w:rsidSect="00F82DD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60"/>
    <w:multiLevelType w:val="hybridMultilevel"/>
    <w:tmpl w:val="3A6ED7FA"/>
    <w:lvl w:ilvl="0" w:tplc="15E08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803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745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FAE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04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56F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544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78F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600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F1D6DBD"/>
    <w:multiLevelType w:val="hybridMultilevel"/>
    <w:tmpl w:val="7D5A4B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91B91"/>
    <w:multiLevelType w:val="hybridMultilevel"/>
    <w:tmpl w:val="605869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7244C"/>
    <w:multiLevelType w:val="multilevel"/>
    <w:tmpl w:val="892AA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7364C50D"/>
    <w:multiLevelType w:val="hybridMultilevel"/>
    <w:tmpl w:val="CA0E12AE"/>
    <w:lvl w:ilvl="0" w:tplc="0346014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9D2AC67E">
      <w:start w:val="1"/>
      <w:numFmt w:val="lowerLetter"/>
      <w:lvlText w:val="%2."/>
      <w:lvlJc w:val="left"/>
      <w:pPr>
        <w:ind w:left="1440" w:hanging="360"/>
      </w:pPr>
    </w:lvl>
    <w:lvl w:ilvl="2" w:tplc="456233C4">
      <w:start w:val="1"/>
      <w:numFmt w:val="lowerRoman"/>
      <w:lvlText w:val="%3."/>
      <w:lvlJc w:val="right"/>
      <w:pPr>
        <w:ind w:left="2160" w:hanging="180"/>
      </w:pPr>
    </w:lvl>
    <w:lvl w:ilvl="3" w:tplc="68E229BE">
      <w:start w:val="1"/>
      <w:numFmt w:val="decimal"/>
      <w:lvlText w:val="%4."/>
      <w:lvlJc w:val="left"/>
      <w:pPr>
        <w:ind w:left="2880" w:hanging="360"/>
      </w:pPr>
    </w:lvl>
    <w:lvl w:ilvl="4" w:tplc="D0887440">
      <w:start w:val="1"/>
      <w:numFmt w:val="lowerLetter"/>
      <w:lvlText w:val="%5."/>
      <w:lvlJc w:val="left"/>
      <w:pPr>
        <w:ind w:left="3600" w:hanging="360"/>
      </w:pPr>
    </w:lvl>
    <w:lvl w:ilvl="5" w:tplc="5A1EA4AE">
      <w:start w:val="1"/>
      <w:numFmt w:val="lowerRoman"/>
      <w:lvlText w:val="%6."/>
      <w:lvlJc w:val="right"/>
      <w:pPr>
        <w:ind w:left="4320" w:hanging="180"/>
      </w:pPr>
    </w:lvl>
    <w:lvl w:ilvl="6" w:tplc="3D72985C">
      <w:start w:val="1"/>
      <w:numFmt w:val="decimal"/>
      <w:lvlText w:val="%7."/>
      <w:lvlJc w:val="left"/>
      <w:pPr>
        <w:ind w:left="5040" w:hanging="360"/>
      </w:pPr>
    </w:lvl>
    <w:lvl w:ilvl="7" w:tplc="7598BF86">
      <w:start w:val="1"/>
      <w:numFmt w:val="lowerLetter"/>
      <w:lvlText w:val="%8."/>
      <w:lvlJc w:val="left"/>
      <w:pPr>
        <w:ind w:left="5760" w:hanging="360"/>
      </w:pPr>
    </w:lvl>
    <w:lvl w:ilvl="8" w:tplc="0CC669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9A4"/>
    <w:multiLevelType w:val="hybridMultilevel"/>
    <w:tmpl w:val="F14A65C4"/>
    <w:lvl w:ilvl="0" w:tplc="9BBAC9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9663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3F41F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76C8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C609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CA9B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005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6009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67CA9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1387881">
    <w:abstractNumId w:val="4"/>
  </w:num>
  <w:num w:numId="2" w16cid:durableId="1861819058">
    <w:abstractNumId w:val="3"/>
  </w:num>
  <w:num w:numId="3" w16cid:durableId="272441401">
    <w:abstractNumId w:val="2"/>
  </w:num>
  <w:num w:numId="4" w16cid:durableId="435255442">
    <w:abstractNumId w:val="1"/>
  </w:num>
  <w:num w:numId="5" w16cid:durableId="1555317118">
    <w:abstractNumId w:val="5"/>
  </w:num>
  <w:num w:numId="6" w16cid:durableId="1692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9"/>
    <w:rsid w:val="00014D55"/>
    <w:rsid w:val="000433D6"/>
    <w:rsid w:val="0006635D"/>
    <w:rsid w:val="00067D00"/>
    <w:rsid w:val="0008207C"/>
    <w:rsid w:val="00097CC2"/>
    <w:rsid w:val="000D67E5"/>
    <w:rsid w:val="000F0931"/>
    <w:rsid w:val="0014507E"/>
    <w:rsid w:val="001454E9"/>
    <w:rsid w:val="00171854"/>
    <w:rsid w:val="00191974"/>
    <w:rsid w:val="001A08F2"/>
    <w:rsid w:val="001E048E"/>
    <w:rsid w:val="001E4008"/>
    <w:rsid w:val="001F2ADF"/>
    <w:rsid w:val="001F4861"/>
    <w:rsid w:val="001F6DCB"/>
    <w:rsid w:val="001F7915"/>
    <w:rsid w:val="00204BD0"/>
    <w:rsid w:val="002204C8"/>
    <w:rsid w:val="002327D5"/>
    <w:rsid w:val="00233283"/>
    <w:rsid w:val="00237943"/>
    <w:rsid w:val="00241375"/>
    <w:rsid w:val="00276C0F"/>
    <w:rsid w:val="002825DD"/>
    <w:rsid w:val="00293AD8"/>
    <w:rsid w:val="002D6BB4"/>
    <w:rsid w:val="00316606"/>
    <w:rsid w:val="0032565F"/>
    <w:rsid w:val="00345E13"/>
    <w:rsid w:val="00385E0F"/>
    <w:rsid w:val="003A0B0E"/>
    <w:rsid w:val="003B6743"/>
    <w:rsid w:val="003D4124"/>
    <w:rsid w:val="003F1579"/>
    <w:rsid w:val="00407C50"/>
    <w:rsid w:val="004167F1"/>
    <w:rsid w:val="0042117F"/>
    <w:rsid w:val="00435738"/>
    <w:rsid w:val="00447269"/>
    <w:rsid w:val="00466ABC"/>
    <w:rsid w:val="004807F0"/>
    <w:rsid w:val="00480FBD"/>
    <w:rsid w:val="0049033B"/>
    <w:rsid w:val="004A030F"/>
    <w:rsid w:val="004B2A6E"/>
    <w:rsid w:val="004B3870"/>
    <w:rsid w:val="00504B19"/>
    <w:rsid w:val="00542E1C"/>
    <w:rsid w:val="005465AD"/>
    <w:rsid w:val="0056650E"/>
    <w:rsid w:val="00613B6F"/>
    <w:rsid w:val="00615438"/>
    <w:rsid w:val="0063719C"/>
    <w:rsid w:val="00655072"/>
    <w:rsid w:val="006634EA"/>
    <w:rsid w:val="00682C2F"/>
    <w:rsid w:val="0068641F"/>
    <w:rsid w:val="00686972"/>
    <w:rsid w:val="006979D6"/>
    <w:rsid w:val="006C5F5C"/>
    <w:rsid w:val="00700F9D"/>
    <w:rsid w:val="007270AD"/>
    <w:rsid w:val="007320F1"/>
    <w:rsid w:val="00754211"/>
    <w:rsid w:val="00754ECC"/>
    <w:rsid w:val="00755DDA"/>
    <w:rsid w:val="00764D7B"/>
    <w:rsid w:val="00797359"/>
    <w:rsid w:val="007A5C96"/>
    <w:rsid w:val="007F1B45"/>
    <w:rsid w:val="007F2320"/>
    <w:rsid w:val="007F32BE"/>
    <w:rsid w:val="007F7C70"/>
    <w:rsid w:val="008278E0"/>
    <w:rsid w:val="00855416"/>
    <w:rsid w:val="00881D11"/>
    <w:rsid w:val="008A4B75"/>
    <w:rsid w:val="008B600D"/>
    <w:rsid w:val="008C166F"/>
    <w:rsid w:val="008D757F"/>
    <w:rsid w:val="008E399D"/>
    <w:rsid w:val="0096243B"/>
    <w:rsid w:val="00967660"/>
    <w:rsid w:val="009A5E11"/>
    <w:rsid w:val="009A7217"/>
    <w:rsid w:val="009B0DFD"/>
    <w:rsid w:val="009D3303"/>
    <w:rsid w:val="00A014E6"/>
    <w:rsid w:val="00A22835"/>
    <w:rsid w:val="00AA025D"/>
    <w:rsid w:val="00AA3C78"/>
    <w:rsid w:val="00AB5782"/>
    <w:rsid w:val="00AC2712"/>
    <w:rsid w:val="00AC726A"/>
    <w:rsid w:val="00B031BD"/>
    <w:rsid w:val="00B036BC"/>
    <w:rsid w:val="00B1596E"/>
    <w:rsid w:val="00B253C5"/>
    <w:rsid w:val="00B258C2"/>
    <w:rsid w:val="00B32203"/>
    <w:rsid w:val="00B378D8"/>
    <w:rsid w:val="00B73A00"/>
    <w:rsid w:val="00B81CFF"/>
    <w:rsid w:val="00B827AD"/>
    <w:rsid w:val="00BC6EF4"/>
    <w:rsid w:val="00BD7DE5"/>
    <w:rsid w:val="00BE3C0F"/>
    <w:rsid w:val="00BF261C"/>
    <w:rsid w:val="00C14784"/>
    <w:rsid w:val="00C21523"/>
    <w:rsid w:val="00C30036"/>
    <w:rsid w:val="00C33E8C"/>
    <w:rsid w:val="00C5675E"/>
    <w:rsid w:val="00C82EF8"/>
    <w:rsid w:val="00C96C45"/>
    <w:rsid w:val="00CD0842"/>
    <w:rsid w:val="00D013D0"/>
    <w:rsid w:val="00D11517"/>
    <w:rsid w:val="00D167FD"/>
    <w:rsid w:val="00D16860"/>
    <w:rsid w:val="00D403A5"/>
    <w:rsid w:val="00D453ED"/>
    <w:rsid w:val="00D6480B"/>
    <w:rsid w:val="00D73BFB"/>
    <w:rsid w:val="00D755D6"/>
    <w:rsid w:val="00D762C8"/>
    <w:rsid w:val="00DA064C"/>
    <w:rsid w:val="00DA0E80"/>
    <w:rsid w:val="00DA69A9"/>
    <w:rsid w:val="00DF6165"/>
    <w:rsid w:val="00E34B2A"/>
    <w:rsid w:val="00E4207C"/>
    <w:rsid w:val="00E52C07"/>
    <w:rsid w:val="00E60BF5"/>
    <w:rsid w:val="00E63299"/>
    <w:rsid w:val="00E63377"/>
    <w:rsid w:val="00E71BF6"/>
    <w:rsid w:val="00E844A0"/>
    <w:rsid w:val="00E967F5"/>
    <w:rsid w:val="00EA01F3"/>
    <w:rsid w:val="00EA5ECE"/>
    <w:rsid w:val="00EA639F"/>
    <w:rsid w:val="00EB0AFF"/>
    <w:rsid w:val="00EC6CB5"/>
    <w:rsid w:val="00ED0242"/>
    <w:rsid w:val="00ED4AB5"/>
    <w:rsid w:val="00ED7397"/>
    <w:rsid w:val="00F1707A"/>
    <w:rsid w:val="00F201F6"/>
    <w:rsid w:val="00F20910"/>
    <w:rsid w:val="00F24C74"/>
    <w:rsid w:val="00F4224F"/>
    <w:rsid w:val="00F46693"/>
    <w:rsid w:val="00F82DD9"/>
    <w:rsid w:val="00FA1BB5"/>
    <w:rsid w:val="00FA2A1B"/>
    <w:rsid w:val="00FC06B7"/>
    <w:rsid w:val="00FF2CFF"/>
    <w:rsid w:val="014BE808"/>
    <w:rsid w:val="02D47E9A"/>
    <w:rsid w:val="042886C2"/>
    <w:rsid w:val="04441FF3"/>
    <w:rsid w:val="04B5E964"/>
    <w:rsid w:val="054BF9C1"/>
    <w:rsid w:val="05714339"/>
    <w:rsid w:val="05EBD751"/>
    <w:rsid w:val="0709433F"/>
    <w:rsid w:val="08EEB96E"/>
    <w:rsid w:val="094DF2AB"/>
    <w:rsid w:val="09C45730"/>
    <w:rsid w:val="09DB8E9B"/>
    <w:rsid w:val="0A16D75B"/>
    <w:rsid w:val="0B7762E6"/>
    <w:rsid w:val="0B824A4B"/>
    <w:rsid w:val="0B8B0F97"/>
    <w:rsid w:val="0CC398EA"/>
    <w:rsid w:val="0D3E7EAB"/>
    <w:rsid w:val="0D8C934D"/>
    <w:rsid w:val="10C9D41C"/>
    <w:rsid w:val="12C1208C"/>
    <w:rsid w:val="12DE48B1"/>
    <w:rsid w:val="16763316"/>
    <w:rsid w:val="1A1F2A5C"/>
    <w:rsid w:val="1B8B9ED9"/>
    <w:rsid w:val="1C086817"/>
    <w:rsid w:val="1C45CB85"/>
    <w:rsid w:val="1F1C566B"/>
    <w:rsid w:val="20D5F9D2"/>
    <w:rsid w:val="232D47B7"/>
    <w:rsid w:val="23A19FF8"/>
    <w:rsid w:val="25DECABC"/>
    <w:rsid w:val="271A17BF"/>
    <w:rsid w:val="2771845D"/>
    <w:rsid w:val="2789F57F"/>
    <w:rsid w:val="28431432"/>
    <w:rsid w:val="29E1B7AC"/>
    <w:rsid w:val="2F21D8B3"/>
    <w:rsid w:val="31D8CA46"/>
    <w:rsid w:val="36FE7D3C"/>
    <w:rsid w:val="3AAE5861"/>
    <w:rsid w:val="3AB00E8A"/>
    <w:rsid w:val="3BCEE765"/>
    <w:rsid w:val="3C0A2722"/>
    <w:rsid w:val="3C988869"/>
    <w:rsid w:val="4227F26A"/>
    <w:rsid w:val="427DD6B8"/>
    <w:rsid w:val="44BC05DC"/>
    <w:rsid w:val="4596C33B"/>
    <w:rsid w:val="45D064CC"/>
    <w:rsid w:val="474CB47E"/>
    <w:rsid w:val="48A1E4CD"/>
    <w:rsid w:val="497F719E"/>
    <w:rsid w:val="4AEC9CBA"/>
    <w:rsid w:val="4B468363"/>
    <w:rsid w:val="4C17438A"/>
    <w:rsid w:val="4CCFD819"/>
    <w:rsid w:val="4F58DE6E"/>
    <w:rsid w:val="55F1D6E5"/>
    <w:rsid w:val="59C181FF"/>
    <w:rsid w:val="5A536BF3"/>
    <w:rsid w:val="5C648002"/>
    <w:rsid w:val="5CDA725B"/>
    <w:rsid w:val="5DE43E10"/>
    <w:rsid w:val="608AC677"/>
    <w:rsid w:val="60E56568"/>
    <w:rsid w:val="6158C3CC"/>
    <w:rsid w:val="61BE66C4"/>
    <w:rsid w:val="63098492"/>
    <w:rsid w:val="640F93D7"/>
    <w:rsid w:val="649911DE"/>
    <w:rsid w:val="6629E82D"/>
    <w:rsid w:val="66828F0A"/>
    <w:rsid w:val="67A98B79"/>
    <w:rsid w:val="69854E5F"/>
    <w:rsid w:val="69E3B9FF"/>
    <w:rsid w:val="6DC6A9E0"/>
    <w:rsid w:val="6F536E8E"/>
    <w:rsid w:val="717123EB"/>
    <w:rsid w:val="73330CE1"/>
    <w:rsid w:val="73FE12A9"/>
    <w:rsid w:val="77B74AEF"/>
    <w:rsid w:val="7B8A5E75"/>
    <w:rsid w:val="7C16BE58"/>
    <w:rsid w:val="7C95DBDD"/>
    <w:rsid w:val="7CEC7E28"/>
    <w:rsid w:val="7FA34C98"/>
    <w:rsid w:val="7FB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B010"/>
  <w15:chartTrackingRefBased/>
  <w15:docId w15:val="{078C04C7-9667-42D1-960E-6B73C81F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A16D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link w:val="Heading2Char"/>
    <w:uiPriority w:val="9"/>
    <w:semiHidden/>
    <w:unhideWhenUsed/>
    <w:qFormat/>
    <w:rsid w:val="0A16D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link w:val="Heading3Char"/>
    <w:uiPriority w:val="9"/>
    <w:semiHidden/>
    <w:unhideWhenUsed/>
    <w:qFormat/>
    <w:rsid w:val="0A16D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link w:val="Heading4Char"/>
    <w:uiPriority w:val="9"/>
    <w:semiHidden/>
    <w:unhideWhenUsed/>
    <w:qFormat/>
    <w:rsid w:val="0A16D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link w:val="Heading5Char"/>
    <w:uiPriority w:val="9"/>
    <w:semiHidden/>
    <w:unhideWhenUsed/>
    <w:qFormat/>
    <w:rsid w:val="0A16D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link w:val="Heading6Char"/>
    <w:uiPriority w:val="9"/>
    <w:semiHidden/>
    <w:unhideWhenUsed/>
    <w:qFormat/>
    <w:rsid w:val="0A16D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link w:val="Heading7Char"/>
    <w:uiPriority w:val="9"/>
    <w:semiHidden/>
    <w:unhideWhenUsed/>
    <w:qFormat/>
    <w:rsid w:val="0A16D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A16D75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link w:val="Heading9Char"/>
    <w:uiPriority w:val="9"/>
    <w:semiHidden/>
    <w:unhideWhenUsed/>
    <w:qFormat/>
    <w:rsid w:val="0A16D75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A16D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A16D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A16D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A16D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0A16D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0A16D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0A16D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0A16D75B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A16D75B"/>
    <w:rPr>
      <w:rFonts w:eastAsiaTheme="majorEastAsia" w:cstheme="majorBidi"/>
      <w:color w:val="272727"/>
    </w:rPr>
  </w:style>
  <w:style w:type="paragraph" w:styleId="Title">
    <w:name w:val="Title"/>
    <w:link w:val="TitleChar"/>
    <w:uiPriority w:val="10"/>
    <w:qFormat/>
    <w:rsid w:val="0A16D75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link w:val="Title"/>
    <w:uiPriority w:val="10"/>
    <w:rsid w:val="0A16D75B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link w:val="SubtitleChar"/>
    <w:uiPriority w:val="11"/>
    <w:qFormat/>
    <w:rsid w:val="0A16D75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link w:val="Subtitle"/>
    <w:uiPriority w:val="11"/>
    <w:rsid w:val="0A16D75B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link w:val="QuoteChar"/>
    <w:uiPriority w:val="29"/>
    <w:qFormat/>
    <w:rsid w:val="0A16D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A16D75B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A16D75B"/>
    <w:pPr>
      <w:ind w:left="720"/>
      <w:contextualSpacing/>
    </w:pPr>
  </w:style>
  <w:style w:type="character" w:styleId="IntenseEmphasis">
    <w:name w:val="Intense Emphasis"/>
    <w:uiPriority w:val="21"/>
    <w:qFormat/>
    <w:rsid w:val="0A16D75B"/>
    <w:rPr>
      <w:i/>
      <w:iCs/>
      <w:color w:val="0F4761" w:themeColor="accent1" w:themeShade="BF"/>
    </w:rPr>
  </w:style>
  <w:style w:type="paragraph" w:styleId="IntenseQuote">
    <w:name w:val="Intense Quote"/>
    <w:link w:val="IntenseQuoteChar"/>
    <w:uiPriority w:val="30"/>
    <w:qFormat/>
    <w:rsid w:val="0A16D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link w:val="IntenseQuote"/>
    <w:uiPriority w:val="30"/>
    <w:rsid w:val="0A16D75B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0A16D75B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semiHidden/>
    <w:unhideWhenUsed/>
    <w:rsid w:val="0A16D75B"/>
    <w:rPr>
      <w:color w:val="0000FF"/>
      <w:u w:val="single"/>
    </w:rPr>
  </w:style>
  <w:style w:type="character" w:customStyle="1" w:styleId="normaltextrun">
    <w:name w:val="normaltextrun"/>
    <w:uiPriority w:val="1"/>
    <w:rsid w:val="0A16D75B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uiPriority w:val="1"/>
    <w:rsid w:val="0A16D75B"/>
    <w:rPr>
      <w:rFonts w:asciiTheme="minorHAnsi" w:eastAsiaTheme="minorEastAsia" w:hAnsiTheme="minorHAnsi" w:cstheme="minorBidi"/>
      <w:sz w:val="22"/>
      <w:szCs w:val="22"/>
    </w:rPr>
  </w:style>
  <w:style w:type="paragraph" w:customStyle="1" w:styleId="NoSpacing1">
    <w:name w:val="No Spacing1"/>
    <w:uiPriority w:val="1"/>
    <w:qFormat/>
    <w:rsid w:val="0A16D75B"/>
    <w:rPr>
      <w:rFonts w:eastAsiaTheme="minorEastAsi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F09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D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1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FCC9EA4B4DE0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B62E-E6E0-4F40-A4CA-490CD5F1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Giruckas</dc:creator>
  <cp:keywords/>
  <dc:description/>
  <cp:lastModifiedBy>Edita Ališauskaitė Vorožeikinienė</cp:lastModifiedBy>
  <cp:revision>6</cp:revision>
  <dcterms:created xsi:type="dcterms:W3CDTF">2026-06-04T09:36:00Z</dcterms:created>
  <dcterms:modified xsi:type="dcterms:W3CDTF">2026-06-16T11:42:00Z</dcterms:modified>
</cp:coreProperties>
</file>