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04FC"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6F8ED870" w14:textId="77777777" w:rsidR="005A5832" w:rsidRDefault="005A5832">
      <w:pPr>
        <w:rPr>
          <w:sz w:val="14"/>
          <w:szCs w:val="14"/>
        </w:rPr>
      </w:pPr>
    </w:p>
    <w:p w14:paraId="561236ED" w14:textId="77777777" w:rsidR="005A5832" w:rsidRPr="00A10867" w:rsidRDefault="00A10867">
      <w:pPr>
        <w:ind w:left="6375"/>
        <w:textAlignment w:val="baseline"/>
        <w:rPr>
          <w:sz w:val="18"/>
          <w:szCs w:val="18"/>
        </w:rPr>
      </w:pPr>
      <w:r w:rsidRPr="00A10867">
        <w:rPr>
          <w:szCs w:val="24"/>
        </w:rPr>
        <w:t>PATVIRTINTA </w:t>
      </w:r>
    </w:p>
    <w:p w14:paraId="13D1F93E"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79537C8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DCA84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62F601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018ED54" w14:textId="77777777">
        <w:tc>
          <w:tcPr>
            <w:tcW w:w="2448" w:type="dxa"/>
          </w:tcPr>
          <w:p w14:paraId="52852439" w14:textId="77777777" w:rsidR="005A5832" w:rsidRDefault="00A10867">
            <w:pPr>
              <w:jc w:val="both"/>
              <w:rPr>
                <w:b/>
                <w:bCs/>
                <w:kern w:val="2"/>
                <w:szCs w:val="24"/>
              </w:rPr>
            </w:pPr>
            <w:r>
              <w:rPr>
                <w:b/>
                <w:bCs/>
                <w:kern w:val="2"/>
                <w:szCs w:val="24"/>
              </w:rPr>
              <w:t>Sutarties pavadinimas</w:t>
            </w:r>
          </w:p>
        </w:tc>
        <w:tc>
          <w:tcPr>
            <w:tcW w:w="7110" w:type="dxa"/>
            <w:gridSpan w:val="3"/>
          </w:tcPr>
          <w:p w14:paraId="58CB7373" w14:textId="404A9648" w:rsidR="005A5832" w:rsidRPr="00F4343E" w:rsidRDefault="00200E9C">
            <w:pPr>
              <w:jc w:val="both"/>
              <w:rPr>
                <w:kern w:val="2"/>
                <w:szCs w:val="24"/>
              </w:rPr>
            </w:pPr>
            <w:r>
              <w:rPr>
                <w:kern w:val="2"/>
                <w:szCs w:val="24"/>
              </w:rPr>
              <w:t>Suskystintos naftos d</w:t>
            </w:r>
            <w:r w:rsidR="007E3436">
              <w:rPr>
                <w:kern w:val="2"/>
                <w:szCs w:val="24"/>
              </w:rPr>
              <w:t>ujos</w:t>
            </w:r>
          </w:p>
        </w:tc>
      </w:tr>
      <w:tr w:rsidR="005A5832" w14:paraId="28DC836B" w14:textId="77777777">
        <w:tc>
          <w:tcPr>
            <w:tcW w:w="2448" w:type="dxa"/>
          </w:tcPr>
          <w:p w14:paraId="27556E3C" w14:textId="77777777" w:rsidR="005A5832" w:rsidRDefault="00A10867">
            <w:pPr>
              <w:jc w:val="both"/>
              <w:rPr>
                <w:b/>
                <w:bCs/>
                <w:kern w:val="2"/>
                <w:szCs w:val="24"/>
              </w:rPr>
            </w:pPr>
            <w:r>
              <w:rPr>
                <w:b/>
                <w:bCs/>
                <w:kern w:val="2"/>
                <w:szCs w:val="24"/>
              </w:rPr>
              <w:t>Sutarties data</w:t>
            </w:r>
          </w:p>
        </w:tc>
        <w:tc>
          <w:tcPr>
            <w:tcW w:w="2177" w:type="dxa"/>
          </w:tcPr>
          <w:p w14:paraId="1372A88D" w14:textId="77777777" w:rsidR="005A5832" w:rsidRDefault="005A5832">
            <w:pPr>
              <w:jc w:val="both"/>
              <w:rPr>
                <w:kern w:val="2"/>
                <w:szCs w:val="24"/>
              </w:rPr>
            </w:pPr>
          </w:p>
        </w:tc>
        <w:tc>
          <w:tcPr>
            <w:tcW w:w="2362" w:type="dxa"/>
          </w:tcPr>
          <w:p w14:paraId="30B8D7E7" w14:textId="77777777" w:rsidR="005A5832" w:rsidRDefault="00A10867">
            <w:pPr>
              <w:jc w:val="both"/>
              <w:rPr>
                <w:b/>
                <w:bCs/>
                <w:kern w:val="2"/>
                <w:szCs w:val="24"/>
              </w:rPr>
            </w:pPr>
            <w:r>
              <w:rPr>
                <w:b/>
                <w:bCs/>
                <w:kern w:val="2"/>
                <w:szCs w:val="24"/>
              </w:rPr>
              <w:t>Sutarties numeris</w:t>
            </w:r>
          </w:p>
        </w:tc>
        <w:tc>
          <w:tcPr>
            <w:tcW w:w="2571" w:type="dxa"/>
          </w:tcPr>
          <w:p w14:paraId="3E3F98FA" w14:textId="77777777" w:rsidR="005A5832" w:rsidRDefault="005A5832">
            <w:pPr>
              <w:jc w:val="both"/>
              <w:rPr>
                <w:kern w:val="2"/>
                <w:szCs w:val="24"/>
              </w:rPr>
            </w:pPr>
          </w:p>
        </w:tc>
      </w:tr>
    </w:tbl>
    <w:p w14:paraId="2EAA561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5AD00B6" w14:textId="77777777">
        <w:tc>
          <w:tcPr>
            <w:tcW w:w="9558" w:type="dxa"/>
            <w:gridSpan w:val="3"/>
          </w:tcPr>
          <w:p w14:paraId="57B6AA38" w14:textId="77777777" w:rsidR="005A5832" w:rsidRDefault="00A10867">
            <w:pPr>
              <w:jc w:val="center"/>
              <w:rPr>
                <w:b/>
                <w:bCs/>
                <w:kern w:val="2"/>
                <w:szCs w:val="24"/>
              </w:rPr>
            </w:pPr>
            <w:r>
              <w:rPr>
                <w:b/>
                <w:bCs/>
                <w:kern w:val="2"/>
                <w:szCs w:val="24"/>
              </w:rPr>
              <w:t>1. SUTARTIES ŠALYS</w:t>
            </w:r>
          </w:p>
        </w:tc>
      </w:tr>
      <w:tr w:rsidR="005A5832" w14:paraId="73E0D291" w14:textId="77777777">
        <w:tc>
          <w:tcPr>
            <w:tcW w:w="2808" w:type="dxa"/>
            <w:vMerge w:val="restart"/>
          </w:tcPr>
          <w:p w14:paraId="2900FBD8" w14:textId="77777777" w:rsidR="005A5832" w:rsidRDefault="005A5832">
            <w:pPr>
              <w:jc w:val="center"/>
              <w:rPr>
                <w:b/>
                <w:bCs/>
                <w:kern w:val="2"/>
                <w:szCs w:val="24"/>
              </w:rPr>
            </w:pPr>
          </w:p>
          <w:p w14:paraId="25CA4A03" w14:textId="77777777" w:rsidR="005A5832" w:rsidRDefault="005A5832">
            <w:pPr>
              <w:jc w:val="center"/>
              <w:rPr>
                <w:b/>
                <w:bCs/>
                <w:kern w:val="2"/>
                <w:szCs w:val="24"/>
              </w:rPr>
            </w:pPr>
          </w:p>
          <w:p w14:paraId="5C8625F0" w14:textId="77777777" w:rsidR="005A5832" w:rsidRDefault="005A5832">
            <w:pPr>
              <w:jc w:val="center"/>
              <w:rPr>
                <w:b/>
                <w:bCs/>
                <w:kern w:val="2"/>
                <w:szCs w:val="24"/>
              </w:rPr>
            </w:pPr>
          </w:p>
          <w:p w14:paraId="216A41A7" w14:textId="77777777" w:rsidR="005A5832" w:rsidRDefault="005A5832">
            <w:pPr>
              <w:rPr>
                <w:b/>
                <w:bCs/>
                <w:kern w:val="2"/>
                <w:szCs w:val="24"/>
              </w:rPr>
            </w:pPr>
          </w:p>
          <w:p w14:paraId="046578DE" w14:textId="77777777" w:rsidR="005A5832" w:rsidRDefault="00A10867">
            <w:pPr>
              <w:rPr>
                <w:b/>
                <w:bCs/>
                <w:kern w:val="2"/>
                <w:szCs w:val="24"/>
              </w:rPr>
            </w:pPr>
            <w:r>
              <w:rPr>
                <w:b/>
                <w:bCs/>
                <w:kern w:val="2"/>
                <w:szCs w:val="24"/>
              </w:rPr>
              <w:t>1.1. Pirkėjas</w:t>
            </w:r>
          </w:p>
        </w:tc>
        <w:tc>
          <w:tcPr>
            <w:tcW w:w="3240" w:type="dxa"/>
          </w:tcPr>
          <w:p w14:paraId="43DA7DEB" w14:textId="77777777" w:rsidR="005A5832" w:rsidRPr="00F4343E" w:rsidRDefault="00A10867">
            <w:pPr>
              <w:rPr>
                <w:kern w:val="2"/>
                <w:szCs w:val="24"/>
              </w:rPr>
            </w:pPr>
            <w:r w:rsidRPr="00F4343E">
              <w:rPr>
                <w:kern w:val="2"/>
                <w:szCs w:val="24"/>
              </w:rPr>
              <w:t>1.1.1. Pavadinimas</w:t>
            </w:r>
          </w:p>
        </w:tc>
        <w:tc>
          <w:tcPr>
            <w:tcW w:w="3510" w:type="dxa"/>
          </w:tcPr>
          <w:p w14:paraId="301D6CB9" w14:textId="77777777" w:rsidR="002C2FDC" w:rsidRDefault="002861FB">
            <w:r>
              <w:t>Paberžės socialinės globos namai</w:t>
            </w:r>
          </w:p>
        </w:tc>
      </w:tr>
      <w:tr w:rsidR="005A5832" w14:paraId="5B791FBA" w14:textId="77777777">
        <w:tc>
          <w:tcPr>
            <w:tcW w:w="2808" w:type="dxa"/>
            <w:vMerge/>
          </w:tcPr>
          <w:p w14:paraId="12FAEAF5" w14:textId="77777777" w:rsidR="005A5832" w:rsidRDefault="005A5832">
            <w:pPr>
              <w:rPr>
                <w:kern w:val="2"/>
                <w:szCs w:val="24"/>
              </w:rPr>
            </w:pPr>
          </w:p>
        </w:tc>
        <w:tc>
          <w:tcPr>
            <w:tcW w:w="3240" w:type="dxa"/>
          </w:tcPr>
          <w:p w14:paraId="3F146A3B" w14:textId="77777777" w:rsidR="005A5832" w:rsidRPr="00F4343E" w:rsidRDefault="00A10867">
            <w:pPr>
              <w:rPr>
                <w:kern w:val="2"/>
                <w:szCs w:val="24"/>
              </w:rPr>
            </w:pPr>
            <w:r w:rsidRPr="00F4343E">
              <w:rPr>
                <w:kern w:val="2"/>
                <w:szCs w:val="24"/>
              </w:rPr>
              <w:t>1.1.2. Juridinio asmens kodas</w:t>
            </w:r>
          </w:p>
        </w:tc>
        <w:tc>
          <w:tcPr>
            <w:tcW w:w="3510" w:type="dxa"/>
          </w:tcPr>
          <w:p w14:paraId="0D3C403D" w14:textId="77777777" w:rsidR="002C2FDC" w:rsidRDefault="002861FB">
            <w:r>
              <w:t>300625955</w:t>
            </w:r>
          </w:p>
        </w:tc>
      </w:tr>
      <w:tr w:rsidR="005A5832" w14:paraId="606E0B9F" w14:textId="77777777">
        <w:tc>
          <w:tcPr>
            <w:tcW w:w="2808" w:type="dxa"/>
            <w:vMerge/>
          </w:tcPr>
          <w:p w14:paraId="50C30BEB" w14:textId="77777777" w:rsidR="005A5832" w:rsidRDefault="005A5832">
            <w:pPr>
              <w:rPr>
                <w:kern w:val="2"/>
                <w:szCs w:val="24"/>
              </w:rPr>
            </w:pPr>
          </w:p>
        </w:tc>
        <w:tc>
          <w:tcPr>
            <w:tcW w:w="3240" w:type="dxa"/>
          </w:tcPr>
          <w:p w14:paraId="65AD1F0B" w14:textId="77777777" w:rsidR="005A5832" w:rsidRPr="00F4343E" w:rsidRDefault="00A10867">
            <w:pPr>
              <w:rPr>
                <w:kern w:val="2"/>
                <w:szCs w:val="24"/>
              </w:rPr>
            </w:pPr>
            <w:r w:rsidRPr="00F4343E">
              <w:rPr>
                <w:kern w:val="2"/>
                <w:szCs w:val="24"/>
              </w:rPr>
              <w:t>1.1.3. Adresas</w:t>
            </w:r>
          </w:p>
        </w:tc>
        <w:tc>
          <w:tcPr>
            <w:tcW w:w="3510" w:type="dxa"/>
          </w:tcPr>
          <w:p w14:paraId="3D8CDFAF" w14:textId="77777777" w:rsidR="002C2FDC" w:rsidRDefault="002861FB">
            <w:r>
              <w:t xml:space="preserve">Darbininkų g. 16, </w:t>
            </w:r>
            <w:proofErr w:type="spellStart"/>
            <w:r>
              <w:t>Lygialaukio</w:t>
            </w:r>
            <w:proofErr w:type="spellEnd"/>
            <w:r>
              <w:t xml:space="preserve"> k., Paberžės sen., Vilniaus r. sav.</w:t>
            </w:r>
          </w:p>
        </w:tc>
      </w:tr>
      <w:tr w:rsidR="005A5832" w14:paraId="5D02FBF9" w14:textId="77777777">
        <w:tc>
          <w:tcPr>
            <w:tcW w:w="2808" w:type="dxa"/>
            <w:vMerge/>
          </w:tcPr>
          <w:p w14:paraId="78C0C4CD" w14:textId="77777777" w:rsidR="005A5832" w:rsidRDefault="005A5832">
            <w:pPr>
              <w:rPr>
                <w:kern w:val="2"/>
                <w:szCs w:val="24"/>
              </w:rPr>
            </w:pPr>
          </w:p>
        </w:tc>
        <w:tc>
          <w:tcPr>
            <w:tcW w:w="3240" w:type="dxa"/>
          </w:tcPr>
          <w:p w14:paraId="164AD7D9" w14:textId="77777777" w:rsidR="005A5832" w:rsidRPr="00F4343E" w:rsidRDefault="00A10867">
            <w:pPr>
              <w:rPr>
                <w:kern w:val="2"/>
                <w:szCs w:val="24"/>
              </w:rPr>
            </w:pPr>
            <w:r w:rsidRPr="00F4343E">
              <w:rPr>
                <w:kern w:val="2"/>
                <w:szCs w:val="24"/>
              </w:rPr>
              <w:t>1.1.4. PVM mokėtojo kodas</w:t>
            </w:r>
          </w:p>
        </w:tc>
        <w:tc>
          <w:tcPr>
            <w:tcW w:w="3510" w:type="dxa"/>
          </w:tcPr>
          <w:p w14:paraId="50475E8C" w14:textId="77777777" w:rsidR="002C2FDC" w:rsidRDefault="002C2FDC"/>
        </w:tc>
      </w:tr>
      <w:tr w:rsidR="005A5832" w14:paraId="2B2F4D2F" w14:textId="77777777">
        <w:tc>
          <w:tcPr>
            <w:tcW w:w="2808" w:type="dxa"/>
            <w:vMerge/>
          </w:tcPr>
          <w:p w14:paraId="56895480" w14:textId="77777777" w:rsidR="005A5832" w:rsidRDefault="005A5832">
            <w:pPr>
              <w:rPr>
                <w:kern w:val="2"/>
                <w:szCs w:val="24"/>
              </w:rPr>
            </w:pPr>
          </w:p>
        </w:tc>
        <w:tc>
          <w:tcPr>
            <w:tcW w:w="3240" w:type="dxa"/>
          </w:tcPr>
          <w:p w14:paraId="6D7B928E" w14:textId="77777777" w:rsidR="005A5832" w:rsidRPr="00F4343E" w:rsidRDefault="00A10867">
            <w:pPr>
              <w:rPr>
                <w:kern w:val="2"/>
                <w:szCs w:val="24"/>
              </w:rPr>
            </w:pPr>
            <w:r w:rsidRPr="00F4343E">
              <w:rPr>
                <w:kern w:val="2"/>
                <w:szCs w:val="24"/>
              </w:rPr>
              <w:t>1.1.5. Atsiskaitomoji sąskaita</w:t>
            </w:r>
          </w:p>
        </w:tc>
        <w:tc>
          <w:tcPr>
            <w:tcW w:w="3510" w:type="dxa"/>
          </w:tcPr>
          <w:p w14:paraId="38B24C8B" w14:textId="77777777" w:rsidR="002C2FDC" w:rsidRDefault="002861FB">
            <w:r>
              <w:t>LT 384010042401815631</w:t>
            </w:r>
          </w:p>
        </w:tc>
      </w:tr>
      <w:tr w:rsidR="005A5832" w14:paraId="6A7890EE" w14:textId="77777777">
        <w:tc>
          <w:tcPr>
            <w:tcW w:w="2808" w:type="dxa"/>
            <w:vMerge/>
          </w:tcPr>
          <w:p w14:paraId="50B0D200" w14:textId="77777777" w:rsidR="005A5832" w:rsidRDefault="005A5832">
            <w:pPr>
              <w:rPr>
                <w:kern w:val="2"/>
                <w:szCs w:val="24"/>
              </w:rPr>
            </w:pPr>
          </w:p>
        </w:tc>
        <w:tc>
          <w:tcPr>
            <w:tcW w:w="3240" w:type="dxa"/>
          </w:tcPr>
          <w:p w14:paraId="2A75203E" w14:textId="77777777" w:rsidR="005A5832" w:rsidRPr="00F4343E" w:rsidRDefault="00A10867">
            <w:pPr>
              <w:rPr>
                <w:kern w:val="2"/>
                <w:szCs w:val="24"/>
              </w:rPr>
            </w:pPr>
            <w:r w:rsidRPr="00F4343E">
              <w:rPr>
                <w:kern w:val="2"/>
                <w:szCs w:val="24"/>
              </w:rPr>
              <w:t>1.1.6. Bankas, banko kodas</w:t>
            </w:r>
          </w:p>
        </w:tc>
        <w:tc>
          <w:tcPr>
            <w:tcW w:w="3510" w:type="dxa"/>
          </w:tcPr>
          <w:p w14:paraId="6A62C6FC" w14:textId="77777777" w:rsidR="002C2FDC" w:rsidRDefault="002861FB">
            <w:r>
              <w:t>40100</w:t>
            </w:r>
          </w:p>
        </w:tc>
      </w:tr>
      <w:tr w:rsidR="005A5832" w14:paraId="5D3130D4" w14:textId="77777777">
        <w:tc>
          <w:tcPr>
            <w:tcW w:w="2808" w:type="dxa"/>
            <w:vMerge/>
          </w:tcPr>
          <w:p w14:paraId="2E5CDD11" w14:textId="77777777" w:rsidR="005A5832" w:rsidRDefault="005A5832">
            <w:pPr>
              <w:rPr>
                <w:kern w:val="2"/>
                <w:szCs w:val="24"/>
              </w:rPr>
            </w:pPr>
          </w:p>
        </w:tc>
        <w:tc>
          <w:tcPr>
            <w:tcW w:w="3240" w:type="dxa"/>
          </w:tcPr>
          <w:p w14:paraId="3B99B084" w14:textId="77777777" w:rsidR="005A5832" w:rsidRPr="00F4343E" w:rsidRDefault="00A10867">
            <w:pPr>
              <w:rPr>
                <w:kern w:val="2"/>
                <w:szCs w:val="24"/>
              </w:rPr>
            </w:pPr>
            <w:r w:rsidRPr="00F4343E">
              <w:rPr>
                <w:kern w:val="2"/>
                <w:szCs w:val="24"/>
              </w:rPr>
              <w:t>1.1.7. Telefonas</w:t>
            </w:r>
          </w:p>
        </w:tc>
        <w:tc>
          <w:tcPr>
            <w:tcW w:w="3510" w:type="dxa"/>
          </w:tcPr>
          <w:p w14:paraId="12157B8B" w14:textId="77777777" w:rsidR="002C2FDC" w:rsidRDefault="002861FB">
            <w:r>
              <w:t>052523217</w:t>
            </w:r>
          </w:p>
        </w:tc>
      </w:tr>
      <w:tr w:rsidR="005A5832" w14:paraId="16BB62BA" w14:textId="77777777">
        <w:tc>
          <w:tcPr>
            <w:tcW w:w="2808" w:type="dxa"/>
            <w:vMerge/>
          </w:tcPr>
          <w:p w14:paraId="432B0ABC" w14:textId="77777777" w:rsidR="005A5832" w:rsidRDefault="005A5832">
            <w:pPr>
              <w:rPr>
                <w:kern w:val="2"/>
                <w:szCs w:val="24"/>
              </w:rPr>
            </w:pPr>
          </w:p>
        </w:tc>
        <w:tc>
          <w:tcPr>
            <w:tcW w:w="3240" w:type="dxa"/>
          </w:tcPr>
          <w:p w14:paraId="6547A057" w14:textId="77777777" w:rsidR="005A5832" w:rsidRPr="00F4343E" w:rsidRDefault="00A10867">
            <w:pPr>
              <w:rPr>
                <w:kern w:val="2"/>
                <w:szCs w:val="24"/>
              </w:rPr>
            </w:pPr>
            <w:r w:rsidRPr="00F4343E">
              <w:rPr>
                <w:kern w:val="2"/>
                <w:szCs w:val="24"/>
              </w:rPr>
              <w:t>1.1.8. El. paštas</w:t>
            </w:r>
          </w:p>
        </w:tc>
        <w:tc>
          <w:tcPr>
            <w:tcW w:w="3510" w:type="dxa"/>
          </w:tcPr>
          <w:p w14:paraId="07DF25D7" w14:textId="77777777" w:rsidR="002C2FDC" w:rsidRDefault="002861FB">
            <w:r>
              <w:t>paberzes.namai@gmail.com</w:t>
            </w:r>
          </w:p>
        </w:tc>
      </w:tr>
      <w:tr w:rsidR="005A5832" w14:paraId="062FD39B" w14:textId="77777777">
        <w:tc>
          <w:tcPr>
            <w:tcW w:w="2808" w:type="dxa"/>
            <w:vMerge/>
          </w:tcPr>
          <w:p w14:paraId="2DC74733" w14:textId="77777777" w:rsidR="005A5832" w:rsidRDefault="005A5832">
            <w:pPr>
              <w:rPr>
                <w:kern w:val="2"/>
                <w:szCs w:val="24"/>
              </w:rPr>
            </w:pPr>
          </w:p>
        </w:tc>
        <w:tc>
          <w:tcPr>
            <w:tcW w:w="3240" w:type="dxa"/>
          </w:tcPr>
          <w:p w14:paraId="510329E5" w14:textId="77777777" w:rsidR="005A5832" w:rsidRPr="00F4343E" w:rsidRDefault="00A10867">
            <w:pPr>
              <w:rPr>
                <w:kern w:val="2"/>
                <w:szCs w:val="24"/>
              </w:rPr>
            </w:pPr>
            <w:r w:rsidRPr="00F4343E">
              <w:rPr>
                <w:kern w:val="2"/>
                <w:szCs w:val="24"/>
              </w:rPr>
              <w:t>1.1.9. Šalies atstovas</w:t>
            </w:r>
          </w:p>
        </w:tc>
        <w:tc>
          <w:tcPr>
            <w:tcW w:w="3510" w:type="dxa"/>
          </w:tcPr>
          <w:p w14:paraId="016B2324" w14:textId="77777777" w:rsidR="002C2FDC" w:rsidRDefault="002861FB">
            <w:r>
              <w:t>Rasa Tamošiūnienė</w:t>
            </w:r>
          </w:p>
        </w:tc>
      </w:tr>
      <w:tr w:rsidR="005A5832" w14:paraId="70E42EFB" w14:textId="77777777">
        <w:tc>
          <w:tcPr>
            <w:tcW w:w="2808" w:type="dxa"/>
            <w:vMerge/>
          </w:tcPr>
          <w:p w14:paraId="73D58546" w14:textId="77777777" w:rsidR="005A5832" w:rsidRDefault="005A5832">
            <w:pPr>
              <w:rPr>
                <w:kern w:val="2"/>
                <w:szCs w:val="24"/>
              </w:rPr>
            </w:pPr>
          </w:p>
        </w:tc>
        <w:tc>
          <w:tcPr>
            <w:tcW w:w="3240" w:type="dxa"/>
          </w:tcPr>
          <w:p w14:paraId="6166BAF5" w14:textId="77777777" w:rsidR="005A5832" w:rsidRPr="00F4343E" w:rsidRDefault="00A10867">
            <w:pPr>
              <w:rPr>
                <w:kern w:val="2"/>
                <w:szCs w:val="24"/>
              </w:rPr>
            </w:pPr>
            <w:r w:rsidRPr="00F4343E">
              <w:rPr>
                <w:kern w:val="2"/>
                <w:szCs w:val="24"/>
              </w:rPr>
              <w:t>1.1.10. Atstovavimo pagrindas</w:t>
            </w:r>
          </w:p>
        </w:tc>
        <w:tc>
          <w:tcPr>
            <w:tcW w:w="3510" w:type="dxa"/>
          </w:tcPr>
          <w:p w14:paraId="3D1F3294" w14:textId="77777777" w:rsidR="002C2FDC" w:rsidRDefault="002861FB">
            <w:r>
              <w:t>Nuostatai</w:t>
            </w:r>
          </w:p>
        </w:tc>
      </w:tr>
      <w:tr w:rsidR="005A5832" w14:paraId="6A13570A" w14:textId="77777777">
        <w:tc>
          <w:tcPr>
            <w:tcW w:w="2808" w:type="dxa"/>
            <w:vMerge w:val="restart"/>
          </w:tcPr>
          <w:p w14:paraId="7CEB3D81" w14:textId="77777777" w:rsidR="005A5832" w:rsidRDefault="005A5832">
            <w:pPr>
              <w:rPr>
                <w:b/>
                <w:bCs/>
                <w:kern w:val="2"/>
                <w:szCs w:val="24"/>
              </w:rPr>
            </w:pPr>
          </w:p>
          <w:p w14:paraId="67A37479" w14:textId="77777777" w:rsidR="005A5832" w:rsidRDefault="005A5832">
            <w:pPr>
              <w:rPr>
                <w:b/>
                <w:bCs/>
                <w:kern w:val="2"/>
                <w:szCs w:val="24"/>
              </w:rPr>
            </w:pPr>
          </w:p>
          <w:p w14:paraId="04B8347B" w14:textId="77777777" w:rsidR="005A5832" w:rsidRDefault="005A5832">
            <w:pPr>
              <w:rPr>
                <w:b/>
                <w:bCs/>
                <w:kern w:val="2"/>
                <w:szCs w:val="24"/>
              </w:rPr>
            </w:pPr>
          </w:p>
          <w:p w14:paraId="29C20317" w14:textId="77777777" w:rsidR="005A5832" w:rsidRDefault="00A10867">
            <w:pPr>
              <w:rPr>
                <w:b/>
                <w:bCs/>
                <w:kern w:val="2"/>
                <w:szCs w:val="24"/>
              </w:rPr>
            </w:pPr>
            <w:r>
              <w:rPr>
                <w:b/>
                <w:bCs/>
                <w:kern w:val="2"/>
                <w:szCs w:val="24"/>
              </w:rPr>
              <w:t>1.2. Tiekėjas</w:t>
            </w:r>
          </w:p>
          <w:p w14:paraId="12FD49DF" w14:textId="77777777" w:rsidR="005A5832" w:rsidRDefault="005A5832" w:rsidP="00D17A81">
            <w:pPr>
              <w:rPr>
                <w:b/>
                <w:bCs/>
                <w:kern w:val="2"/>
                <w:szCs w:val="24"/>
              </w:rPr>
            </w:pPr>
          </w:p>
        </w:tc>
        <w:tc>
          <w:tcPr>
            <w:tcW w:w="3240" w:type="dxa"/>
          </w:tcPr>
          <w:p w14:paraId="1A07B28D" w14:textId="77777777" w:rsidR="005A5832" w:rsidRPr="00F4343E" w:rsidRDefault="00A10867">
            <w:pPr>
              <w:rPr>
                <w:kern w:val="2"/>
                <w:szCs w:val="24"/>
              </w:rPr>
            </w:pPr>
            <w:r w:rsidRPr="00F4343E">
              <w:rPr>
                <w:kern w:val="2"/>
                <w:szCs w:val="24"/>
              </w:rPr>
              <w:t>1.2.1. Pavadinimas</w:t>
            </w:r>
          </w:p>
        </w:tc>
        <w:tc>
          <w:tcPr>
            <w:tcW w:w="3510" w:type="dxa"/>
          </w:tcPr>
          <w:p w14:paraId="34598A17" w14:textId="77777777" w:rsidR="005A5832" w:rsidRDefault="005A5832">
            <w:pPr>
              <w:jc w:val="center"/>
              <w:rPr>
                <w:kern w:val="2"/>
                <w:szCs w:val="24"/>
              </w:rPr>
            </w:pPr>
          </w:p>
        </w:tc>
      </w:tr>
      <w:tr w:rsidR="005A5832" w14:paraId="1AA38581" w14:textId="77777777">
        <w:tc>
          <w:tcPr>
            <w:tcW w:w="2808" w:type="dxa"/>
            <w:vMerge/>
          </w:tcPr>
          <w:p w14:paraId="02FF0DCD" w14:textId="77777777" w:rsidR="005A5832" w:rsidRDefault="005A5832">
            <w:pPr>
              <w:rPr>
                <w:b/>
                <w:bCs/>
                <w:kern w:val="2"/>
                <w:szCs w:val="24"/>
              </w:rPr>
            </w:pPr>
          </w:p>
        </w:tc>
        <w:tc>
          <w:tcPr>
            <w:tcW w:w="3240" w:type="dxa"/>
          </w:tcPr>
          <w:p w14:paraId="0DC12BEC" w14:textId="77777777" w:rsidR="005A5832" w:rsidRDefault="00A10867">
            <w:pPr>
              <w:rPr>
                <w:kern w:val="2"/>
                <w:szCs w:val="24"/>
              </w:rPr>
            </w:pPr>
            <w:r>
              <w:rPr>
                <w:kern w:val="2"/>
                <w:szCs w:val="24"/>
              </w:rPr>
              <w:t>1.2.2. Juridinio asmens kodas</w:t>
            </w:r>
          </w:p>
        </w:tc>
        <w:tc>
          <w:tcPr>
            <w:tcW w:w="3510" w:type="dxa"/>
          </w:tcPr>
          <w:p w14:paraId="46BEA3ED" w14:textId="77777777" w:rsidR="005A5832" w:rsidRDefault="005A5832">
            <w:pPr>
              <w:jc w:val="center"/>
              <w:rPr>
                <w:kern w:val="2"/>
                <w:szCs w:val="24"/>
              </w:rPr>
            </w:pPr>
          </w:p>
        </w:tc>
      </w:tr>
      <w:tr w:rsidR="005A5832" w14:paraId="7160289F" w14:textId="77777777">
        <w:tc>
          <w:tcPr>
            <w:tcW w:w="2808" w:type="dxa"/>
            <w:vMerge/>
          </w:tcPr>
          <w:p w14:paraId="0E456781" w14:textId="77777777" w:rsidR="005A5832" w:rsidRDefault="005A5832">
            <w:pPr>
              <w:rPr>
                <w:b/>
                <w:bCs/>
                <w:kern w:val="2"/>
                <w:szCs w:val="24"/>
              </w:rPr>
            </w:pPr>
          </w:p>
        </w:tc>
        <w:tc>
          <w:tcPr>
            <w:tcW w:w="3240" w:type="dxa"/>
          </w:tcPr>
          <w:p w14:paraId="17A077D6" w14:textId="77777777" w:rsidR="005A5832" w:rsidRDefault="00A10867">
            <w:pPr>
              <w:rPr>
                <w:kern w:val="2"/>
                <w:szCs w:val="24"/>
              </w:rPr>
            </w:pPr>
            <w:r>
              <w:rPr>
                <w:kern w:val="2"/>
                <w:szCs w:val="24"/>
              </w:rPr>
              <w:t>1.2.3. Adresas</w:t>
            </w:r>
          </w:p>
        </w:tc>
        <w:tc>
          <w:tcPr>
            <w:tcW w:w="3510" w:type="dxa"/>
          </w:tcPr>
          <w:p w14:paraId="02221A86" w14:textId="77777777" w:rsidR="005A5832" w:rsidRDefault="005A5832">
            <w:pPr>
              <w:jc w:val="center"/>
              <w:rPr>
                <w:kern w:val="2"/>
                <w:szCs w:val="24"/>
              </w:rPr>
            </w:pPr>
          </w:p>
        </w:tc>
      </w:tr>
      <w:tr w:rsidR="005A5832" w14:paraId="1DFC6B56" w14:textId="77777777">
        <w:tc>
          <w:tcPr>
            <w:tcW w:w="2808" w:type="dxa"/>
            <w:vMerge/>
          </w:tcPr>
          <w:p w14:paraId="11034079" w14:textId="77777777" w:rsidR="005A5832" w:rsidRDefault="005A5832">
            <w:pPr>
              <w:rPr>
                <w:b/>
                <w:bCs/>
                <w:kern w:val="2"/>
                <w:szCs w:val="24"/>
              </w:rPr>
            </w:pPr>
          </w:p>
        </w:tc>
        <w:tc>
          <w:tcPr>
            <w:tcW w:w="3240" w:type="dxa"/>
          </w:tcPr>
          <w:p w14:paraId="44CD0AF1" w14:textId="77777777" w:rsidR="005A5832" w:rsidRDefault="00A10867">
            <w:pPr>
              <w:rPr>
                <w:kern w:val="2"/>
                <w:szCs w:val="24"/>
              </w:rPr>
            </w:pPr>
            <w:r>
              <w:rPr>
                <w:kern w:val="2"/>
                <w:szCs w:val="24"/>
              </w:rPr>
              <w:t>1.2.4. PVM mokėtojo kodas</w:t>
            </w:r>
          </w:p>
        </w:tc>
        <w:tc>
          <w:tcPr>
            <w:tcW w:w="3510" w:type="dxa"/>
          </w:tcPr>
          <w:p w14:paraId="0929A71B" w14:textId="77777777" w:rsidR="005A5832" w:rsidRDefault="005A5832">
            <w:pPr>
              <w:jc w:val="center"/>
              <w:rPr>
                <w:kern w:val="2"/>
                <w:szCs w:val="24"/>
              </w:rPr>
            </w:pPr>
          </w:p>
        </w:tc>
      </w:tr>
      <w:tr w:rsidR="005A5832" w14:paraId="4C991A68" w14:textId="77777777">
        <w:tc>
          <w:tcPr>
            <w:tcW w:w="2808" w:type="dxa"/>
            <w:vMerge/>
          </w:tcPr>
          <w:p w14:paraId="77AE8261" w14:textId="77777777" w:rsidR="005A5832" w:rsidRDefault="005A5832">
            <w:pPr>
              <w:rPr>
                <w:b/>
                <w:bCs/>
                <w:kern w:val="2"/>
                <w:szCs w:val="24"/>
              </w:rPr>
            </w:pPr>
          </w:p>
        </w:tc>
        <w:tc>
          <w:tcPr>
            <w:tcW w:w="3240" w:type="dxa"/>
          </w:tcPr>
          <w:p w14:paraId="7CCCAFA8" w14:textId="77777777" w:rsidR="005A5832" w:rsidRDefault="00A10867">
            <w:pPr>
              <w:rPr>
                <w:kern w:val="2"/>
                <w:szCs w:val="24"/>
              </w:rPr>
            </w:pPr>
            <w:r>
              <w:rPr>
                <w:kern w:val="2"/>
                <w:szCs w:val="24"/>
              </w:rPr>
              <w:t>1.2.5. Atsiskaitomoji sąskaita</w:t>
            </w:r>
          </w:p>
        </w:tc>
        <w:tc>
          <w:tcPr>
            <w:tcW w:w="3510" w:type="dxa"/>
          </w:tcPr>
          <w:p w14:paraId="537BB9F0" w14:textId="77777777" w:rsidR="005A5832" w:rsidRDefault="005A5832">
            <w:pPr>
              <w:jc w:val="center"/>
              <w:rPr>
                <w:kern w:val="2"/>
                <w:szCs w:val="24"/>
              </w:rPr>
            </w:pPr>
          </w:p>
        </w:tc>
      </w:tr>
      <w:tr w:rsidR="005A5832" w14:paraId="31F3DFC8" w14:textId="77777777">
        <w:tc>
          <w:tcPr>
            <w:tcW w:w="2808" w:type="dxa"/>
            <w:vMerge/>
          </w:tcPr>
          <w:p w14:paraId="2896E90A" w14:textId="77777777" w:rsidR="005A5832" w:rsidRDefault="005A5832">
            <w:pPr>
              <w:rPr>
                <w:b/>
                <w:bCs/>
                <w:kern w:val="2"/>
                <w:szCs w:val="24"/>
              </w:rPr>
            </w:pPr>
          </w:p>
        </w:tc>
        <w:tc>
          <w:tcPr>
            <w:tcW w:w="3240" w:type="dxa"/>
          </w:tcPr>
          <w:p w14:paraId="4076F5A1" w14:textId="77777777" w:rsidR="005A5832" w:rsidRDefault="00A10867">
            <w:pPr>
              <w:rPr>
                <w:kern w:val="2"/>
                <w:szCs w:val="24"/>
              </w:rPr>
            </w:pPr>
            <w:r>
              <w:rPr>
                <w:kern w:val="2"/>
                <w:szCs w:val="24"/>
              </w:rPr>
              <w:t>1.2.6. Bankas, banko kodas</w:t>
            </w:r>
          </w:p>
        </w:tc>
        <w:tc>
          <w:tcPr>
            <w:tcW w:w="3510" w:type="dxa"/>
          </w:tcPr>
          <w:p w14:paraId="2EBA08E4" w14:textId="77777777" w:rsidR="005A5832" w:rsidRDefault="005A5832">
            <w:pPr>
              <w:jc w:val="center"/>
              <w:rPr>
                <w:kern w:val="2"/>
                <w:szCs w:val="24"/>
              </w:rPr>
            </w:pPr>
          </w:p>
        </w:tc>
      </w:tr>
      <w:tr w:rsidR="005A5832" w14:paraId="0B837FC9" w14:textId="77777777">
        <w:tc>
          <w:tcPr>
            <w:tcW w:w="2808" w:type="dxa"/>
            <w:vMerge/>
          </w:tcPr>
          <w:p w14:paraId="73DCC409" w14:textId="77777777" w:rsidR="005A5832" w:rsidRDefault="005A5832">
            <w:pPr>
              <w:rPr>
                <w:b/>
                <w:bCs/>
                <w:kern w:val="2"/>
                <w:szCs w:val="24"/>
              </w:rPr>
            </w:pPr>
          </w:p>
        </w:tc>
        <w:tc>
          <w:tcPr>
            <w:tcW w:w="3240" w:type="dxa"/>
          </w:tcPr>
          <w:p w14:paraId="775978F0" w14:textId="77777777" w:rsidR="005A5832" w:rsidRDefault="00A10867">
            <w:pPr>
              <w:rPr>
                <w:kern w:val="2"/>
                <w:szCs w:val="24"/>
              </w:rPr>
            </w:pPr>
            <w:r>
              <w:rPr>
                <w:kern w:val="2"/>
                <w:szCs w:val="24"/>
              </w:rPr>
              <w:t>1.2.7. Telefonas</w:t>
            </w:r>
          </w:p>
        </w:tc>
        <w:tc>
          <w:tcPr>
            <w:tcW w:w="3510" w:type="dxa"/>
          </w:tcPr>
          <w:p w14:paraId="3E819024" w14:textId="77777777" w:rsidR="005A5832" w:rsidRDefault="005A5832">
            <w:pPr>
              <w:jc w:val="center"/>
              <w:rPr>
                <w:kern w:val="2"/>
                <w:szCs w:val="24"/>
              </w:rPr>
            </w:pPr>
          </w:p>
        </w:tc>
      </w:tr>
      <w:tr w:rsidR="005A5832" w14:paraId="15329905" w14:textId="77777777">
        <w:tc>
          <w:tcPr>
            <w:tcW w:w="2808" w:type="dxa"/>
            <w:vMerge/>
          </w:tcPr>
          <w:p w14:paraId="4EC9F92B" w14:textId="77777777" w:rsidR="005A5832" w:rsidRDefault="005A5832">
            <w:pPr>
              <w:rPr>
                <w:b/>
                <w:bCs/>
                <w:kern w:val="2"/>
                <w:szCs w:val="24"/>
              </w:rPr>
            </w:pPr>
          </w:p>
        </w:tc>
        <w:tc>
          <w:tcPr>
            <w:tcW w:w="3240" w:type="dxa"/>
          </w:tcPr>
          <w:p w14:paraId="3568B479" w14:textId="77777777" w:rsidR="005A5832" w:rsidRDefault="00A10867">
            <w:pPr>
              <w:rPr>
                <w:kern w:val="2"/>
                <w:szCs w:val="24"/>
              </w:rPr>
            </w:pPr>
            <w:r>
              <w:rPr>
                <w:kern w:val="2"/>
                <w:szCs w:val="24"/>
              </w:rPr>
              <w:t>1.2.8. El. paštas</w:t>
            </w:r>
          </w:p>
        </w:tc>
        <w:tc>
          <w:tcPr>
            <w:tcW w:w="3510" w:type="dxa"/>
          </w:tcPr>
          <w:p w14:paraId="0CE0553C" w14:textId="77777777" w:rsidR="005A5832" w:rsidRDefault="005A5832">
            <w:pPr>
              <w:jc w:val="center"/>
              <w:rPr>
                <w:kern w:val="2"/>
                <w:szCs w:val="24"/>
              </w:rPr>
            </w:pPr>
          </w:p>
        </w:tc>
      </w:tr>
      <w:tr w:rsidR="005A5832" w14:paraId="17C39B0F" w14:textId="77777777">
        <w:tc>
          <w:tcPr>
            <w:tcW w:w="2808" w:type="dxa"/>
            <w:vMerge/>
          </w:tcPr>
          <w:p w14:paraId="51250D76" w14:textId="77777777" w:rsidR="005A5832" w:rsidRDefault="005A5832">
            <w:pPr>
              <w:rPr>
                <w:b/>
                <w:bCs/>
                <w:kern w:val="2"/>
                <w:szCs w:val="24"/>
              </w:rPr>
            </w:pPr>
          </w:p>
        </w:tc>
        <w:tc>
          <w:tcPr>
            <w:tcW w:w="3240" w:type="dxa"/>
          </w:tcPr>
          <w:p w14:paraId="15824DFF" w14:textId="77777777" w:rsidR="005A5832" w:rsidRDefault="00A10867">
            <w:pPr>
              <w:rPr>
                <w:kern w:val="2"/>
                <w:szCs w:val="24"/>
              </w:rPr>
            </w:pPr>
            <w:r>
              <w:rPr>
                <w:kern w:val="2"/>
                <w:szCs w:val="24"/>
              </w:rPr>
              <w:t>1.2.9. Šalies atstovas</w:t>
            </w:r>
          </w:p>
        </w:tc>
        <w:tc>
          <w:tcPr>
            <w:tcW w:w="3510" w:type="dxa"/>
          </w:tcPr>
          <w:p w14:paraId="42F6F937" w14:textId="77777777" w:rsidR="005A5832" w:rsidRDefault="005A5832">
            <w:pPr>
              <w:jc w:val="center"/>
              <w:rPr>
                <w:kern w:val="2"/>
                <w:szCs w:val="24"/>
              </w:rPr>
            </w:pPr>
          </w:p>
        </w:tc>
      </w:tr>
      <w:tr w:rsidR="005A5832" w14:paraId="53429C40" w14:textId="77777777">
        <w:tc>
          <w:tcPr>
            <w:tcW w:w="2808" w:type="dxa"/>
            <w:vMerge/>
          </w:tcPr>
          <w:p w14:paraId="46204D64" w14:textId="77777777" w:rsidR="005A5832" w:rsidRDefault="005A5832">
            <w:pPr>
              <w:rPr>
                <w:b/>
                <w:bCs/>
                <w:kern w:val="2"/>
                <w:szCs w:val="24"/>
              </w:rPr>
            </w:pPr>
          </w:p>
        </w:tc>
        <w:tc>
          <w:tcPr>
            <w:tcW w:w="3240" w:type="dxa"/>
          </w:tcPr>
          <w:p w14:paraId="6045BEFB" w14:textId="77777777" w:rsidR="005A5832" w:rsidRDefault="00A10867">
            <w:pPr>
              <w:rPr>
                <w:kern w:val="2"/>
                <w:szCs w:val="24"/>
              </w:rPr>
            </w:pPr>
            <w:r>
              <w:rPr>
                <w:kern w:val="2"/>
                <w:szCs w:val="24"/>
              </w:rPr>
              <w:t>1.2.10. Atstovavimo pagrindas</w:t>
            </w:r>
          </w:p>
        </w:tc>
        <w:tc>
          <w:tcPr>
            <w:tcW w:w="3510" w:type="dxa"/>
          </w:tcPr>
          <w:p w14:paraId="6EBC923A" w14:textId="77777777" w:rsidR="005A5832" w:rsidRDefault="005A5832">
            <w:pPr>
              <w:jc w:val="center"/>
              <w:rPr>
                <w:kern w:val="2"/>
                <w:szCs w:val="24"/>
              </w:rPr>
            </w:pPr>
          </w:p>
        </w:tc>
      </w:tr>
    </w:tbl>
    <w:p w14:paraId="3D7133B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545849E9" w14:textId="77777777">
        <w:trPr>
          <w:trHeight w:val="300"/>
        </w:trPr>
        <w:tc>
          <w:tcPr>
            <w:tcW w:w="9535" w:type="dxa"/>
            <w:gridSpan w:val="2"/>
          </w:tcPr>
          <w:p w14:paraId="3AD9E5F9" w14:textId="77777777" w:rsidR="005A5832" w:rsidRDefault="00A10867">
            <w:pPr>
              <w:jc w:val="center"/>
              <w:rPr>
                <w:b/>
                <w:bCs/>
                <w:kern w:val="2"/>
                <w:szCs w:val="24"/>
              </w:rPr>
            </w:pPr>
            <w:r>
              <w:rPr>
                <w:b/>
                <w:bCs/>
                <w:kern w:val="2"/>
                <w:szCs w:val="24"/>
              </w:rPr>
              <w:t>2. ATSAKINGI ASMENYS</w:t>
            </w:r>
          </w:p>
        </w:tc>
      </w:tr>
      <w:tr w:rsidR="005A5832" w14:paraId="55B5B50B" w14:textId="77777777">
        <w:trPr>
          <w:trHeight w:val="300"/>
        </w:trPr>
        <w:tc>
          <w:tcPr>
            <w:tcW w:w="2704" w:type="dxa"/>
          </w:tcPr>
          <w:p w14:paraId="5A186249" w14:textId="77777777" w:rsidR="005A5832" w:rsidRDefault="005A5832">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747F60E9" w14:textId="1522FBD4" w:rsidR="005A5832" w:rsidRDefault="005A5832">
            <w:pPr>
              <w:rPr>
                <w:color w:val="4472C4"/>
                <w:kern w:val="2"/>
                <w:szCs w:val="24"/>
              </w:rPr>
            </w:pPr>
            <w:r>
              <w:t xml:space="preserve">Inga Nevėrienė, el. paštas: inga.kovaliuk@gmail.com, tel. </w:t>
            </w:r>
            <w:proofErr w:type="spellStart"/>
            <w:r>
              <w:t>nr.</w:t>
            </w:r>
            <w:proofErr w:type="spellEnd"/>
            <w:r>
              <w:t xml:space="preserve">: </w:t>
            </w:r>
            <w:r w:rsidR="002A5CD5">
              <w:t>+</w:t>
            </w:r>
            <w:r>
              <w:t>37060448859</w:t>
            </w:r>
          </w:p>
        </w:tc>
      </w:tr>
      <w:tr w:rsidR="002C2FDC" w14:paraId="264F8ED6" w14:textId="77777777">
        <w:tc>
          <w:tcPr>
            <w:tcW w:w="2704" w:type="dxa"/>
          </w:tcPr>
          <w:p w14:paraId="36EF3E23" w14:textId="77777777" w:rsidR="002C2FDC" w:rsidRDefault="002861FB">
            <w:r>
              <w:rPr>
                <w:b/>
              </w:rPr>
              <w:lastRenderedPageBreak/>
              <w:t>2.2. Tiekėjo kontaktiniai asmenys, atsakingi už Sutarties vykdymą</w:t>
            </w:r>
          </w:p>
        </w:tc>
        <w:tc>
          <w:tcPr>
            <w:tcW w:w="6831" w:type="dxa"/>
          </w:tcPr>
          <w:p w14:paraId="132FA813" w14:textId="77777777" w:rsidR="002C2FDC" w:rsidRDefault="002861FB">
            <w:r>
              <w:t>(nurodyti padalinį / skyrių, pareigas, vardą, pavardę, tel., el. paštą)</w:t>
            </w:r>
          </w:p>
        </w:tc>
      </w:tr>
    </w:tbl>
    <w:p w14:paraId="5527687B"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58ABA7E" w14:textId="77777777" w:rsidTr="00C8059E">
        <w:trPr>
          <w:trHeight w:val="300"/>
        </w:trPr>
        <w:tc>
          <w:tcPr>
            <w:tcW w:w="9535" w:type="dxa"/>
            <w:gridSpan w:val="2"/>
          </w:tcPr>
          <w:p w14:paraId="63E00E1F" w14:textId="77777777" w:rsidR="00275CF9" w:rsidRDefault="00275CF9" w:rsidP="00C8059E">
            <w:pPr>
              <w:jc w:val="center"/>
              <w:rPr>
                <w:b/>
                <w:bCs/>
                <w:kern w:val="2"/>
                <w:szCs w:val="24"/>
              </w:rPr>
            </w:pPr>
            <w:r>
              <w:rPr>
                <w:b/>
                <w:bCs/>
                <w:kern w:val="2"/>
                <w:szCs w:val="24"/>
              </w:rPr>
              <w:t>3. SUTARTIES DALYKAS</w:t>
            </w:r>
          </w:p>
        </w:tc>
      </w:tr>
      <w:tr w:rsidR="00275CF9" w14:paraId="608CCA49" w14:textId="77777777" w:rsidTr="00C8059E">
        <w:trPr>
          <w:trHeight w:val="300"/>
        </w:trPr>
        <w:tc>
          <w:tcPr>
            <w:tcW w:w="2704" w:type="dxa"/>
          </w:tcPr>
          <w:p w14:paraId="56213795" w14:textId="77777777" w:rsidR="00275CF9" w:rsidRDefault="00275CF9" w:rsidP="00C8059E">
            <w:pPr>
              <w:rPr>
                <w:b/>
                <w:bCs/>
                <w:kern w:val="2"/>
                <w:szCs w:val="24"/>
              </w:rPr>
            </w:pPr>
            <w:r>
              <w:rPr>
                <w:b/>
              </w:rPr>
              <w:t>3.1. Sutarties dalykas</w:t>
            </w:r>
          </w:p>
        </w:tc>
        <w:tc>
          <w:tcPr>
            <w:tcW w:w="6831" w:type="dxa"/>
          </w:tcPr>
          <w:p w14:paraId="535E37BA" w14:textId="7AE18357" w:rsidR="00275CF9" w:rsidRDefault="00275CF9" w:rsidP="00C8059E">
            <w:pPr>
              <w:rPr>
                <w:color w:val="4472C4"/>
                <w:kern w:val="2"/>
                <w:szCs w:val="24"/>
              </w:rPr>
            </w:pPr>
            <w:r>
              <w:t xml:space="preserve">Tiekėjas įsipareigoja Sutartyje numatytomis sąlygomis perduoti Pirkėjui Prekes (toliau - Prekės). Išsamus Prekių aprašymas ir kiti reikalavimai tiekiamoms Prekėms nustatyti Sutarties priede Nr. </w:t>
            </w:r>
            <w:r w:rsidR="00FE62FE">
              <w:t>1 „</w:t>
            </w:r>
            <w:r>
              <w:t>Techninė specifikacija</w:t>
            </w:r>
            <w:r w:rsidR="00FE62FE">
              <w:t>“</w:t>
            </w:r>
            <w:r>
              <w:t xml:space="preserve"> (toliau - Techninė specifikacija) ir Sutarties </w:t>
            </w:r>
            <w:r w:rsidR="002A5CD5">
              <w:t>priede</w:t>
            </w:r>
            <w:r>
              <w:t xml:space="preserve"> Nr. </w:t>
            </w:r>
            <w:r w:rsidR="00FE62FE">
              <w:t>2</w:t>
            </w:r>
            <w:r>
              <w:t xml:space="preserve"> </w:t>
            </w:r>
            <w:r w:rsidR="00FE62FE">
              <w:t>„</w:t>
            </w:r>
            <w:r>
              <w:t>Pasiūlymas</w:t>
            </w:r>
            <w:r w:rsidR="00FE62FE">
              <w:t>“</w:t>
            </w:r>
            <w:r>
              <w:t xml:space="preserve"> .</w:t>
            </w:r>
          </w:p>
        </w:tc>
      </w:tr>
      <w:tr w:rsidR="002C2FDC" w14:paraId="077544DD" w14:textId="77777777">
        <w:tc>
          <w:tcPr>
            <w:tcW w:w="2704" w:type="dxa"/>
          </w:tcPr>
          <w:p w14:paraId="14394C0E" w14:textId="77777777" w:rsidR="002C2FDC" w:rsidRDefault="002861FB">
            <w:r>
              <w:rPr>
                <w:b/>
              </w:rPr>
              <w:t>3.2. Pirkimo numeris</w:t>
            </w:r>
          </w:p>
        </w:tc>
        <w:tc>
          <w:tcPr>
            <w:tcW w:w="6831" w:type="dxa"/>
          </w:tcPr>
          <w:p w14:paraId="75278063" w14:textId="53C00B55" w:rsidR="002C2FDC" w:rsidRDefault="002861FB">
            <w:r>
              <w:t xml:space="preserve">CVP IS </w:t>
            </w:r>
            <w:r w:rsidR="009B555D">
              <w:t>ID</w:t>
            </w:r>
          </w:p>
        </w:tc>
      </w:tr>
      <w:tr w:rsidR="002C2FDC" w14:paraId="365E239A" w14:textId="77777777">
        <w:tc>
          <w:tcPr>
            <w:tcW w:w="2704" w:type="dxa"/>
          </w:tcPr>
          <w:p w14:paraId="38DF7F2B" w14:textId="77777777" w:rsidR="002C2FDC" w:rsidRDefault="002861FB">
            <w:r>
              <w:rPr>
                <w:b/>
              </w:rPr>
              <w:t>3.3. Informacija apie Europos Sąjungos lėšomis finansuojamą projektą arba kitą projektą</w:t>
            </w:r>
          </w:p>
        </w:tc>
        <w:tc>
          <w:tcPr>
            <w:tcW w:w="6831" w:type="dxa"/>
          </w:tcPr>
          <w:p w14:paraId="711E66E4" w14:textId="77777777" w:rsidR="002C2FDC" w:rsidRDefault="002861FB">
            <w:r>
              <w:t>Netaikoma</w:t>
            </w:r>
          </w:p>
        </w:tc>
      </w:tr>
    </w:tbl>
    <w:p w14:paraId="54889EA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32F68A8" w14:textId="77777777" w:rsidTr="00C8059E">
        <w:trPr>
          <w:trHeight w:val="300"/>
        </w:trPr>
        <w:tc>
          <w:tcPr>
            <w:tcW w:w="9535" w:type="dxa"/>
            <w:gridSpan w:val="2"/>
          </w:tcPr>
          <w:p w14:paraId="183ACF4D" w14:textId="77777777" w:rsidR="00275CF9" w:rsidRDefault="00275CF9" w:rsidP="00C8059E">
            <w:pPr>
              <w:jc w:val="center"/>
              <w:rPr>
                <w:b/>
                <w:bCs/>
                <w:kern w:val="2"/>
                <w:szCs w:val="24"/>
              </w:rPr>
            </w:pPr>
            <w:r>
              <w:rPr>
                <w:b/>
                <w:bCs/>
                <w:kern w:val="2"/>
                <w:szCs w:val="24"/>
              </w:rPr>
              <w:t>4. PREKIŲ PRISTATYMO TERMINAI IR PREKIŲ PERDAVIMO – PRIĖMIMO TVARKA</w:t>
            </w:r>
          </w:p>
        </w:tc>
      </w:tr>
      <w:tr w:rsidR="00275CF9" w14:paraId="51BCB0D5" w14:textId="77777777" w:rsidTr="00C8059E">
        <w:trPr>
          <w:trHeight w:val="300"/>
        </w:trPr>
        <w:tc>
          <w:tcPr>
            <w:tcW w:w="2704" w:type="dxa"/>
          </w:tcPr>
          <w:p w14:paraId="6CCECAE6" w14:textId="77777777" w:rsidR="00275CF9" w:rsidRDefault="00275CF9" w:rsidP="00C8059E">
            <w:pPr>
              <w:rPr>
                <w:b/>
                <w:bCs/>
                <w:kern w:val="2"/>
                <w:szCs w:val="24"/>
              </w:rPr>
            </w:pPr>
            <w:r>
              <w:rPr>
                <w:b/>
              </w:rPr>
              <w:t>4.1. Prekių pristatymo terminas</w:t>
            </w:r>
          </w:p>
        </w:tc>
        <w:tc>
          <w:tcPr>
            <w:tcW w:w="6831" w:type="dxa"/>
          </w:tcPr>
          <w:p w14:paraId="544AB989" w14:textId="09846886" w:rsidR="00275CF9" w:rsidRDefault="00275CF9" w:rsidP="00C8059E">
            <w:pPr>
              <w:rPr>
                <w:color w:val="4472C4"/>
                <w:kern w:val="2"/>
                <w:szCs w:val="24"/>
              </w:rPr>
            </w:pPr>
            <w:r>
              <w:t>Tiekėjas pagal atskirą užsakymą įsipareigoja pristatyti Prekes ne vėliau kaip per 2 d</w:t>
            </w:r>
            <w:r w:rsidR="00197F39">
              <w:t>arbo dienas</w:t>
            </w:r>
            <w:r>
              <w:t xml:space="preserve"> nuo užsakymo pateikimo dienos šiuo adresu: Darbininkų g. 16, </w:t>
            </w:r>
            <w:proofErr w:type="spellStart"/>
            <w:r>
              <w:t>Lygialaukio</w:t>
            </w:r>
            <w:proofErr w:type="spellEnd"/>
            <w:r>
              <w:t xml:space="preserve"> k., Vilniaus r. </w:t>
            </w:r>
          </w:p>
        </w:tc>
      </w:tr>
      <w:tr w:rsidR="002C2FDC" w14:paraId="396FB39E" w14:textId="77777777">
        <w:tc>
          <w:tcPr>
            <w:tcW w:w="2704" w:type="dxa"/>
          </w:tcPr>
          <w:p w14:paraId="4ED8C314" w14:textId="77777777" w:rsidR="002C2FDC" w:rsidRDefault="002861FB">
            <w:r w:rsidRPr="00A84092">
              <w:rPr>
                <w:b/>
              </w:rPr>
              <w:t>4.2. Prekių (ar jų dalies) pristatymo termino pratęsimas</w:t>
            </w:r>
          </w:p>
        </w:tc>
        <w:tc>
          <w:tcPr>
            <w:tcW w:w="6831" w:type="dxa"/>
          </w:tcPr>
          <w:p w14:paraId="33B6AD1F" w14:textId="2934B3D9" w:rsidR="00497CDE" w:rsidRPr="003F4482" w:rsidRDefault="002861FB" w:rsidP="003F4482">
            <w:r w:rsidRPr="00292CDF">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00214BD6" w:rsidRPr="00292CDF">
              <w:t>1 darbo dieną</w:t>
            </w:r>
            <w:r w:rsidRPr="00292CDF">
              <w:t xml:space="preserve">, apie tai praneša Pirkėjui, pateikdamas minėtų aplinkybių egzistavimo įrodymus. Nurodytas aplinkybes vertina Pirkėjas. </w:t>
            </w:r>
            <w:r w:rsidR="00497CDE" w:rsidRPr="00292CDF">
              <w:rPr>
                <w:kern w:val="2"/>
                <w:szCs w:val="24"/>
              </w:rPr>
              <w:t>Nurodytas aplinkybes vertina Pirkėjas. Pirkėjui sutikus, Prekių pristatymo terminas gali būti pratęsiamas tik minėtų aplinkybių egzistavimo laikotarpiui, bet ne ilgiau nei 3 darbo dienų laikotarpiui.</w:t>
            </w:r>
          </w:p>
          <w:p w14:paraId="0F365DBC" w14:textId="77777777" w:rsidR="00497CDE" w:rsidRDefault="00497CDE" w:rsidP="00A84092"/>
          <w:p w14:paraId="67C9F9A4" w14:textId="77777777" w:rsidR="00497CDE" w:rsidRDefault="00497CDE" w:rsidP="00A84092"/>
          <w:p w14:paraId="6CC0BF17" w14:textId="3268278D" w:rsidR="00497CDE" w:rsidRDefault="00497CDE" w:rsidP="00A84092"/>
        </w:tc>
      </w:tr>
      <w:tr w:rsidR="002C2FDC" w14:paraId="13940753" w14:textId="77777777">
        <w:tc>
          <w:tcPr>
            <w:tcW w:w="2704" w:type="dxa"/>
          </w:tcPr>
          <w:p w14:paraId="0D4A7B5C" w14:textId="77777777" w:rsidR="002C2FDC" w:rsidRDefault="002861FB">
            <w:r>
              <w:rPr>
                <w:b/>
              </w:rPr>
              <w:t>4.3. Užsakymų teikimo tvarka</w:t>
            </w:r>
          </w:p>
        </w:tc>
        <w:tc>
          <w:tcPr>
            <w:tcW w:w="6831" w:type="dxa"/>
          </w:tcPr>
          <w:p w14:paraId="7D6B2C6B" w14:textId="77777777" w:rsidR="002C2FDC" w:rsidRDefault="002861FB">
            <w:r>
              <w:t>Užsakymai teikiami Tiekėjo nurodytu elektroniniu paštu ir laikomi gautais po 24 val. (dvidešimt keturių valandų) nuo užsakymo pateikimo.</w:t>
            </w:r>
          </w:p>
        </w:tc>
      </w:tr>
      <w:tr w:rsidR="002C2FDC" w14:paraId="3FE8FCF2" w14:textId="77777777">
        <w:tc>
          <w:tcPr>
            <w:tcW w:w="2704" w:type="dxa"/>
          </w:tcPr>
          <w:p w14:paraId="30E9B7C5" w14:textId="77777777" w:rsidR="002C2FDC" w:rsidRDefault="002861FB">
            <w:r>
              <w:rPr>
                <w:b/>
              </w:rPr>
              <w:t>4.4. Dėl prekių pristatymo dalimis vertės / apimties</w:t>
            </w:r>
          </w:p>
        </w:tc>
        <w:tc>
          <w:tcPr>
            <w:tcW w:w="6831" w:type="dxa"/>
          </w:tcPr>
          <w:p w14:paraId="113BD863" w14:textId="77777777" w:rsidR="002C2FDC" w:rsidRDefault="002861FB">
            <w:r>
              <w:t>Netaikoma</w:t>
            </w:r>
          </w:p>
        </w:tc>
      </w:tr>
      <w:tr w:rsidR="002C2FDC" w14:paraId="551ABEA4" w14:textId="77777777">
        <w:tc>
          <w:tcPr>
            <w:tcW w:w="2704" w:type="dxa"/>
          </w:tcPr>
          <w:p w14:paraId="683CA57B" w14:textId="3D8783F5" w:rsidR="002C2FDC" w:rsidRDefault="002861FB">
            <w:r>
              <w:rPr>
                <w:b/>
              </w:rPr>
              <w:lastRenderedPageBreak/>
              <w:t>4.5. Kartu su prekėmis pateikiami dokumentai</w:t>
            </w:r>
          </w:p>
        </w:tc>
        <w:tc>
          <w:tcPr>
            <w:tcW w:w="6831" w:type="dxa"/>
          </w:tcPr>
          <w:p w14:paraId="3B226935" w14:textId="77777777" w:rsidR="00214BD6" w:rsidRPr="00214BD6" w:rsidRDefault="00214BD6" w:rsidP="00214BD6">
            <w:pPr>
              <w:pStyle w:val="Default"/>
              <w:rPr>
                <w:rFonts w:asciiTheme="majorBidi" w:hAnsiTheme="majorBidi" w:cstheme="majorBidi"/>
              </w:rPr>
            </w:pPr>
            <w:r w:rsidRPr="00214BD6">
              <w:rPr>
                <w:rFonts w:asciiTheme="majorBidi" w:hAnsiTheme="majorBidi" w:cstheme="majorBidi"/>
              </w:rPr>
              <w:t>Dujų kokybės pažymėjimas;</w:t>
            </w:r>
          </w:p>
          <w:p w14:paraId="17761571" w14:textId="77777777" w:rsidR="002C2FDC" w:rsidRPr="00214BD6" w:rsidRDefault="00214BD6" w:rsidP="00214BD6">
            <w:pPr>
              <w:rPr>
                <w:rFonts w:asciiTheme="majorBidi" w:hAnsiTheme="majorBidi" w:cstheme="majorBidi"/>
                <w:szCs w:val="24"/>
              </w:rPr>
            </w:pPr>
            <w:r w:rsidRPr="00214BD6">
              <w:rPr>
                <w:rFonts w:asciiTheme="majorBidi" w:hAnsiTheme="majorBidi" w:cstheme="majorBidi"/>
                <w:szCs w:val="24"/>
              </w:rPr>
              <w:t>Kokybės pažyma (dujų sudėtis procentais) išduota prie kokybės pažymėjimo;</w:t>
            </w:r>
          </w:p>
          <w:p w14:paraId="1E34E895" w14:textId="77777777" w:rsidR="00214BD6" w:rsidRPr="00214BD6" w:rsidRDefault="00214BD6" w:rsidP="00214BD6">
            <w:pPr>
              <w:pStyle w:val="Default"/>
              <w:rPr>
                <w:rFonts w:asciiTheme="majorBidi" w:hAnsiTheme="majorBidi" w:cstheme="majorBidi"/>
              </w:rPr>
            </w:pPr>
            <w:r w:rsidRPr="00214BD6">
              <w:rPr>
                <w:rFonts w:asciiTheme="majorBidi" w:hAnsiTheme="majorBidi" w:cstheme="majorBidi"/>
              </w:rPr>
              <w:t>Saugos duomenų lapas;</w:t>
            </w:r>
          </w:p>
          <w:p w14:paraId="6ECB70A5" w14:textId="77777777" w:rsidR="00214BD6" w:rsidRPr="00214BD6" w:rsidRDefault="00214BD6" w:rsidP="00214BD6">
            <w:pPr>
              <w:pStyle w:val="Default"/>
              <w:rPr>
                <w:rFonts w:asciiTheme="majorBidi" w:hAnsiTheme="majorBidi" w:cstheme="majorBidi"/>
              </w:rPr>
            </w:pPr>
            <w:r w:rsidRPr="00214BD6">
              <w:rPr>
                <w:rFonts w:asciiTheme="majorBidi" w:hAnsiTheme="majorBidi" w:cstheme="majorBidi"/>
              </w:rPr>
              <w:t>Krovinio važtaraštis;</w:t>
            </w:r>
          </w:p>
          <w:p w14:paraId="0DAD65F3" w14:textId="77777777" w:rsidR="00214BD6" w:rsidRPr="00214BD6" w:rsidRDefault="00214BD6" w:rsidP="00214BD6">
            <w:pPr>
              <w:pStyle w:val="Default"/>
              <w:rPr>
                <w:rFonts w:asciiTheme="majorBidi" w:hAnsiTheme="majorBidi" w:cstheme="majorBidi"/>
              </w:rPr>
            </w:pPr>
            <w:r w:rsidRPr="00214BD6">
              <w:rPr>
                <w:rFonts w:asciiTheme="majorBidi" w:hAnsiTheme="majorBidi" w:cstheme="majorBidi"/>
              </w:rPr>
              <w:t>PVM sąskaita – faktūra, kurioje nurodoma kuro kaina, antkainis arba nuolaida – Eur/kg, transportavimo paslaugos kaina;</w:t>
            </w:r>
          </w:p>
          <w:p w14:paraId="79A54A27" w14:textId="6590EAEB" w:rsidR="00214BD6" w:rsidRDefault="00214BD6" w:rsidP="00214BD6">
            <w:r w:rsidRPr="00214BD6">
              <w:rPr>
                <w:rFonts w:asciiTheme="majorBidi" w:hAnsiTheme="majorBidi" w:cstheme="majorBidi"/>
                <w:szCs w:val="24"/>
              </w:rPr>
              <w:t>AB „</w:t>
            </w:r>
            <w:proofErr w:type="spellStart"/>
            <w:r w:rsidRPr="00214BD6">
              <w:rPr>
                <w:rFonts w:asciiTheme="majorBidi" w:hAnsiTheme="majorBidi" w:cstheme="majorBidi"/>
                <w:szCs w:val="24"/>
              </w:rPr>
              <w:t>Orlen</w:t>
            </w:r>
            <w:proofErr w:type="spellEnd"/>
            <w:r w:rsidRPr="00214BD6">
              <w:rPr>
                <w:rFonts w:asciiTheme="majorBidi" w:hAnsiTheme="majorBidi" w:cstheme="majorBidi"/>
                <w:szCs w:val="24"/>
              </w:rPr>
              <w:t xml:space="preserve"> Lietuva“ kainų protokolas, prekės atkrovimo ir PVM sąskaitos - faktūros išrašymo momentu Propanų ir butanų mišinio – Bazinė kaina.</w:t>
            </w:r>
            <w:r>
              <w:rPr>
                <w:sz w:val="23"/>
                <w:szCs w:val="23"/>
              </w:rPr>
              <w:t xml:space="preserve"> </w:t>
            </w:r>
          </w:p>
        </w:tc>
      </w:tr>
    </w:tbl>
    <w:p w14:paraId="7E1078C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D97F32A" w14:textId="77777777" w:rsidTr="00C8059E">
        <w:trPr>
          <w:trHeight w:val="300"/>
        </w:trPr>
        <w:tc>
          <w:tcPr>
            <w:tcW w:w="9535" w:type="dxa"/>
            <w:gridSpan w:val="2"/>
          </w:tcPr>
          <w:p w14:paraId="58F7983B" w14:textId="77777777" w:rsidR="00275CF9" w:rsidRDefault="00275CF9" w:rsidP="00C8059E">
            <w:pPr>
              <w:jc w:val="center"/>
              <w:rPr>
                <w:b/>
                <w:bCs/>
                <w:kern w:val="2"/>
                <w:szCs w:val="24"/>
              </w:rPr>
            </w:pPr>
            <w:r>
              <w:rPr>
                <w:b/>
                <w:bCs/>
                <w:kern w:val="2"/>
                <w:szCs w:val="24"/>
              </w:rPr>
              <w:t>5. SUTARTIES KAINA IR ATSISKAITYMO TVARKA</w:t>
            </w:r>
          </w:p>
        </w:tc>
      </w:tr>
      <w:tr w:rsidR="00275CF9" w14:paraId="286ED4BC" w14:textId="77777777" w:rsidTr="00C8059E">
        <w:trPr>
          <w:trHeight w:val="300"/>
        </w:trPr>
        <w:tc>
          <w:tcPr>
            <w:tcW w:w="2704" w:type="dxa"/>
          </w:tcPr>
          <w:p w14:paraId="39586308" w14:textId="77777777" w:rsidR="00275CF9" w:rsidRDefault="00275CF9" w:rsidP="00C8059E">
            <w:pPr>
              <w:rPr>
                <w:b/>
                <w:bCs/>
                <w:kern w:val="2"/>
                <w:szCs w:val="24"/>
              </w:rPr>
            </w:pPr>
            <w:r>
              <w:rPr>
                <w:b/>
              </w:rPr>
              <w:t>5.1. Sutarčiai taikoma kainodara</w:t>
            </w:r>
          </w:p>
        </w:tc>
        <w:tc>
          <w:tcPr>
            <w:tcW w:w="6831" w:type="dxa"/>
          </w:tcPr>
          <w:p w14:paraId="717A13CC" w14:textId="1F0C3A5E" w:rsidR="00B24E71" w:rsidRDefault="00B24E71" w:rsidP="00B24E71">
            <w:pPr>
              <w:rPr>
                <w:kern w:val="2"/>
                <w:szCs w:val="24"/>
              </w:rPr>
            </w:pPr>
            <w:r>
              <w:rPr>
                <w:kern w:val="2"/>
                <w:szCs w:val="24"/>
              </w:rPr>
              <w:t xml:space="preserve">Mišri </w:t>
            </w:r>
            <w:r w:rsidRPr="00B24E71">
              <w:rPr>
                <w:kern w:val="2"/>
                <w:szCs w:val="24"/>
              </w:rPr>
              <w:t>kainodara (kintamas įkainis ir fiksuotas įkainis)</w:t>
            </w:r>
          </w:p>
          <w:p w14:paraId="0EDBFC68" w14:textId="38F0304F" w:rsidR="00275CF9" w:rsidRDefault="00275CF9" w:rsidP="00C8059E">
            <w:pPr>
              <w:rPr>
                <w:color w:val="4472C4"/>
                <w:kern w:val="2"/>
                <w:szCs w:val="24"/>
              </w:rPr>
            </w:pPr>
          </w:p>
        </w:tc>
      </w:tr>
      <w:tr w:rsidR="002C2FDC" w14:paraId="7D42C477" w14:textId="77777777">
        <w:tc>
          <w:tcPr>
            <w:tcW w:w="2704" w:type="dxa"/>
          </w:tcPr>
          <w:p w14:paraId="3EE3F78E" w14:textId="77777777" w:rsidR="002C2FDC" w:rsidRDefault="002861FB">
            <w:r>
              <w:rPr>
                <w:b/>
              </w:rPr>
              <w:t>5.2. Pradinės Sutarties vertė ir Sutarties kaina</w:t>
            </w:r>
          </w:p>
        </w:tc>
        <w:tc>
          <w:tcPr>
            <w:tcW w:w="6831" w:type="dxa"/>
          </w:tcPr>
          <w:p w14:paraId="5DD471AF" w14:textId="1E385C38" w:rsidR="00E23732" w:rsidRDefault="002861FB" w:rsidP="00B24E71">
            <w:pPr>
              <w:rPr>
                <w:rFonts w:asciiTheme="majorBidi" w:hAnsiTheme="majorBidi" w:cstheme="majorBidi"/>
              </w:rPr>
            </w:pPr>
            <w:r>
              <w:t xml:space="preserve">Pradinės Sutarties vertė yra (nurodyti sumą skaičiais) Eur, (nurodyti sumą žodžiais) be PVM. </w:t>
            </w:r>
            <w:r>
              <w:br/>
              <w:t xml:space="preserve"> PVM sudaro (nurodyti sumą skaičiais) Eur, (nurodyti sumą žodžiais). Sutarties kaina yra (nurodyti sumą skaičiais) Eur, (nurodyti sumą žodžiais) Eur su PVM.</w:t>
            </w:r>
            <w:r>
              <w:br/>
              <w:t xml:space="preserve"> </w:t>
            </w:r>
          </w:p>
          <w:p w14:paraId="4A9CD276" w14:textId="7336975F" w:rsidR="00E23732" w:rsidRPr="00B24E71" w:rsidRDefault="00B24E71" w:rsidP="00B24E71">
            <w:pPr>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tc>
      </w:tr>
      <w:tr w:rsidR="002C2FDC" w14:paraId="31A43A9C" w14:textId="77777777">
        <w:tc>
          <w:tcPr>
            <w:tcW w:w="2704" w:type="dxa"/>
          </w:tcPr>
          <w:p w14:paraId="05781400" w14:textId="77777777" w:rsidR="002C2FDC" w:rsidRDefault="002861FB">
            <w:r>
              <w:rPr>
                <w:b/>
              </w:rPr>
              <w:t>5.3. Sutarties kainos / įkainių perskaičiavimas taikant peržiūros taisykles</w:t>
            </w:r>
          </w:p>
        </w:tc>
        <w:tc>
          <w:tcPr>
            <w:tcW w:w="6831" w:type="dxa"/>
          </w:tcPr>
          <w:p w14:paraId="6AA406C2" w14:textId="018B762A" w:rsidR="002C2FDC" w:rsidRDefault="002861FB" w:rsidP="009C55F0">
            <w:r>
              <w:t>Sutarties įkaini</w:t>
            </w:r>
            <w:r w:rsidR="00C12905">
              <w:t>ai</w:t>
            </w:r>
            <w:r>
              <w:t xml:space="preserve"> bus perskaičiuojami:</w:t>
            </w:r>
            <w:r>
              <w:br/>
              <w:t>5.3.1. dėl PVM tarifo pasikeitimo;</w:t>
            </w:r>
            <w:r>
              <w:br/>
              <w:t>5.3.2. dėl kitų mokesčių, lemiančių Prekių kainos pokytį, pasikeitimo;</w:t>
            </w:r>
            <w:r>
              <w:br/>
              <w:t xml:space="preserve">5.3.3. </w:t>
            </w:r>
            <w:r w:rsidR="009C55F0" w:rsidRPr="009C55F0">
              <w:t>dėl kainų lygio pokyčio</w:t>
            </w:r>
            <w:r w:rsidR="009C55F0">
              <w:t>.</w:t>
            </w:r>
          </w:p>
        </w:tc>
      </w:tr>
      <w:tr w:rsidR="002C2FDC" w14:paraId="0D2F0E94" w14:textId="77777777">
        <w:tc>
          <w:tcPr>
            <w:tcW w:w="2704" w:type="dxa"/>
          </w:tcPr>
          <w:p w14:paraId="04694F5D" w14:textId="77777777" w:rsidR="002C2FDC" w:rsidRDefault="002861FB">
            <w:r>
              <w:rPr>
                <w:b/>
              </w:rPr>
              <w:t>5.3.1. Sutarties kainos / įkainių peržiūra dėl PVM tarifo pasikeitimo</w:t>
            </w:r>
          </w:p>
        </w:tc>
        <w:tc>
          <w:tcPr>
            <w:tcW w:w="6831" w:type="dxa"/>
          </w:tcPr>
          <w:p w14:paraId="57164A59" w14:textId="57E4CA87" w:rsidR="002C2FDC" w:rsidRDefault="002861FB">
            <w:r>
              <w:t>Perskaičiuota Sutarties Prekių įkainiai įforminami Susitarimu ir turi būti taikomi nuo naujo PVM įvedimo datos (nepriklausomai nuo to, kada pasirašytas Susitarimas).</w:t>
            </w:r>
          </w:p>
        </w:tc>
      </w:tr>
      <w:tr w:rsidR="002C2FDC" w14:paraId="4A3FECBA" w14:textId="77777777">
        <w:tc>
          <w:tcPr>
            <w:tcW w:w="2704" w:type="dxa"/>
          </w:tcPr>
          <w:p w14:paraId="614EF9DD" w14:textId="77777777" w:rsidR="002C2FDC" w:rsidRDefault="002861FB">
            <w:r>
              <w:rPr>
                <w:b/>
              </w:rPr>
              <w:t>5.3.2. Sutarties kainos / įkainių peržiūra dėl kitų mokesčių, lemiančių Prekių kainos pokytį, pasikeitimo</w:t>
            </w:r>
          </w:p>
        </w:tc>
        <w:tc>
          <w:tcPr>
            <w:tcW w:w="6831" w:type="dxa"/>
          </w:tcPr>
          <w:p w14:paraId="2DD472AC" w14:textId="766243FA" w:rsidR="002C2FDC" w:rsidRDefault="002861FB">
            <w:r>
              <w:t>Jeigu Sutarties vykdymo metu pasikeičia kitų (ne PVM) mokesčių, lemiančių Tiekėjo tiekiamų Prekių Sutartyje nurodytos įkainių pokytį, mokėjimą reglamentuojantys teisės aktai (pavyzdžiui, dėl akcizų pokyčių ir pan.), Sutartyje nurodyta Sutarties įkainiai perskaičiuojami juos didinant arba mažinant. Peržiūra įforminama Susitarimu, kuris tampa neatskiriama Sutarties dalimi. Perskaičiuota (-</w:t>
            </w:r>
            <w:proofErr w:type="spellStart"/>
            <w:r>
              <w:t>as</w:t>
            </w:r>
            <w:proofErr w:type="spellEnd"/>
            <w:r>
              <w:t>) Sutarties kaina/įkainis taikoma (-</w:t>
            </w:r>
            <w:proofErr w:type="spellStart"/>
            <w:r>
              <w:t>as</w:t>
            </w:r>
            <w:proofErr w:type="spellEnd"/>
            <w:r>
              <w:t>) už tą Prekių dalį, kurios bus tiekiamos nuo Susitarime nurodytos dienos.</w:t>
            </w:r>
          </w:p>
        </w:tc>
      </w:tr>
      <w:tr w:rsidR="00F61DA7" w14:paraId="21278721" w14:textId="77777777">
        <w:tc>
          <w:tcPr>
            <w:tcW w:w="2704" w:type="dxa"/>
          </w:tcPr>
          <w:p w14:paraId="116976E9" w14:textId="77777777" w:rsidR="00F61DA7" w:rsidRDefault="00F61DA7" w:rsidP="00F61DA7">
            <w:r>
              <w:rPr>
                <w:b/>
              </w:rPr>
              <w:t>5.3.3. Sutarties kainos / įkainių peržiūra dėl kainų lygio pokyčio</w:t>
            </w:r>
          </w:p>
        </w:tc>
        <w:tc>
          <w:tcPr>
            <w:tcW w:w="6831" w:type="dxa"/>
          </w:tcPr>
          <w:p w14:paraId="4360F451" w14:textId="30032ADB" w:rsidR="00D058C0" w:rsidRDefault="00F61DA7" w:rsidP="00426F73">
            <w:r>
              <w:t>5.3.3.1 Bet kuri Sutarties šalis Sutarties galiojimo metu turi teisę inicijuoti Sutarties įkainių peržiūrą (keitimą) ne anksčiau kaip po 12</w:t>
            </w:r>
            <w:r w:rsidR="00D058C0">
              <w:t xml:space="preserve"> (dvylikos)</w:t>
            </w:r>
            <w:r>
              <w:t xml:space="preserve"> mėnesių  nuo Sutarties įsigaliojimo dienos (jeigu peržiūra jau buvo atlikta – nuo Susitarimo dėl paskutinio perskaičiavimo pagal šį Specialiųjų sąlygų punktą įsigaliojimo dienos). </w:t>
            </w:r>
            <w:r w:rsidRPr="007458EA">
              <w:t xml:space="preserve">Sutarties įkainių peržiūra atliekama ne </w:t>
            </w:r>
            <w:r w:rsidR="00E14C73" w:rsidRPr="007458EA">
              <w:t>dažniau</w:t>
            </w:r>
            <w:r w:rsidRPr="007458EA">
              <w:t xml:space="preserve"> kaip kas</w:t>
            </w:r>
            <w:r w:rsidR="00D058C0" w:rsidRPr="007458EA">
              <w:t xml:space="preserve"> </w:t>
            </w:r>
            <w:r w:rsidRPr="007458EA">
              <w:t xml:space="preserve">12 </w:t>
            </w:r>
            <w:r w:rsidR="007458EA" w:rsidRPr="007458EA">
              <w:t xml:space="preserve">(dvylika) </w:t>
            </w:r>
            <w:r w:rsidRPr="007458EA">
              <w:t>mėnesių.</w:t>
            </w:r>
            <w:r w:rsidRPr="00D058C0">
              <w:rPr>
                <w:color w:val="EE0000"/>
              </w:rPr>
              <w:br/>
            </w:r>
            <w:r>
              <w:t xml:space="preserve"> 5.3.3.2. Sutarties įkainiai peržiūrimi tik tai Sutarties daliai, kuri nėra </w:t>
            </w:r>
            <w:r>
              <w:lastRenderedPageBreak/>
              <w:t>išpirkta, t. y., Prekėms, kurios nėra priimtos ir apmokėtos. Vėlesnė Sutarties įkainių peržiūra negali apimti laikotarpio, už kurį jau buvo atliktas peržiūra.</w:t>
            </w:r>
            <w:r>
              <w:br/>
              <w:t xml:space="preserve"> 5.3.3.3. Jeigu Prekių tiekimas vėluoja dėl Tiekėjo kaltės, uždelstų pristatyti Prekių įkainiai nėra perskaičiuojami dėl kainų lygio kilimo (negali būti didinami).</w:t>
            </w:r>
            <w:r>
              <w:br/>
              <w:t xml:space="preserve"> 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(jei reikalaujama pateikti oficialų dokumentą, tuomet nurodyti kokį).</w:t>
            </w:r>
            <w:r>
              <w:br/>
              <w:t xml:space="preserve"> 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r>
              <w:br/>
              <w:t xml:space="preserve"> 5.3.3.6. Nauja Sutarties įkainiai apskaičiuojami pagal žemiau pateiktą formulę (arba nurodyti kitą Sutarties įkainius perskaičiavimo formulę):</w:t>
            </w:r>
            <w:r>
              <w:br/>
              <w:t xml:space="preserve"> a_1=a+(k/100×a), kur a – įkainis (Eur be PVM)) (jei peržiūra jau buvo atlikta, tai po paskutinio perskaičiavimo) </w:t>
            </w:r>
            <w:r>
              <w:br/>
              <w:t xml:space="preserve"> a1 – perskaičiuota (pakeista) įkainis (Eur be PVM) </w:t>
            </w:r>
            <w:r>
              <w:br/>
              <w:t xml:space="preserve"> 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r>
              <w:br/>
              <w:t xml:space="preserve"> k =</w:t>
            </w:r>
            <w:proofErr w:type="spellStart"/>
            <w:r>
              <w:t>Ind_naujausias</w:t>
            </w:r>
            <w:proofErr w:type="spellEnd"/>
            <w:r>
              <w:t>/</w:t>
            </w:r>
            <w:proofErr w:type="spellStart"/>
            <w:r>
              <w:t>Ind_pradžia</w:t>
            </w:r>
            <w:proofErr w:type="spellEnd"/>
            <w:r>
              <w:t xml:space="preserve"> ×100-100, (proc.) kur</w:t>
            </w:r>
            <w:r>
              <w:br/>
              <w:t xml:space="preserve"> </w:t>
            </w:r>
            <w:proofErr w:type="spellStart"/>
            <w:r>
              <w:t>Indnaujausias</w:t>
            </w:r>
            <w:proofErr w:type="spellEnd"/>
            <w: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16038C3C" w14:textId="048FDF3D" w:rsidR="00F61DA7" w:rsidRDefault="00D058C0" w:rsidP="00426F73">
            <w:pPr>
              <w:jc w:val="both"/>
            </w:pPr>
            <w:proofErr w:type="spellStart"/>
            <w:r w:rsidRPr="00CD58D4">
              <w:rPr>
                <w:kern w:val="2"/>
              </w:rPr>
              <w:t>Ind</w:t>
            </w:r>
            <w:r w:rsidRPr="00CD58D4">
              <w:rPr>
                <w:kern w:val="2"/>
                <w:vertAlign w:val="subscript"/>
              </w:rPr>
              <w:t>pradžia</w:t>
            </w:r>
            <w:proofErr w:type="spellEnd"/>
            <w:r w:rsidRPr="00CD58D4">
              <w:rPr>
                <w:kern w:val="2"/>
              </w:rPr>
              <w:t xml:space="preserve"> – laikotarpio pradžios datos (mėnesio) vartojimo prekių ir paslaugų indeksas </w:t>
            </w:r>
            <w:r w:rsidRPr="00CD58D4">
              <w:rPr>
                <w:kern w:val="2"/>
                <w:szCs w:val="24"/>
              </w:rPr>
              <w:t>(duomenys, kuriais remiamasi vertinant kainų lygio kitimą: Valstybės duomenų agentūros portale (</w:t>
            </w:r>
            <w:hyperlink r:id="rId11" w:history="1">
              <w:r w:rsidRPr="00CD58D4">
                <w:rPr>
                  <w:rStyle w:val="Hipersaitas"/>
                  <w:color w:val="auto"/>
                  <w:kern w:val="2"/>
                  <w:szCs w:val="24"/>
                </w:rPr>
                <w:t>https://vda.lrv.lt</w:t>
              </w:r>
            </w:hyperlink>
            <w:r w:rsidRPr="00CD58D4">
              <w:rPr>
                <w:kern w:val="2"/>
                <w:szCs w:val="24"/>
              </w:rPr>
              <w:t>) skelbiamoje Ūkio subjektams suteiktų paslaugų kainų indeksai (</w:t>
            </w:r>
            <w:r>
              <w:rPr>
                <w:kern w:val="2"/>
                <w:szCs w:val="24"/>
              </w:rPr>
              <w:t>VKI</w:t>
            </w:r>
            <w:r w:rsidRPr="00CD58D4">
              <w:rPr>
                <w:kern w:val="2"/>
                <w:szCs w:val="24"/>
              </w:rPr>
              <w:t>) ir kainų pokyčiai – (</w:t>
            </w:r>
            <w:r>
              <w:rPr>
                <w:kern w:val="2"/>
                <w:szCs w:val="24"/>
              </w:rPr>
              <w:t>CPO74</w:t>
            </w:r>
            <w:r w:rsidRPr="00CD58D4">
              <w:rPr>
                <w:kern w:val="2"/>
                <w:szCs w:val="24"/>
              </w:rPr>
              <w:t xml:space="preserve"> – </w:t>
            </w:r>
            <w:r w:rsidR="00875554">
              <w:rPr>
                <w:i/>
                <w:iCs/>
                <w:kern w:val="2"/>
                <w:szCs w:val="24"/>
              </w:rPr>
              <w:t>Prekių gabenimo paslaugos</w:t>
            </w:r>
            <w:r w:rsidRPr="00CD58D4">
              <w:rPr>
                <w:kern w:val="2"/>
                <w:szCs w:val="24"/>
              </w:rPr>
              <w:t>)</w:t>
            </w:r>
            <w:r w:rsidRPr="00CD58D4">
              <w:rPr>
                <w:kern w:val="2"/>
              </w:rPr>
              <w:t>. Pirmojo perskaičiavimo atveju laikotarpio pradžia (mėnuo) yra</w:t>
            </w:r>
            <w:r w:rsidRPr="00CD58D4">
              <w:t xml:space="preserve"> Sutarties įsigaliojimo dienos mėnuo. </w:t>
            </w:r>
            <w:r w:rsidRPr="00CD58D4">
              <w:rPr>
                <w:kern w:val="2"/>
              </w:rPr>
              <w:t>Antrojo ir vėlesnių perskaičiavimų atveju laikotarpio pradžia (mėnuo) yra paskutinio perskaičiavimo metu naudotos paskelbto atitinkamo indekso reikšmės mėnuo.</w:t>
            </w:r>
            <w:r w:rsidR="00F61DA7">
              <w:br/>
              <w:t xml:space="preserve"> 5.3.3.7. Skaičiavimams indeksų reikšmės imamos keturių skaitmenų po kablelio tikslumu. Apskaičiuotas pokytis (k) tolimesniems </w:t>
            </w:r>
            <w:r w:rsidR="00F61DA7">
              <w:lastRenderedPageBreak/>
              <w:t>skaičiavimams naudojamas suapvalinus iki vieno skaitmens po kablelio, o apskaičiuotas įkainis „a1“ suapvalinamas iki dviejų skaitmenų po kablelio.</w:t>
            </w:r>
            <w:r w:rsidR="00F61DA7">
              <w:br/>
              <w:t xml:space="preserve"> 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r w:rsidR="00F61DA7">
              <w:br/>
              <w:t xml:space="preserve"> 5.3.3.9. Susitarimas turi būti sudarytas per (nurodyti terminą) nuo Šalies pateikto tinkamo prašymo perskaičiuoti Sutarties įkainius gavimo dienos.</w:t>
            </w:r>
            <w:r w:rsidR="00F61DA7">
              <w:br/>
              <w:t xml:space="preserve"> 5.3.3.10. Susitarimu Šalys neturi teisės keisti procedūroje nurodytos tvarkos ar kitų Sutarties nuostatų, išskyrus, jei keitimas atliekamas pagal VPĮ nuostatas.</w:t>
            </w:r>
          </w:p>
        </w:tc>
      </w:tr>
      <w:tr w:rsidR="00F61DA7" w14:paraId="0C91FD58" w14:textId="77777777">
        <w:tc>
          <w:tcPr>
            <w:tcW w:w="2704" w:type="dxa"/>
          </w:tcPr>
          <w:p w14:paraId="0477D2B6" w14:textId="77777777" w:rsidR="00F61DA7" w:rsidRDefault="00F61DA7" w:rsidP="00F61DA7">
            <w:r>
              <w:rPr>
                <w:b/>
              </w:rPr>
              <w:lastRenderedPageBreak/>
              <w:t>5.4. Sutarties kainos / įkainių apskaičiavimas taikant kiekio (apimties) keitimo taisykles</w:t>
            </w:r>
          </w:p>
        </w:tc>
        <w:tc>
          <w:tcPr>
            <w:tcW w:w="6831" w:type="dxa"/>
          </w:tcPr>
          <w:p w14:paraId="03DB3BCE" w14:textId="77777777" w:rsidR="00F61DA7" w:rsidRDefault="00F61DA7" w:rsidP="00F61DA7">
            <w:r>
              <w:t>Netaikoma</w:t>
            </w:r>
          </w:p>
        </w:tc>
      </w:tr>
      <w:tr w:rsidR="00F61DA7" w14:paraId="4C31276A" w14:textId="77777777">
        <w:tc>
          <w:tcPr>
            <w:tcW w:w="2704" w:type="dxa"/>
          </w:tcPr>
          <w:p w14:paraId="57B0D296" w14:textId="77777777" w:rsidR="00F61DA7" w:rsidRDefault="00F61DA7" w:rsidP="00F61DA7">
            <w:r>
              <w:rPr>
                <w:b/>
              </w:rPr>
              <w:t>5.5. Atsiskaitymo su Tiekėju terminas ir tvarka</w:t>
            </w:r>
          </w:p>
        </w:tc>
        <w:tc>
          <w:tcPr>
            <w:tcW w:w="6831" w:type="dxa"/>
          </w:tcPr>
          <w:p w14:paraId="358BB87B" w14:textId="12617703" w:rsidR="00F61DA7" w:rsidRDefault="00F61DA7" w:rsidP="00F61DA7">
            <w:r>
              <w:t>Pirkėjas atsiskaito su Tiekėju ne vėliau kaip per 30 d. nuo Sąskaitos gavimo dienos. Apmokėjimo sąlygos: įvykdžius užsakymą, mokama už konkretų kiekį / apimtį pagal nustatytus įkainius.</w:t>
            </w:r>
          </w:p>
        </w:tc>
      </w:tr>
      <w:tr w:rsidR="00F61DA7" w14:paraId="7A6A60DE" w14:textId="77777777">
        <w:tc>
          <w:tcPr>
            <w:tcW w:w="2704" w:type="dxa"/>
          </w:tcPr>
          <w:p w14:paraId="14C1FA75" w14:textId="77777777" w:rsidR="00F61DA7" w:rsidRDefault="00F61DA7" w:rsidP="00F61DA7">
            <w:r>
              <w:rPr>
                <w:b/>
              </w:rPr>
              <w:t>5.6. Avansas</w:t>
            </w:r>
          </w:p>
        </w:tc>
        <w:tc>
          <w:tcPr>
            <w:tcW w:w="6831" w:type="dxa"/>
          </w:tcPr>
          <w:p w14:paraId="70B21206" w14:textId="77777777" w:rsidR="00F61DA7" w:rsidRDefault="00F61DA7" w:rsidP="00F61DA7">
            <w:r>
              <w:t>Netaikoma</w:t>
            </w:r>
          </w:p>
        </w:tc>
      </w:tr>
      <w:tr w:rsidR="00F61DA7" w14:paraId="70220369" w14:textId="77777777">
        <w:tc>
          <w:tcPr>
            <w:tcW w:w="2704" w:type="dxa"/>
          </w:tcPr>
          <w:p w14:paraId="5E132C0B" w14:textId="77777777" w:rsidR="00F61DA7" w:rsidRDefault="00F61DA7" w:rsidP="00F61DA7">
            <w:r>
              <w:rPr>
                <w:b/>
              </w:rPr>
              <w:t>5.7. Avanso užtikrinimas</w:t>
            </w:r>
          </w:p>
        </w:tc>
        <w:tc>
          <w:tcPr>
            <w:tcW w:w="6831" w:type="dxa"/>
          </w:tcPr>
          <w:p w14:paraId="208D8487" w14:textId="77777777" w:rsidR="00F61DA7" w:rsidRDefault="00F61DA7" w:rsidP="00F61DA7">
            <w:r>
              <w:t>Netaikoma</w:t>
            </w:r>
          </w:p>
        </w:tc>
      </w:tr>
    </w:tbl>
    <w:p w14:paraId="63E9C13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74DF916" w14:textId="77777777" w:rsidTr="00C8059E">
        <w:trPr>
          <w:trHeight w:val="300"/>
        </w:trPr>
        <w:tc>
          <w:tcPr>
            <w:tcW w:w="9535" w:type="dxa"/>
            <w:gridSpan w:val="2"/>
          </w:tcPr>
          <w:p w14:paraId="19A62E61" w14:textId="77777777" w:rsidR="00275CF9" w:rsidRDefault="00275CF9" w:rsidP="00C8059E">
            <w:pPr>
              <w:jc w:val="center"/>
              <w:rPr>
                <w:b/>
                <w:bCs/>
                <w:kern w:val="2"/>
                <w:szCs w:val="24"/>
              </w:rPr>
            </w:pPr>
            <w:r>
              <w:rPr>
                <w:b/>
                <w:bCs/>
                <w:kern w:val="2"/>
                <w:szCs w:val="24"/>
              </w:rPr>
              <w:t>6. PREKIŲ KOKYBĖ IR GARANTINIAI ĮSIPAREIGOJIMAI</w:t>
            </w:r>
          </w:p>
        </w:tc>
      </w:tr>
      <w:tr w:rsidR="00275CF9" w14:paraId="697D9268" w14:textId="77777777" w:rsidTr="00C8059E">
        <w:trPr>
          <w:trHeight w:val="300"/>
        </w:trPr>
        <w:tc>
          <w:tcPr>
            <w:tcW w:w="2704" w:type="dxa"/>
          </w:tcPr>
          <w:p w14:paraId="25597D29" w14:textId="77777777" w:rsidR="00275CF9" w:rsidRDefault="00275CF9" w:rsidP="00C8059E">
            <w:pPr>
              <w:rPr>
                <w:b/>
                <w:bCs/>
                <w:kern w:val="2"/>
                <w:szCs w:val="24"/>
              </w:rPr>
            </w:pPr>
            <w:r>
              <w:rPr>
                <w:b/>
              </w:rPr>
              <w:t>6.1. Garantinis terminas</w:t>
            </w:r>
          </w:p>
        </w:tc>
        <w:tc>
          <w:tcPr>
            <w:tcW w:w="6831" w:type="dxa"/>
          </w:tcPr>
          <w:p w14:paraId="75236243" w14:textId="77777777" w:rsidR="00275CF9" w:rsidRDefault="00275CF9" w:rsidP="00C8059E">
            <w:pPr>
              <w:rPr>
                <w:color w:val="4472C4"/>
                <w:kern w:val="2"/>
                <w:szCs w:val="24"/>
              </w:rPr>
            </w:pPr>
            <w:r>
              <w:t>Netaikoma</w:t>
            </w:r>
          </w:p>
        </w:tc>
      </w:tr>
      <w:tr w:rsidR="002C2FDC" w14:paraId="00E1A324" w14:textId="77777777" w:rsidTr="00D45ABE">
        <w:trPr>
          <w:trHeight w:val="518"/>
        </w:trPr>
        <w:tc>
          <w:tcPr>
            <w:tcW w:w="2704" w:type="dxa"/>
          </w:tcPr>
          <w:p w14:paraId="1166998B" w14:textId="77777777" w:rsidR="002C2FDC" w:rsidRDefault="002861FB">
            <w:r w:rsidRPr="00C215B0">
              <w:rPr>
                <w:b/>
              </w:rPr>
              <w:t>6.3. Kokybinių kriterijų įgyvendinimo ir tikrinimo tvarka</w:t>
            </w:r>
          </w:p>
        </w:tc>
        <w:tc>
          <w:tcPr>
            <w:tcW w:w="6831" w:type="dxa"/>
          </w:tcPr>
          <w:p w14:paraId="281D2358" w14:textId="0E5C2FF2" w:rsidR="002C2FDC" w:rsidRDefault="00214BD6">
            <w:r>
              <w:t>Netaikoma</w:t>
            </w:r>
          </w:p>
        </w:tc>
      </w:tr>
    </w:tbl>
    <w:p w14:paraId="6B3C4A1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DC8B2F6" w14:textId="77777777" w:rsidTr="00C8059E">
        <w:trPr>
          <w:trHeight w:val="300"/>
        </w:trPr>
        <w:tc>
          <w:tcPr>
            <w:tcW w:w="9535" w:type="dxa"/>
            <w:gridSpan w:val="2"/>
          </w:tcPr>
          <w:p w14:paraId="02F2F5B4" w14:textId="77777777" w:rsidR="00275CF9" w:rsidRDefault="00275CF9" w:rsidP="00C8059E">
            <w:pPr>
              <w:jc w:val="center"/>
              <w:rPr>
                <w:b/>
                <w:bCs/>
                <w:kern w:val="2"/>
                <w:szCs w:val="24"/>
              </w:rPr>
            </w:pPr>
            <w:r>
              <w:rPr>
                <w:b/>
                <w:bCs/>
                <w:kern w:val="2"/>
                <w:szCs w:val="24"/>
              </w:rPr>
              <w:t>7. SUTARTIES VYKDYMUI PASITELKIAMI SUBTIEKĖJAI</w:t>
            </w:r>
          </w:p>
        </w:tc>
      </w:tr>
      <w:tr w:rsidR="00275CF9" w14:paraId="6C9FD705" w14:textId="77777777" w:rsidTr="00C8059E">
        <w:trPr>
          <w:trHeight w:val="300"/>
        </w:trPr>
        <w:tc>
          <w:tcPr>
            <w:tcW w:w="2704" w:type="dxa"/>
          </w:tcPr>
          <w:p w14:paraId="57866687" w14:textId="77777777" w:rsidR="00275CF9" w:rsidRDefault="00275CF9" w:rsidP="00C8059E">
            <w:pPr>
              <w:rPr>
                <w:b/>
                <w:bCs/>
                <w:kern w:val="2"/>
                <w:szCs w:val="24"/>
              </w:rPr>
            </w:pPr>
            <w:r>
              <w:rPr>
                <w:b/>
              </w:rPr>
              <w:t>Sutarties vykdymui pasitelkiami subtiekėjai ir (ar) specialistai</w:t>
            </w:r>
          </w:p>
        </w:tc>
        <w:tc>
          <w:tcPr>
            <w:tcW w:w="6831" w:type="dxa"/>
          </w:tcPr>
          <w:p w14:paraId="5A182DBF" w14:textId="77777777" w:rsidR="00275CF9" w:rsidRDefault="00275CF9" w:rsidP="00C8059E">
            <w:pPr>
              <w:rPr>
                <w:color w:val="4472C4"/>
                <w:kern w:val="2"/>
                <w:szCs w:val="24"/>
              </w:rPr>
            </w:pPr>
            <w:r>
              <w:t>Sutarties vykdymui subtiekėjai ir (ar) specialistai nepasitelkiami.</w:t>
            </w:r>
            <w:r>
              <w:br/>
            </w:r>
            <w:r>
              <w:br/>
              <w:t xml:space="preserve"> arba</w:t>
            </w:r>
            <w:r>
              <w:br/>
            </w:r>
            <w:r>
              <w:br/>
              <w:t xml:space="preserve"> Sutarties vykdymui pasitelkiami subtiekėjai ir (ar) specialistai yra nurodyti Sutarties priede Nr. [...] „Sutarties vykdymui pasitelkiami subtiekėjai ir (ar) specialistai“</w:t>
            </w:r>
          </w:p>
        </w:tc>
      </w:tr>
    </w:tbl>
    <w:p w14:paraId="4B08C47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2717374" w14:textId="77777777" w:rsidTr="00C8059E">
        <w:trPr>
          <w:trHeight w:val="300"/>
        </w:trPr>
        <w:tc>
          <w:tcPr>
            <w:tcW w:w="9535" w:type="dxa"/>
            <w:gridSpan w:val="2"/>
          </w:tcPr>
          <w:p w14:paraId="2A65E791" w14:textId="77777777" w:rsidR="00275CF9" w:rsidRDefault="00275CF9" w:rsidP="00C8059E">
            <w:pPr>
              <w:jc w:val="center"/>
              <w:rPr>
                <w:b/>
                <w:bCs/>
                <w:kern w:val="2"/>
                <w:szCs w:val="24"/>
              </w:rPr>
            </w:pPr>
            <w:r>
              <w:rPr>
                <w:b/>
                <w:bCs/>
                <w:kern w:val="2"/>
                <w:szCs w:val="24"/>
              </w:rPr>
              <w:lastRenderedPageBreak/>
              <w:t>8. PRIEVOLIŲ PAGAL SUTARTĮ ĮVYKDYMO UŽTIKRINIMAS</w:t>
            </w:r>
          </w:p>
        </w:tc>
      </w:tr>
      <w:tr w:rsidR="00275CF9" w14:paraId="64D16888" w14:textId="77777777" w:rsidTr="00C8059E">
        <w:trPr>
          <w:trHeight w:val="300"/>
        </w:trPr>
        <w:tc>
          <w:tcPr>
            <w:tcW w:w="2704" w:type="dxa"/>
          </w:tcPr>
          <w:p w14:paraId="7566F172" w14:textId="77777777" w:rsidR="00275CF9" w:rsidRDefault="00275CF9" w:rsidP="00C8059E">
            <w:pPr>
              <w:rPr>
                <w:b/>
                <w:bCs/>
                <w:kern w:val="2"/>
                <w:szCs w:val="24"/>
              </w:rPr>
            </w:pPr>
            <w:r>
              <w:rPr>
                <w:b/>
              </w:rPr>
              <w:t>8.1. Prievolių pagal Sutartį įvykdymo užtikrinimas</w:t>
            </w:r>
          </w:p>
        </w:tc>
        <w:tc>
          <w:tcPr>
            <w:tcW w:w="6831" w:type="dxa"/>
          </w:tcPr>
          <w:p w14:paraId="2C3C20F8" w14:textId="05AFC8F4" w:rsidR="00214BD6" w:rsidRDefault="00275CF9" w:rsidP="00C8059E">
            <w:pPr>
              <w:rPr>
                <w:color w:val="4472C4"/>
                <w:kern w:val="2"/>
                <w:szCs w:val="24"/>
              </w:rPr>
            </w:pPr>
            <w:r>
              <w:t xml:space="preserve">Prievolių pagal Sutartį </w:t>
            </w:r>
            <w:r w:rsidR="004B4FF1">
              <w:t>įvykdymas</w:t>
            </w:r>
            <w:r>
              <w:t xml:space="preserve"> užtikrinimas:</w:t>
            </w:r>
          </w:p>
          <w:p w14:paraId="5514EBE4" w14:textId="3EE3CD4A" w:rsidR="00214BD6" w:rsidRPr="00214BD6" w:rsidRDefault="00214BD6" w:rsidP="00214BD6">
            <w:pPr>
              <w:pStyle w:val="Default"/>
              <w:rPr>
                <w:rFonts w:asciiTheme="majorBidi" w:hAnsiTheme="majorBidi" w:cstheme="majorBidi"/>
              </w:rPr>
            </w:pPr>
            <w:r w:rsidRPr="00214BD6">
              <w:rPr>
                <w:rFonts w:asciiTheme="majorBidi" w:hAnsiTheme="majorBidi" w:cstheme="majorBidi"/>
              </w:rPr>
              <w:t>Netesybomis (delspinigiais, bauda).</w:t>
            </w:r>
          </w:p>
          <w:p w14:paraId="0949871F" w14:textId="39347368" w:rsidR="00275CF9" w:rsidRDefault="00275CF9" w:rsidP="00C8059E">
            <w:pPr>
              <w:rPr>
                <w:color w:val="4472C4"/>
                <w:kern w:val="2"/>
                <w:szCs w:val="24"/>
              </w:rPr>
            </w:pPr>
          </w:p>
        </w:tc>
      </w:tr>
      <w:tr w:rsidR="002C2FDC" w14:paraId="480AE345" w14:textId="77777777">
        <w:tc>
          <w:tcPr>
            <w:tcW w:w="2704" w:type="dxa"/>
          </w:tcPr>
          <w:p w14:paraId="50A4130E" w14:textId="77777777" w:rsidR="002C2FDC" w:rsidRDefault="002861FB">
            <w:r>
              <w:rPr>
                <w:b/>
              </w:rPr>
              <w:t>8.2. Sutarties įvykdymo užtikrinimo galiojimo terminas</w:t>
            </w:r>
          </w:p>
        </w:tc>
        <w:tc>
          <w:tcPr>
            <w:tcW w:w="6831" w:type="dxa"/>
          </w:tcPr>
          <w:p w14:paraId="417BDE45" w14:textId="77777777" w:rsidR="002C2FDC" w:rsidRDefault="002861FB">
            <w:r>
              <w:t>Sutarties įvykdymo užtikrinimo galiojimo terminas turi būti ne trumpesnis nei Sutarties galiojimo terminas.</w:t>
            </w:r>
          </w:p>
        </w:tc>
      </w:tr>
      <w:tr w:rsidR="002C2FDC" w14:paraId="57B05F96" w14:textId="77777777">
        <w:tc>
          <w:tcPr>
            <w:tcW w:w="2704" w:type="dxa"/>
          </w:tcPr>
          <w:p w14:paraId="64BD9E9D" w14:textId="77777777" w:rsidR="002C2FDC" w:rsidRDefault="002861FB">
            <w:r>
              <w:rPr>
                <w:b/>
              </w:rPr>
              <w:t xml:space="preserve">8.3. Sutarties įvykdymo užtikrinimo pateikimas </w:t>
            </w:r>
          </w:p>
        </w:tc>
        <w:tc>
          <w:tcPr>
            <w:tcW w:w="6831" w:type="dxa"/>
          </w:tcPr>
          <w:p w14:paraId="6CD55589" w14:textId="77777777" w:rsidR="00E23732" w:rsidRPr="00E23732" w:rsidRDefault="00E23732" w:rsidP="00E23732">
            <w:r w:rsidRPr="00E23732">
              <w:t>Netaikoma</w:t>
            </w:r>
          </w:p>
          <w:p w14:paraId="597AD0FD" w14:textId="271507B4" w:rsidR="002C2FDC" w:rsidRDefault="002C2FDC"/>
        </w:tc>
      </w:tr>
    </w:tbl>
    <w:p w14:paraId="244FE9F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E665E63" w14:textId="77777777" w:rsidTr="00C8059E">
        <w:trPr>
          <w:trHeight w:val="300"/>
        </w:trPr>
        <w:tc>
          <w:tcPr>
            <w:tcW w:w="9535" w:type="dxa"/>
            <w:gridSpan w:val="2"/>
          </w:tcPr>
          <w:p w14:paraId="28D0695A" w14:textId="77777777" w:rsidR="00275CF9" w:rsidRDefault="00275CF9" w:rsidP="00C8059E">
            <w:pPr>
              <w:jc w:val="center"/>
              <w:rPr>
                <w:b/>
                <w:bCs/>
                <w:kern w:val="2"/>
                <w:szCs w:val="24"/>
              </w:rPr>
            </w:pPr>
            <w:r>
              <w:rPr>
                <w:b/>
                <w:bCs/>
                <w:kern w:val="2"/>
                <w:szCs w:val="24"/>
              </w:rPr>
              <w:t>9. ŠALIŲ ATSAKOMYBĖ</w:t>
            </w:r>
          </w:p>
        </w:tc>
      </w:tr>
      <w:tr w:rsidR="00275CF9" w14:paraId="79A5CE66" w14:textId="77777777" w:rsidTr="00C8059E">
        <w:trPr>
          <w:trHeight w:val="300"/>
        </w:trPr>
        <w:tc>
          <w:tcPr>
            <w:tcW w:w="2704" w:type="dxa"/>
          </w:tcPr>
          <w:p w14:paraId="183FDAC0" w14:textId="77777777" w:rsidR="00275CF9" w:rsidRDefault="00275CF9" w:rsidP="00C8059E">
            <w:pPr>
              <w:rPr>
                <w:b/>
                <w:bCs/>
                <w:kern w:val="2"/>
                <w:szCs w:val="24"/>
              </w:rPr>
            </w:pPr>
            <w:r>
              <w:rPr>
                <w:b/>
              </w:rPr>
              <w:t>9.1. Pirkėjui taikomos netesybos už mokėjimų pagal Sutartį vėlavimą</w:t>
            </w:r>
          </w:p>
        </w:tc>
        <w:tc>
          <w:tcPr>
            <w:tcW w:w="6831" w:type="dxa"/>
          </w:tcPr>
          <w:p w14:paraId="64B7C8F8" w14:textId="6BDF3045" w:rsidR="00275CF9" w:rsidRDefault="00275CF9" w:rsidP="00C8059E">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w:t>
            </w:r>
            <w:r w:rsidR="003551E6">
              <w:t>5</w:t>
            </w:r>
            <w:r>
              <w:t xml:space="preserve"> (</w:t>
            </w:r>
            <w:r w:rsidR="003551E6">
              <w:t>penkios</w:t>
            </w:r>
            <w:r>
              <w:t xml:space="preserve"> šimtosios) procento dydžio delspinigius nuo neapmokėtos sumos be PVM už kiekvieną vėlavimo dieną.</w:t>
            </w:r>
          </w:p>
        </w:tc>
      </w:tr>
      <w:tr w:rsidR="002C2FDC" w14:paraId="7BDF2C47" w14:textId="77777777">
        <w:tc>
          <w:tcPr>
            <w:tcW w:w="2704" w:type="dxa"/>
          </w:tcPr>
          <w:p w14:paraId="68EC0601" w14:textId="77777777" w:rsidR="002C2FDC" w:rsidRDefault="002861FB">
            <w:r>
              <w:rPr>
                <w:b/>
              </w:rPr>
              <w:t>9.2. Tiekėjui taikomos netesybos</w:t>
            </w:r>
          </w:p>
        </w:tc>
        <w:tc>
          <w:tcPr>
            <w:tcW w:w="6831" w:type="dxa"/>
          </w:tcPr>
          <w:p w14:paraId="41AF4462" w14:textId="7F1AE2C7" w:rsidR="002C2FDC" w:rsidRDefault="002861FB">
            <w:r>
              <w:t>9.2.1. Jeigu Tiekėjas vėluoja vykdyti užsakymą, tiekti Prekes ar ištaisyti jų trūkumus arba nevykdo kitų sutartinių įsipareigojimų, Pirkėjas nuo kitos nei nustatytas terminas dienos Tiekėjui skaičiuoja 0,0</w:t>
            </w:r>
            <w:r w:rsidR="008B67F1">
              <w:t>5</w:t>
            </w:r>
            <w:r>
              <w:t xml:space="preserve"> (</w:t>
            </w:r>
            <w:r w:rsidR="008B67F1">
              <w:t>penkios</w:t>
            </w:r>
            <w:r>
              <w:t xml:space="preserve"> šimtosios) procento dydžio delspinigius už kiekvieną uždelstą dieną nuo laiku neperduotų Prekių ar Prekių, turinčių trūkumų, kainos be PVM. </w:t>
            </w:r>
            <w:r>
              <w:br/>
            </w:r>
            <w:r>
              <w:br/>
              <w:t xml:space="preserve">  9.2.2. Jeigu Tiekėjas vėluoja grąžinti dėl Tiekėjui mokėtinos sumos sumažinimo susidariusią permoką pagal Bendrųjų sąlygų 7.4.1.2 punktą, Pirkėjas nuo kitos nei nustatytas terminas dienos Tiekėjui skaičiuoja 0,0</w:t>
            </w:r>
            <w:r w:rsidR="003551E6">
              <w:t>5</w:t>
            </w:r>
            <w:r>
              <w:t xml:space="preserve"> (</w:t>
            </w:r>
            <w:r w:rsidR="003551E6">
              <w:t>penkios</w:t>
            </w:r>
            <w:r>
              <w:t xml:space="preserve"> šimtosios) procento dydžio delspinigius už kiekvieną uždelstą dieną nuo laiku negrąžintos permokos, kainos be PVM.</w:t>
            </w:r>
            <w:r>
              <w:br/>
            </w:r>
            <w:r>
              <w:br/>
              <w:t xml:space="preserve">  9.2.3. Tiekėjas privalo sumokėti Pirkėjui netesybas per 10 darbo dienų nuo Pirkėjo pareikalavimo, jeigu netesybų suma nėra išskaitoma iš Tiekėjui mokėtinos sumos. </w:t>
            </w:r>
          </w:p>
        </w:tc>
      </w:tr>
      <w:tr w:rsidR="002C2FDC" w14:paraId="266BD83F" w14:textId="77777777">
        <w:tc>
          <w:tcPr>
            <w:tcW w:w="2704" w:type="dxa"/>
          </w:tcPr>
          <w:p w14:paraId="3BB2A757" w14:textId="77777777" w:rsidR="002C2FDC" w:rsidRDefault="002861FB">
            <w:r>
              <w:rPr>
                <w:b/>
              </w:rPr>
              <w:t>9.3. Tiekėjui / Pirkėjui taikoma bauda nutraukus Sutartį dėl esminio Sutarties pažeidimo</w:t>
            </w:r>
          </w:p>
        </w:tc>
        <w:tc>
          <w:tcPr>
            <w:tcW w:w="6831" w:type="dxa"/>
          </w:tcPr>
          <w:p w14:paraId="4FCA7EB5" w14:textId="0B711570" w:rsidR="002C2FDC" w:rsidRDefault="002861FB">
            <w:r>
              <w:t xml:space="preserve">9.3.1. Nutraukus Sutartį dėl esminio Sutarties pažeidimo, mokama 5000 </w:t>
            </w:r>
            <w:r w:rsidR="003060E0">
              <w:t>E</w:t>
            </w:r>
            <w:r>
              <w:t>ur. Eur dydžio bauda.</w:t>
            </w:r>
          </w:p>
        </w:tc>
      </w:tr>
      <w:tr w:rsidR="002C2FDC" w14:paraId="0B51CC48" w14:textId="77777777">
        <w:tc>
          <w:tcPr>
            <w:tcW w:w="2704" w:type="dxa"/>
          </w:tcPr>
          <w:p w14:paraId="1253B158" w14:textId="77777777" w:rsidR="002C2FDC" w:rsidRDefault="002861FB">
            <w:r>
              <w:rPr>
                <w:b/>
              </w:rPr>
              <w:t xml:space="preserve">9.4. Tiekėjui taikoma bauda dėl esamų subtiekėjų ar specialistų pakeitimo / naujų subtiekėjų pasitelkimo nesilaikant Bendrosiose sąlygose nurodytos </w:t>
            </w:r>
            <w:r>
              <w:rPr>
                <w:b/>
              </w:rPr>
              <w:lastRenderedPageBreak/>
              <w:t xml:space="preserve">subtiekėjų ir (ar) specialistų keitimo tvarkos </w:t>
            </w:r>
          </w:p>
        </w:tc>
        <w:tc>
          <w:tcPr>
            <w:tcW w:w="6831" w:type="dxa"/>
          </w:tcPr>
          <w:p w14:paraId="2FC7493F" w14:textId="77777777" w:rsidR="002C2FDC" w:rsidRDefault="002861FB">
            <w:r>
              <w:lastRenderedPageBreak/>
              <w:t>Netaikoma</w:t>
            </w:r>
          </w:p>
        </w:tc>
      </w:tr>
      <w:tr w:rsidR="002C2FDC" w14:paraId="4FA730E8" w14:textId="77777777">
        <w:tc>
          <w:tcPr>
            <w:tcW w:w="2704" w:type="dxa"/>
          </w:tcPr>
          <w:p w14:paraId="5C16AA31" w14:textId="77777777" w:rsidR="002C2FDC" w:rsidRDefault="002861FB">
            <w:r>
              <w:rPr>
                <w:b/>
              </w:rPr>
              <w:t>9.5. Tiekėjui taikomos baudos dėl aplinkosauginių ir (arba) socialinių kriterijų nesilaikymo</w:t>
            </w:r>
          </w:p>
        </w:tc>
        <w:tc>
          <w:tcPr>
            <w:tcW w:w="6831" w:type="dxa"/>
          </w:tcPr>
          <w:p w14:paraId="32CD0953" w14:textId="06F03B93" w:rsidR="0083027D" w:rsidRPr="0083027D" w:rsidRDefault="0083027D" w:rsidP="0083027D">
            <w:r w:rsidRPr="0083027D">
              <w:t xml:space="preserve">Tiekėjui pristačius Prekes piko metų taikoma </w:t>
            </w:r>
            <w:r w:rsidR="001519BD">
              <w:t>1000</w:t>
            </w:r>
            <w:r w:rsidRPr="0083027D">
              <w:t xml:space="preserve"> Eur bauda.</w:t>
            </w:r>
          </w:p>
          <w:p w14:paraId="6C8BF0F1" w14:textId="7640E639" w:rsidR="002C2FDC" w:rsidRDefault="002C2FDC"/>
        </w:tc>
      </w:tr>
      <w:tr w:rsidR="002C2FDC" w14:paraId="220BBE17" w14:textId="77777777">
        <w:tc>
          <w:tcPr>
            <w:tcW w:w="2704" w:type="dxa"/>
          </w:tcPr>
          <w:p w14:paraId="5C0C08B9" w14:textId="77777777" w:rsidR="002C2FDC" w:rsidRDefault="002861FB">
            <w:r>
              <w:rPr>
                <w:b/>
              </w:rPr>
              <w:t>9.6. Tiekėjui / Pirkėjui taikoma bauda dėl konfidencialumo reikalavimų nesilaikymo</w:t>
            </w:r>
          </w:p>
        </w:tc>
        <w:tc>
          <w:tcPr>
            <w:tcW w:w="6831" w:type="dxa"/>
          </w:tcPr>
          <w:p w14:paraId="54B7963E" w14:textId="77777777" w:rsidR="002C2FDC" w:rsidRDefault="002861FB">
            <w:r>
              <w:t>Netaikoma</w:t>
            </w:r>
          </w:p>
        </w:tc>
      </w:tr>
      <w:tr w:rsidR="002C2FDC" w14:paraId="0A32FA72" w14:textId="77777777">
        <w:tc>
          <w:tcPr>
            <w:tcW w:w="2704" w:type="dxa"/>
          </w:tcPr>
          <w:p w14:paraId="37882B9B" w14:textId="77777777" w:rsidR="002C2FDC" w:rsidRDefault="002861FB">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7DFDBC6F" w14:textId="0015795A" w:rsidR="002C2FDC" w:rsidRDefault="002861FB">
            <w:r>
              <w:t xml:space="preserve">1000 </w:t>
            </w:r>
            <w:r w:rsidR="003060E0">
              <w:t>E</w:t>
            </w:r>
            <w:r>
              <w:t>ur</w:t>
            </w:r>
          </w:p>
        </w:tc>
      </w:tr>
      <w:tr w:rsidR="002C2FDC" w14:paraId="29BD0042" w14:textId="77777777">
        <w:tc>
          <w:tcPr>
            <w:tcW w:w="2704" w:type="dxa"/>
          </w:tcPr>
          <w:p w14:paraId="60BE8E4D" w14:textId="77777777" w:rsidR="002C2FDC" w:rsidRDefault="002861FB">
            <w:r>
              <w:rPr>
                <w:b/>
              </w:rPr>
              <w:t>9.8. Tiekėjui taikomos netesybos dėl Sutarties įvykdymo užtikrinimo nepratęsimo</w:t>
            </w:r>
          </w:p>
        </w:tc>
        <w:tc>
          <w:tcPr>
            <w:tcW w:w="6831" w:type="dxa"/>
          </w:tcPr>
          <w:p w14:paraId="0966043B" w14:textId="77777777" w:rsidR="002C2FDC" w:rsidRDefault="002861FB">
            <w:r>
              <w:t>Netaikoma</w:t>
            </w:r>
          </w:p>
        </w:tc>
      </w:tr>
      <w:tr w:rsidR="002C2FDC" w14:paraId="0F6CE1CE" w14:textId="77777777">
        <w:tc>
          <w:tcPr>
            <w:tcW w:w="2704" w:type="dxa"/>
          </w:tcPr>
          <w:p w14:paraId="52BFBFFD" w14:textId="77777777" w:rsidR="002C2FDC" w:rsidRDefault="002861FB">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213528D9" w14:textId="77777777" w:rsidR="002C2FDC" w:rsidRDefault="002861FB">
            <w:r>
              <w:t>Netaikoma</w:t>
            </w:r>
          </w:p>
        </w:tc>
      </w:tr>
      <w:tr w:rsidR="002C2FDC" w14:paraId="10E7BFC8" w14:textId="77777777">
        <w:tc>
          <w:tcPr>
            <w:tcW w:w="2704" w:type="dxa"/>
          </w:tcPr>
          <w:p w14:paraId="5F1F4E90" w14:textId="77777777" w:rsidR="002C2FDC" w:rsidRDefault="002861FB">
            <w:r>
              <w:rPr>
                <w:b/>
              </w:rPr>
              <w:t>9.10. Kitos netesybos</w:t>
            </w:r>
          </w:p>
        </w:tc>
        <w:tc>
          <w:tcPr>
            <w:tcW w:w="6831" w:type="dxa"/>
          </w:tcPr>
          <w:p w14:paraId="4F15C307" w14:textId="77777777" w:rsidR="002C2FDC" w:rsidRDefault="002861FB">
            <w:r>
              <w:t>Netaikoma</w:t>
            </w:r>
          </w:p>
        </w:tc>
      </w:tr>
    </w:tbl>
    <w:p w14:paraId="25B5262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4FF88501" w14:textId="77777777" w:rsidTr="00C8059E">
        <w:trPr>
          <w:trHeight w:val="300"/>
        </w:trPr>
        <w:tc>
          <w:tcPr>
            <w:tcW w:w="9535" w:type="dxa"/>
            <w:gridSpan w:val="2"/>
          </w:tcPr>
          <w:p w14:paraId="3184D552" w14:textId="77777777" w:rsidR="00EA5CC5" w:rsidRDefault="00EA5CC5" w:rsidP="00C8059E">
            <w:pPr>
              <w:jc w:val="center"/>
              <w:rPr>
                <w:b/>
                <w:bCs/>
                <w:kern w:val="2"/>
                <w:szCs w:val="24"/>
              </w:rPr>
            </w:pPr>
            <w:r>
              <w:rPr>
                <w:b/>
                <w:bCs/>
                <w:kern w:val="2"/>
                <w:szCs w:val="24"/>
              </w:rPr>
              <w:t>10. ESMINĖS SUTARTIES SĄLYGOS</w:t>
            </w:r>
          </w:p>
        </w:tc>
      </w:tr>
      <w:tr w:rsidR="00EA5CC5" w14:paraId="7AD62BC1" w14:textId="77777777" w:rsidTr="00C8059E">
        <w:trPr>
          <w:trHeight w:val="300"/>
        </w:trPr>
        <w:tc>
          <w:tcPr>
            <w:tcW w:w="2704" w:type="dxa"/>
          </w:tcPr>
          <w:p w14:paraId="0C134584" w14:textId="77777777" w:rsidR="00EA5CC5" w:rsidRDefault="00EA5CC5" w:rsidP="00C8059E">
            <w:pPr>
              <w:rPr>
                <w:b/>
                <w:bCs/>
                <w:kern w:val="2"/>
                <w:szCs w:val="24"/>
              </w:rPr>
            </w:pPr>
            <w:r>
              <w:rPr>
                <w:b/>
              </w:rPr>
              <w:t>10.1. Esminės Sutarties sąlygos</w:t>
            </w:r>
          </w:p>
        </w:tc>
        <w:tc>
          <w:tcPr>
            <w:tcW w:w="6831" w:type="dxa"/>
          </w:tcPr>
          <w:p w14:paraId="2990966D" w14:textId="2628774D" w:rsidR="00580840" w:rsidRPr="00F83668" w:rsidRDefault="00580840" w:rsidP="00580840">
            <w:pPr>
              <w:jc w:val="both"/>
              <w:rPr>
                <w:szCs w:val="24"/>
              </w:rPr>
            </w:pPr>
            <w:r>
              <w:rPr>
                <w:szCs w:val="24"/>
              </w:rPr>
              <w:t>P</w:t>
            </w:r>
            <w:r w:rsidRPr="00F83668">
              <w:rPr>
                <w:szCs w:val="24"/>
              </w:rPr>
              <w:t xml:space="preserve">ardavėjas turi pristatyti prekę savo transportu į Paberžės socialinės globos namus, adresu: Darbininkų g. 16, </w:t>
            </w:r>
            <w:proofErr w:type="spellStart"/>
            <w:r w:rsidRPr="00F83668">
              <w:rPr>
                <w:szCs w:val="24"/>
              </w:rPr>
              <w:t>Lygialaukio</w:t>
            </w:r>
            <w:proofErr w:type="spellEnd"/>
            <w:r w:rsidRPr="00F83668">
              <w:rPr>
                <w:szCs w:val="24"/>
              </w:rPr>
              <w:t xml:space="preserve"> k., Vilniaus r., </w:t>
            </w:r>
            <w:r>
              <w:rPr>
                <w:szCs w:val="24"/>
              </w:rPr>
              <w:t xml:space="preserve">per 2 darbo dienas </w:t>
            </w:r>
            <w:r w:rsidRPr="00F83668">
              <w:rPr>
                <w:szCs w:val="24"/>
              </w:rPr>
              <w:t>nuo užsakymo gavimo.</w:t>
            </w:r>
          </w:p>
          <w:p w14:paraId="5A5E9DBC" w14:textId="019DC8C1" w:rsidR="00EA5CC5" w:rsidRDefault="00EA5CC5" w:rsidP="00C8059E">
            <w:pPr>
              <w:rPr>
                <w:color w:val="4472C4"/>
                <w:kern w:val="2"/>
                <w:szCs w:val="24"/>
              </w:rPr>
            </w:pPr>
          </w:p>
        </w:tc>
      </w:tr>
      <w:tr w:rsidR="002C2FDC" w14:paraId="01E78CBF" w14:textId="77777777">
        <w:tc>
          <w:tcPr>
            <w:tcW w:w="2704" w:type="dxa"/>
          </w:tcPr>
          <w:p w14:paraId="055991FD" w14:textId="77777777" w:rsidR="002C2FDC" w:rsidRDefault="002861FB">
            <w:r>
              <w:rPr>
                <w:b/>
              </w:rPr>
              <w:t>10.2. Dideli arba nuolatiniai esminės Sutarties sąlygos vykdymo trūkumai</w:t>
            </w:r>
          </w:p>
        </w:tc>
        <w:tc>
          <w:tcPr>
            <w:tcW w:w="6831" w:type="dxa"/>
          </w:tcPr>
          <w:p w14:paraId="58424896" w14:textId="08F7C55C" w:rsidR="002C2FDC" w:rsidRDefault="00580840">
            <w:r>
              <w:t xml:space="preserve">Prekės pristatymo vėlavimas. </w:t>
            </w:r>
          </w:p>
        </w:tc>
      </w:tr>
    </w:tbl>
    <w:p w14:paraId="2B0F1E3B"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12CC4AC" w14:textId="77777777" w:rsidTr="00C8059E">
        <w:trPr>
          <w:trHeight w:val="300"/>
        </w:trPr>
        <w:tc>
          <w:tcPr>
            <w:tcW w:w="9535" w:type="dxa"/>
            <w:gridSpan w:val="2"/>
          </w:tcPr>
          <w:p w14:paraId="7E0782AB" w14:textId="77777777" w:rsidR="00275CF9" w:rsidRDefault="00275CF9" w:rsidP="00C8059E">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606DABE7" w14:textId="77777777" w:rsidTr="00C8059E">
        <w:trPr>
          <w:trHeight w:val="300"/>
        </w:trPr>
        <w:tc>
          <w:tcPr>
            <w:tcW w:w="2704" w:type="dxa"/>
          </w:tcPr>
          <w:p w14:paraId="2D81B95A" w14:textId="77777777" w:rsidR="00275CF9" w:rsidRDefault="00275CF9" w:rsidP="00C8059E">
            <w:pPr>
              <w:rPr>
                <w:b/>
                <w:bCs/>
                <w:kern w:val="2"/>
                <w:szCs w:val="24"/>
              </w:rPr>
            </w:pPr>
            <w:r>
              <w:rPr>
                <w:b/>
              </w:rPr>
              <w:t>11.1. Sutarties sudarymas ir įsigaliojimas</w:t>
            </w:r>
          </w:p>
        </w:tc>
        <w:tc>
          <w:tcPr>
            <w:tcW w:w="6831" w:type="dxa"/>
          </w:tcPr>
          <w:p w14:paraId="64B07461" w14:textId="622F5845" w:rsidR="00275CF9" w:rsidRDefault="00275CF9" w:rsidP="00C8059E">
            <w:pPr>
              <w:rPr>
                <w:color w:val="4472C4"/>
                <w:kern w:val="2"/>
                <w:szCs w:val="24"/>
              </w:rPr>
            </w:pPr>
            <w:r>
              <w:t>Ši Sutartis laikoma sudaryta ir įsigalioja nuo Sutarties pasirašymo dienos (antrosios Šalies pasirašymo dieną).</w:t>
            </w:r>
            <w:r>
              <w:br/>
              <w:t xml:space="preserve">Sutartis galioja iki visiško prievolių įvykdymo (kol bus išnaudota Pradinės Sutarties vertė, bet jos terminas negali būti ilgesnis kaip </w:t>
            </w:r>
            <w:r w:rsidRPr="00580840">
              <w:t>3</w:t>
            </w:r>
            <w:r w:rsidR="00C12905">
              <w:t>7</w:t>
            </w:r>
            <w:r>
              <w:t xml:space="preserve">  mėn.).</w:t>
            </w:r>
          </w:p>
        </w:tc>
      </w:tr>
      <w:tr w:rsidR="002C2FDC" w14:paraId="5B7BAF98" w14:textId="77777777">
        <w:tc>
          <w:tcPr>
            <w:tcW w:w="2704" w:type="dxa"/>
          </w:tcPr>
          <w:p w14:paraId="6A68AC69" w14:textId="77777777" w:rsidR="002C2FDC" w:rsidRDefault="002861FB">
            <w:r>
              <w:rPr>
                <w:b/>
              </w:rPr>
              <w:t>11.2. Sutarties galiojimo termino pratęsimas</w:t>
            </w:r>
          </w:p>
        </w:tc>
        <w:tc>
          <w:tcPr>
            <w:tcW w:w="6831" w:type="dxa"/>
          </w:tcPr>
          <w:p w14:paraId="4CAB1CC6" w14:textId="6315D499" w:rsidR="002C2FDC" w:rsidRDefault="001876EB" w:rsidP="001876EB">
            <w:r w:rsidRPr="001876EB">
              <w:t>Netaikoma</w:t>
            </w:r>
            <w:r w:rsidR="002861FB">
              <w:br/>
            </w:r>
          </w:p>
        </w:tc>
      </w:tr>
    </w:tbl>
    <w:p w14:paraId="330C47F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4338692" w14:textId="77777777" w:rsidTr="00C8059E">
        <w:trPr>
          <w:trHeight w:val="300"/>
        </w:trPr>
        <w:tc>
          <w:tcPr>
            <w:tcW w:w="9535" w:type="dxa"/>
            <w:gridSpan w:val="2"/>
          </w:tcPr>
          <w:p w14:paraId="793292B8" w14:textId="77777777" w:rsidR="00275CF9" w:rsidRDefault="00275CF9" w:rsidP="00C8059E">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6F9D19E5" w14:textId="77777777" w:rsidTr="00C8059E">
        <w:trPr>
          <w:trHeight w:val="300"/>
        </w:trPr>
        <w:tc>
          <w:tcPr>
            <w:tcW w:w="2704" w:type="dxa"/>
          </w:tcPr>
          <w:p w14:paraId="67BE4DE7" w14:textId="77777777" w:rsidR="00275CF9" w:rsidRDefault="00275CF9" w:rsidP="00C8059E">
            <w:pPr>
              <w:rPr>
                <w:b/>
                <w:bCs/>
                <w:kern w:val="2"/>
                <w:szCs w:val="24"/>
              </w:rPr>
            </w:pPr>
            <w:r>
              <w:rPr>
                <w:b/>
              </w:rPr>
              <w:t>12.1. Sutarties nutraukimo pagrindai</w:t>
            </w:r>
          </w:p>
        </w:tc>
        <w:tc>
          <w:tcPr>
            <w:tcW w:w="6831" w:type="dxa"/>
          </w:tcPr>
          <w:p w14:paraId="0ABF7FF9" w14:textId="77777777" w:rsidR="00275CF9" w:rsidRDefault="00275CF9" w:rsidP="00C8059E">
            <w:pPr>
              <w:rPr>
                <w:color w:val="4472C4"/>
                <w:kern w:val="2"/>
                <w:szCs w:val="24"/>
              </w:rPr>
            </w:pPr>
            <w:r>
              <w:t>Sutartis gali būti nutraukiama rašytiniu Šalių susitarimu arba vienašališkai, Bendrosiose sąlygose nustatyta tvarka.</w:t>
            </w:r>
          </w:p>
        </w:tc>
      </w:tr>
      <w:tr w:rsidR="002C2FDC" w14:paraId="57C83310" w14:textId="77777777">
        <w:tc>
          <w:tcPr>
            <w:tcW w:w="2704" w:type="dxa"/>
          </w:tcPr>
          <w:p w14:paraId="78F746FF" w14:textId="77777777" w:rsidR="002C2FDC" w:rsidRDefault="002861FB">
            <w:r>
              <w:rPr>
                <w:b/>
              </w:rPr>
              <w:t>12.2. Esminiai sutarties pažeidimai</w:t>
            </w:r>
          </w:p>
        </w:tc>
        <w:tc>
          <w:tcPr>
            <w:tcW w:w="6831" w:type="dxa"/>
          </w:tcPr>
          <w:p w14:paraId="416B988D" w14:textId="1D477BAE" w:rsidR="002C2FDC" w:rsidRDefault="002861FB">
            <w:r>
              <w:t>12.2.1. jeigu Tiekėjas nevykdo prisiimtų įsipareigojimų už Sutartyje nustatytą Sutarties kainą / įkainius;</w:t>
            </w:r>
            <w:r>
              <w:br/>
              <w:t>12.2.</w:t>
            </w:r>
            <w:r w:rsidR="00E63D1C">
              <w:t>2</w:t>
            </w:r>
            <w:r>
              <w:t xml:space="preserve">. jeigu Tiekėjas nesilaiko Sutartyje nustatytų Prekių tiekimo terminų 2 (du) kartus iš eilės arba vėluoja pristatyti Prekes daugiau nei Sutartyje yra nustatytas Prekių pristatymo terminas; Prekės vėlavimas bus laikomas esminiu pažeidimu, jei vėlavimas - 24 val. </w:t>
            </w:r>
            <w:r>
              <w:br/>
              <w:t>12.2.</w:t>
            </w:r>
            <w:r w:rsidR="00E63D1C">
              <w:t>3</w:t>
            </w:r>
            <w:r>
              <w:t>.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r>
              <w:br/>
              <w:t>12.2.</w:t>
            </w:r>
            <w:r w:rsidR="00E63D1C">
              <w:t>4</w:t>
            </w:r>
            <w:r>
              <w:t>. Tiekėjas 2 (du kartus pažeidžia esminę Sutarties sąlygą.</w:t>
            </w:r>
            <w:r>
              <w:br/>
            </w:r>
          </w:p>
        </w:tc>
      </w:tr>
    </w:tbl>
    <w:p w14:paraId="365BBE7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B2ABAEA" w14:textId="77777777" w:rsidTr="00C8059E">
        <w:trPr>
          <w:trHeight w:val="300"/>
        </w:trPr>
        <w:tc>
          <w:tcPr>
            <w:tcW w:w="9535" w:type="dxa"/>
            <w:gridSpan w:val="2"/>
          </w:tcPr>
          <w:p w14:paraId="78A7746F"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2F2D04CF" w14:textId="77777777" w:rsidTr="00C8059E">
        <w:trPr>
          <w:trHeight w:val="300"/>
        </w:trPr>
        <w:tc>
          <w:tcPr>
            <w:tcW w:w="2704" w:type="dxa"/>
          </w:tcPr>
          <w:p w14:paraId="41516EC3" w14:textId="77777777" w:rsidR="00275CF9" w:rsidRDefault="00275CF9" w:rsidP="00275CF9">
            <w:pPr>
              <w:rPr>
                <w:b/>
                <w:bCs/>
                <w:kern w:val="2"/>
                <w:szCs w:val="24"/>
              </w:rPr>
            </w:pPr>
            <w:r>
              <w:rPr>
                <w:b/>
              </w:rPr>
              <w:t>13.1. Aplinkosauginių kriterijų nustatymo teisinis pagrindas</w:t>
            </w:r>
          </w:p>
        </w:tc>
        <w:tc>
          <w:tcPr>
            <w:tcW w:w="6831" w:type="dxa"/>
          </w:tcPr>
          <w:p w14:paraId="5BA2EA66" w14:textId="77777777" w:rsidR="00905495" w:rsidRPr="00052C3E" w:rsidRDefault="00905495" w:rsidP="00905495">
            <w:pPr>
              <w:jc w:val="both"/>
              <w:rPr>
                <w:kern w:val="2"/>
                <w:szCs w:val="24"/>
              </w:rPr>
            </w:pPr>
            <w:r w:rsidRPr="00052C3E">
              <w:rPr>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w:t>
            </w:r>
          </w:p>
          <w:p w14:paraId="2F807B15" w14:textId="77777777" w:rsidR="00905495" w:rsidRDefault="00905495" w:rsidP="00207A52">
            <w:pPr>
              <w:pStyle w:val="Default"/>
              <w:rPr>
                <w:rFonts w:asciiTheme="majorBidi" w:hAnsiTheme="majorBidi" w:cstheme="majorBidi"/>
                <w:color w:val="4472C4"/>
                <w:kern w:val="2"/>
              </w:rPr>
            </w:pPr>
          </w:p>
          <w:p w14:paraId="6EFEA21A" w14:textId="77777777" w:rsidR="00905495" w:rsidRPr="00052C3E" w:rsidRDefault="00905495" w:rsidP="00905495">
            <w:pPr>
              <w:jc w:val="both"/>
              <w:rPr>
                <w:b/>
                <w:bCs/>
                <w:kern w:val="2"/>
                <w:szCs w:val="24"/>
              </w:rPr>
            </w:pPr>
            <w:r w:rsidRPr="00052C3E">
              <w:rPr>
                <w:b/>
                <w:bCs/>
                <w:kern w:val="2"/>
                <w:szCs w:val="24"/>
              </w:rPr>
              <w:t>Savarankiškai nustatyti aplinkosauginiai kriterijai:</w:t>
            </w:r>
          </w:p>
          <w:p w14:paraId="6C12FAD1" w14:textId="399DB89B" w:rsidR="00905495" w:rsidRPr="00F7135C" w:rsidRDefault="00905495" w:rsidP="00905495">
            <w:pPr>
              <w:pStyle w:val="Default"/>
              <w:rPr>
                <w:rFonts w:asciiTheme="majorBidi" w:hAnsiTheme="majorBidi" w:cstheme="majorBidi"/>
                <w:color w:val="4472C4"/>
                <w:kern w:val="2"/>
              </w:rPr>
            </w:pPr>
            <w:r w:rsidRPr="00052C3E">
              <w:rPr>
                <w:kern w:val="2"/>
              </w:rPr>
              <w:t>Tiekėjas privalo Prekes atvežti Pirkėjui ne kelių eismo piko valandomis, pirmadieniais − ketvirtadieniais nuo 09:00 iki 15:00 val., penktadieniais ir švenčių dienų išvakarėse nuo 09:00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tc>
      </w:tr>
      <w:tr w:rsidR="002C2FDC" w14:paraId="7ACCD5FD" w14:textId="77777777">
        <w:tc>
          <w:tcPr>
            <w:tcW w:w="2704" w:type="dxa"/>
          </w:tcPr>
          <w:p w14:paraId="3C14A706" w14:textId="77777777" w:rsidR="002C2FDC" w:rsidRDefault="002861FB">
            <w:r>
              <w:rPr>
                <w:b/>
              </w:rPr>
              <w:lastRenderedPageBreak/>
              <w:t>13.2. Su perkamomis Prekėmis susiję socialiniai kriterijai</w:t>
            </w:r>
          </w:p>
        </w:tc>
        <w:tc>
          <w:tcPr>
            <w:tcW w:w="6831" w:type="dxa"/>
          </w:tcPr>
          <w:p w14:paraId="7F585549" w14:textId="77777777" w:rsidR="002C2FDC" w:rsidRDefault="002861FB">
            <w:r>
              <w:t>Netaikoma</w:t>
            </w:r>
          </w:p>
        </w:tc>
      </w:tr>
    </w:tbl>
    <w:p w14:paraId="1F3A508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DA353A9" w14:textId="77777777" w:rsidTr="00C8059E">
        <w:trPr>
          <w:trHeight w:val="300"/>
        </w:trPr>
        <w:tc>
          <w:tcPr>
            <w:tcW w:w="9535" w:type="dxa"/>
            <w:gridSpan w:val="2"/>
          </w:tcPr>
          <w:p w14:paraId="1B2F5FF9"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038197A5"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1DD93C1B" w14:textId="77777777" w:rsidTr="00C8059E">
        <w:trPr>
          <w:trHeight w:val="300"/>
        </w:trPr>
        <w:tc>
          <w:tcPr>
            <w:tcW w:w="2704" w:type="dxa"/>
          </w:tcPr>
          <w:p w14:paraId="1DCD2F25" w14:textId="407598EB" w:rsidR="00275CF9" w:rsidRPr="002D46C7" w:rsidRDefault="002D46C7" w:rsidP="00C8059E">
            <w:pPr>
              <w:rPr>
                <w:b/>
                <w:bCs/>
                <w:kern w:val="2"/>
                <w:szCs w:val="24"/>
              </w:rPr>
            </w:pPr>
            <w:r w:rsidRPr="002D46C7">
              <w:rPr>
                <w:b/>
                <w:bCs/>
                <w:kern w:val="2"/>
                <w:szCs w:val="24"/>
              </w:rPr>
              <w:t>14.1.</w:t>
            </w:r>
            <w:r w:rsidRPr="002D46C7">
              <w:rPr>
                <w:kern w:val="2"/>
                <w:szCs w:val="24"/>
              </w:rPr>
              <w:t xml:space="preserve"> </w:t>
            </w:r>
            <w:r w:rsidRPr="002D46C7">
              <w:rPr>
                <w:kern w:val="2"/>
                <w:szCs w:val="24"/>
              </w:rPr>
              <w:t>Šalys pildo Sutarties Bendrąsias sąlygas</w:t>
            </w:r>
          </w:p>
        </w:tc>
        <w:tc>
          <w:tcPr>
            <w:tcW w:w="6831" w:type="dxa"/>
          </w:tcPr>
          <w:p w14:paraId="6396737C" w14:textId="1BD32EE6" w:rsidR="00275CF9" w:rsidRPr="002D46C7" w:rsidRDefault="002D46C7" w:rsidP="002D46C7">
            <w:pPr>
              <w:rPr>
                <w:kern w:val="2"/>
                <w:szCs w:val="24"/>
              </w:rPr>
            </w:pPr>
            <w:r w:rsidRPr="002D46C7">
              <w:rPr>
                <w:kern w:val="2"/>
                <w:szCs w:val="24"/>
              </w:rPr>
              <w:t xml:space="preserve"> Atsižvelgdamos į Šalių 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bl>
    <w:p w14:paraId="31E3AC6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F5D75A5" w14:textId="77777777" w:rsidTr="00C8059E">
        <w:trPr>
          <w:trHeight w:val="300"/>
        </w:trPr>
        <w:tc>
          <w:tcPr>
            <w:tcW w:w="9535" w:type="dxa"/>
            <w:gridSpan w:val="2"/>
          </w:tcPr>
          <w:p w14:paraId="0659C808"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3D5BA1DD" w14:textId="77777777" w:rsidR="00275CF9" w:rsidRDefault="00275CF9" w:rsidP="00C8059E">
            <w:pPr>
              <w:jc w:val="center"/>
              <w:rPr>
                <w:b/>
                <w:bCs/>
                <w:kern w:val="2"/>
                <w:szCs w:val="24"/>
              </w:rPr>
            </w:pPr>
          </w:p>
        </w:tc>
      </w:tr>
      <w:tr w:rsidR="00275CF9" w14:paraId="76FA9683" w14:textId="77777777" w:rsidTr="00C8059E">
        <w:trPr>
          <w:trHeight w:val="300"/>
        </w:trPr>
        <w:tc>
          <w:tcPr>
            <w:tcW w:w="2704" w:type="dxa"/>
          </w:tcPr>
          <w:p w14:paraId="3F773D64" w14:textId="5E803754" w:rsidR="00275CF9" w:rsidRDefault="00404F3A" w:rsidP="00C8059E">
            <w:pPr>
              <w:rPr>
                <w:b/>
                <w:bCs/>
                <w:kern w:val="2"/>
                <w:szCs w:val="24"/>
              </w:rPr>
            </w:pPr>
            <w:r w:rsidRPr="00283553">
              <w:rPr>
                <w:b/>
                <w:bCs/>
                <w:kern w:val="2"/>
                <w:szCs w:val="24"/>
              </w:rPr>
              <w:t>1</w:t>
            </w:r>
            <w:r>
              <w:rPr>
                <w:b/>
                <w:bCs/>
                <w:kern w:val="2"/>
                <w:szCs w:val="24"/>
              </w:rPr>
              <w:t>5</w:t>
            </w:r>
            <w:r w:rsidRPr="00283553">
              <w:rPr>
                <w:b/>
                <w:bCs/>
                <w:kern w:val="2"/>
                <w:szCs w:val="24"/>
              </w:rPr>
              <w:t>.1. Priedas Nr. 1</w:t>
            </w:r>
          </w:p>
        </w:tc>
        <w:tc>
          <w:tcPr>
            <w:tcW w:w="6831" w:type="dxa"/>
          </w:tcPr>
          <w:p w14:paraId="5C7B084F" w14:textId="45FCB596" w:rsidR="00275CF9" w:rsidRDefault="00404F3A" w:rsidP="00C8059E">
            <w:pPr>
              <w:rPr>
                <w:color w:val="4472C4"/>
                <w:kern w:val="2"/>
                <w:szCs w:val="24"/>
              </w:rPr>
            </w:pPr>
            <w:r w:rsidRPr="00283553">
              <w:rPr>
                <w:b/>
                <w:bCs/>
                <w:kern w:val="2"/>
                <w:szCs w:val="24"/>
              </w:rPr>
              <w:t>Techninė specifikacija</w:t>
            </w:r>
          </w:p>
        </w:tc>
      </w:tr>
      <w:tr w:rsidR="00404F3A" w14:paraId="1A612483" w14:textId="77777777" w:rsidTr="00C8059E">
        <w:trPr>
          <w:trHeight w:val="300"/>
        </w:trPr>
        <w:tc>
          <w:tcPr>
            <w:tcW w:w="2704" w:type="dxa"/>
          </w:tcPr>
          <w:p w14:paraId="023EE74D" w14:textId="1DA03AD9" w:rsidR="00404F3A" w:rsidRPr="00283553" w:rsidRDefault="00404F3A" w:rsidP="00C8059E">
            <w:pPr>
              <w:rPr>
                <w:b/>
                <w:bCs/>
                <w:kern w:val="2"/>
                <w:szCs w:val="24"/>
              </w:rPr>
            </w:pPr>
            <w:r w:rsidRPr="00283553">
              <w:rPr>
                <w:b/>
                <w:bCs/>
                <w:kern w:val="2"/>
                <w:szCs w:val="24"/>
              </w:rPr>
              <w:t>1</w:t>
            </w:r>
            <w:r>
              <w:rPr>
                <w:b/>
                <w:bCs/>
                <w:kern w:val="2"/>
                <w:szCs w:val="24"/>
              </w:rPr>
              <w:t>5</w:t>
            </w:r>
            <w:r w:rsidRPr="00283553">
              <w:rPr>
                <w:b/>
                <w:bCs/>
                <w:kern w:val="2"/>
                <w:szCs w:val="24"/>
              </w:rPr>
              <w:t>.2. Priedas Nr. 2</w:t>
            </w:r>
          </w:p>
        </w:tc>
        <w:tc>
          <w:tcPr>
            <w:tcW w:w="6831" w:type="dxa"/>
          </w:tcPr>
          <w:p w14:paraId="423C3244" w14:textId="1B1019ED" w:rsidR="00404F3A" w:rsidRPr="00404F3A" w:rsidRDefault="00404F3A" w:rsidP="00C8059E">
            <w:pPr>
              <w:rPr>
                <w:b/>
                <w:bCs/>
                <w:color w:val="4472C4"/>
                <w:kern w:val="2"/>
                <w:szCs w:val="24"/>
              </w:rPr>
            </w:pPr>
            <w:r w:rsidRPr="00404F3A">
              <w:rPr>
                <w:b/>
                <w:bCs/>
                <w:kern w:val="2"/>
                <w:szCs w:val="24"/>
              </w:rPr>
              <w:t>Pasiūlymas</w:t>
            </w:r>
          </w:p>
        </w:tc>
      </w:tr>
    </w:tbl>
    <w:p w14:paraId="066D1B4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48F270B1" w14:textId="77777777" w:rsidTr="00C8059E">
        <w:trPr>
          <w:trHeight w:val="300"/>
        </w:trPr>
        <w:tc>
          <w:tcPr>
            <w:tcW w:w="9535" w:type="dxa"/>
            <w:gridSpan w:val="2"/>
          </w:tcPr>
          <w:p w14:paraId="22BD0841"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295EA0EC" w14:textId="77777777" w:rsidTr="00275CF9">
        <w:trPr>
          <w:trHeight w:val="300"/>
        </w:trPr>
        <w:tc>
          <w:tcPr>
            <w:tcW w:w="4815" w:type="dxa"/>
          </w:tcPr>
          <w:p w14:paraId="17DA104B" w14:textId="77777777" w:rsidR="00275CF9" w:rsidRDefault="00275CF9" w:rsidP="00275CF9">
            <w:pPr>
              <w:jc w:val="center"/>
              <w:rPr>
                <w:b/>
                <w:bCs/>
                <w:kern w:val="2"/>
                <w:szCs w:val="24"/>
              </w:rPr>
            </w:pPr>
            <w:r>
              <w:rPr>
                <w:b/>
                <w:bCs/>
                <w:kern w:val="2"/>
                <w:szCs w:val="24"/>
              </w:rPr>
              <w:t>PIRKĖJAS</w:t>
            </w:r>
          </w:p>
        </w:tc>
        <w:tc>
          <w:tcPr>
            <w:tcW w:w="4720" w:type="dxa"/>
          </w:tcPr>
          <w:p w14:paraId="23AFC67E" w14:textId="77777777" w:rsidR="00275CF9" w:rsidRDefault="00275CF9" w:rsidP="00275CF9">
            <w:pPr>
              <w:jc w:val="center"/>
              <w:rPr>
                <w:color w:val="4472C4"/>
                <w:kern w:val="2"/>
                <w:szCs w:val="24"/>
              </w:rPr>
            </w:pPr>
            <w:r>
              <w:rPr>
                <w:b/>
                <w:bCs/>
                <w:kern w:val="2"/>
                <w:szCs w:val="24"/>
              </w:rPr>
              <w:t>TIEKĖJAS</w:t>
            </w:r>
          </w:p>
        </w:tc>
      </w:tr>
      <w:tr w:rsidR="00275CF9" w14:paraId="435BDC25" w14:textId="77777777" w:rsidTr="00275CF9">
        <w:trPr>
          <w:trHeight w:val="300"/>
        </w:trPr>
        <w:tc>
          <w:tcPr>
            <w:tcW w:w="4815" w:type="dxa"/>
          </w:tcPr>
          <w:p w14:paraId="2E504CB6"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599BA6D3" w14:textId="77777777" w:rsidR="00275CF9" w:rsidRDefault="00275CF9" w:rsidP="00275CF9">
            <w:pPr>
              <w:rPr>
                <w:color w:val="4472C4"/>
                <w:kern w:val="2"/>
                <w:szCs w:val="24"/>
              </w:rPr>
            </w:pPr>
            <w:r>
              <w:rPr>
                <w:color w:val="4472C4"/>
                <w:kern w:val="2"/>
                <w:szCs w:val="24"/>
              </w:rPr>
              <w:t>(nurodomos atstovo pareigos, vardas, pavardė)</w:t>
            </w:r>
          </w:p>
        </w:tc>
      </w:tr>
      <w:tr w:rsidR="00275CF9" w14:paraId="5C6A8E84" w14:textId="77777777" w:rsidTr="00275CF9">
        <w:trPr>
          <w:trHeight w:val="300"/>
        </w:trPr>
        <w:tc>
          <w:tcPr>
            <w:tcW w:w="4815" w:type="dxa"/>
          </w:tcPr>
          <w:p w14:paraId="36195C12" w14:textId="77777777" w:rsidR="00275CF9" w:rsidRDefault="00275CF9" w:rsidP="00275CF9">
            <w:pPr>
              <w:jc w:val="center"/>
              <w:rPr>
                <w:b/>
                <w:bCs/>
                <w:color w:val="4472C4"/>
                <w:kern w:val="2"/>
                <w:szCs w:val="24"/>
              </w:rPr>
            </w:pPr>
          </w:p>
          <w:p w14:paraId="05EDF636" w14:textId="77777777" w:rsidR="00275CF9" w:rsidRDefault="00275CF9" w:rsidP="00275CF9">
            <w:pPr>
              <w:jc w:val="center"/>
              <w:rPr>
                <w:b/>
                <w:bCs/>
                <w:color w:val="4472C4"/>
                <w:kern w:val="2"/>
                <w:szCs w:val="24"/>
              </w:rPr>
            </w:pPr>
            <w:r>
              <w:rPr>
                <w:b/>
                <w:bCs/>
                <w:color w:val="4472C4"/>
                <w:kern w:val="2"/>
                <w:szCs w:val="24"/>
              </w:rPr>
              <w:t>(parašas)</w:t>
            </w:r>
          </w:p>
          <w:p w14:paraId="150B16AA" w14:textId="77777777" w:rsidR="00275CF9" w:rsidRDefault="00275CF9" w:rsidP="00275CF9">
            <w:pPr>
              <w:jc w:val="center"/>
              <w:rPr>
                <w:b/>
                <w:bCs/>
                <w:color w:val="4472C4"/>
                <w:kern w:val="2"/>
                <w:szCs w:val="24"/>
              </w:rPr>
            </w:pPr>
          </w:p>
          <w:p w14:paraId="65712F34" w14:textId="77777777" w:rsidR="00275CF9" w:rsidRDefault="00275CF9" w:rsidP="00275CF9">
            <w:pPr>
              <w:rPr>
                <w:b/>
                <w:bCs/>
                <w:kern w:val="2"/>
                <w:szCs w:val="24"/>
              </w:rPr>
            </w:pPr>
          </w:p>
        </w:tc>
        <w:tc>
          <w:tcPr>
            <w:tcW w:w="4720" w:type="dxa"/>
          </w:tcPr>
          <w:p w14:paraId="422CC79D" w14:textId="77777777" w:rsidR="00275CF9" w:rsidRDefault="00275CF9" w:rsidP="00275CF9">
            <w:pPr>
              <w:jc w:val="center"/>
              <w:rPr>
                <w:b/>
                <w:bCs/>
                <w:color w:val="4472C4"/>
                <w:kern w:val="2"/>
                <w:szCs w:val="24"/>
              </w:rPr>
            </w:pPr>
          </w:p>
          <w:p w14:paraId="4AF2B730" w14:textId="77777777" w:rsidR="00275CF9" w:rsidRDefault="00275CF9" w:rsidP="00275CF9">
            <w:pPr>
              <w:rPr>
                <w:color w:val="4472C4"/>
                <w:kern w:val="2"/>
                <w:szCs w:val="24"/>
              </w:rPr>
            </w:pPr>
            <w:r>
              <w:rPr>
                <w:b/>
                <w:bCs/>
                <w:color w:val="4472C4"/>
                <w:kern w:val="2"/>
                <w:szCs w:val="24"/>
              </w:rPr>
              <w:t>(parašas)</w:t>
            </w:r>
          </w:p>
        </w:tc>
      </w:tr>
    </w:tbl>
    <w:p w14:paraId="7EEA553C"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2E994" w14:textId="77777777" w:rsidR="00B55CE3" w:rsidRDefault="00B55CE3">
      <w:pPr>
        <w:rPr>
          <w:kern w:val="2"/>
          <w:sz w:val="22"/>
          <w:szCs w:val="22"/>
          <w:lang w:val="en-US"/>
        </w:rPr>
      </w:pPr>
      <w:r>
        <w:rPr>
          <w:kern w:val="2"/>
          <w:sz w:val="22"/>
          <w:szCs w:val="22"/>
          <w:lang w:val="en-US"/>
        </w:rPr>
        <w:separator/>
      </w:r>
    </w:p>
  </w:endnote>
  <w:endnote w:type="continuationSeparator" w:id="0">
    <w:p w14:paraId="37E67656" w14:textId="77777777" w:rsidR="00B55CE3" w:rsidRDefault="00B55CE3">
      <w:pPr>
        <w:rPr>
          <w:kern w:val="2"/>
          <w:sz w:val="22"/>
          <w:szCs w:val="22"/>
          <w:lang w:val="en-US"/>
        </w:rPr>
      </w:pPr>
      <w:r>
        <w:rPr>
          <w:kern w:val="2"/>
          <w:sz w:val="22"/>
          <w:szCs w:val="22"/>
          <w:lang w:val="en-US"/>
        </w:rPr>
        <w:continuationSeparator/>
      </w:r>
    </w:p>
  </w:endnote>
  <w:endnote w:type="continuationNotice" w:id="1">
    <w:p w14:paraId="5809CBFD" w14:textId="77777777" w:rsidR="00B55CE3" w:rsidRDefault="00B55C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E8A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4B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99E1"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B7AA" w14:textId="77777777" w:rsidR="00B55CE3" w:rsidRDefault="00B55CE3">
      <w:pPr>
        <w:rPr>
          <w:kern w:val="2"/>
          <w:sz w:val="22"/>
          <w:szCs w:val="22"/>
          <w:lang w:val="en-US"/>
        </w:rPr>
      </w:pPr>
      <w:r>
        <w:rPr>
          <w:kern w:val="2"/>
          <w:sz w:val="22"/>
          <w:szCs w:val="22"/>
          <w:lang w:val="en-US"/>
        </w:rPr>
        <w:separator/>
      </w:r>
    </w:p>
  </w:footnote>
  <w:footnote w:type="continuationSeparator" w:id="0">
    <w:p w14:paraId="6BA550CC" w14:textId="77777777" w:rsidR="00B55CE3" w:rsidRDefault="00B55CE3">
      <w:pPr>
        <w:rPr>
          <w:kern w:val="2"/>
          <w:sz w:val="22"/>
          <w:szCs w:val="22"/>
          <w:lang w:val="en-US"/>
        </w:rPr>
      </w:pPr>
      <w:r>
        <w:rPr>
          <w:kern w:val="2"/>
          <w:sz w:val="22"/>
          <w:szCs w:val="22"/>
          <w:lang w:val="en-US"/>
        </w:rPr>
        <w:continuationSeparator/>
      </w:r>
    </w:p>
  </w:footnote>
  <w:footnote w:type="continuationNotice" w:id="1">
    <w:p w14:paraId="31B41166" w14:textId="77777777" w:rsidR="00B55CE3" w:rsidRDefault="00B55C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C582" w14:textId="77777777" w:rsidR="005A5832" w:rsidRDefault="005A5832">
    <w:pPr>
      <w:tabs>
        <w:tab w:val="center" w:pos="4680"/>
        <w:tab w:val="right" w:pos="9360"/>
      </w:tabs>
      <w:spacing w:after="160" w:line="259" w:lineRule="auto"/>
      <w:rPr>
        <w:kern w:val="2"/>
        <w:sz w:val="22"/>
        <w:szCs w:val="22"/>
        <w:lang w:val="en-US"/>
      </w:rPr>
    </w:pPr>
  </w:p>
  <w:p w14:paraId="3967D8E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07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D0B2"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F49"/>
    <w:rsid w:val="0004355E"/>
    <w:rsid w:val="000648DC"/>
    <w:rsid w:val="00066AB1"/>
    <w:rsid w:val="00075987"/>
    <w:rsid w:val="00077039"/>
    <w:rsid w:val="000A56C3"/>
    <w:rsid w:val="000B0241"/>
    <w:rsid w:val="001161D8"/>
    <w:rsid w:val="00125D9A"/>
    <w:rsid w:val="001519BD"/>
    <w:rsid w:val="001721CB"/>
    <w:rsid w:val="001876EB"/>
    <w:rsid w:val="00197F39"/>
    <w:rsid w:val="001C1148"/>
    <w:rsid w:val="001D4E01"/>
    <w:rsid w:val="001E4482"/>
    <w:rsid w:val="00200E9C"/>
    <w:rsid w:val="00205B19"/>
    <w:rsid w:val="00205D81"/>
    <w:rsid w:val="00205EBF"/>
    <w:rsid w:val="00207A52"/>
    <w:rsid w:val="00214BD6"/>
    <w:rsid w:val="00234239"/>
    <w:rsid w:val="002458FB"/>
    <w:rsid w:val="00275CF9"/>
    <w:rsid w:val="002861FB"/>
    <w:rsid w:val="00292CDF"/>
    <w:rsid w:val="002A5CD5"/>
    <w:rsid w:val="002C2FDC"/>
    <w:rsid w:val="002D46C7"/>
    <w:rsid w:val="003060E0"/>
    <w:rsid w:val="003551E6"/>
    <w:rsid w:val="00395434"/>
    <w:rsid w:val="003A1606"/>
    <w:rsid w:val="003B239B"/>
    <w:rsid w:val="003D0B33"/>
    <w:rsid w:val="003D67E4"/>
    <w:rsid w:val="003F4482"/>
    <w:rsid w:val="00404F3A"/>
    <w:rsid w:val="00407E97"/>
    <w:rsid w:val="00426F73"/>
    <w:rsid w:val="00444C3D"/>
    <w:rsid w:val="00453BBF"/>
    <w:rsid w:val="00461902"/>
    <w:rsid w:val="00476EFB"/>
    <w:rsid w:val="00484D87"/>
    <w:rsid w:val="00495064"/>
    <w:rsid w:val="00497CDE"/>
    <w:rsid w:val="004B4FF1"/>
    <w:rsid w:val="004B6872"/>
    <w:rsid w:val="004D4596"/>
    <w:rsid w:val="004D7E35"/>
    <w:rsid w:val="005445CF"/>
    <w:rsid w:val="00580840"/>
    <w:rsid w:val="00586C34"/>
    <w:rsid w:val="00593014"/>
    <w:rsid w:val="005939C9"/>
    <w:rsid w:val="005A5832"/>
    <w:rsid w:val="005B7A1D"/>
    <w:rsid w:val="005E2E8A"/>
    <w:rsid w:val="005F5B23"/>
    <w:rsid w:val="00604426"/>
    <w:rsid w:val="006C3964"/>
    <w:rsid w:val="006E6F46"/>
    <w:rsid w:val="007000B2"/>
    <w:rsid w:val="0072095B"/>
    <w:rsid w:val="0073681B"/>
    <w:rsid w:val="0074556D"/>
    <w:rsid w:val="007458EA"/>
    <w:rsid w:val="00777D59"/>
    <w:rsid w:val="00796E81"/>
    <w:rsid w:val="007A727D"/>
    <w:rsid w:val="007B1AC0"/>
    <w:rsid w:val="007E3436"/>
    <w:rsid w:val="007E48B5"/>
    <w:rsid w:val="007E6470"/>
    <w:rsid w:val="007F2447"/>
    <w:rsid w:val="00805BA1"/>
    <w:rsid w:val="00806F36"/>
    <w:rsid w:val="00822D4C"/>
    <w:rsid w:val="0083027D"/>
    <w:rsid w:val="00837527"/>
    <w:rsid w:val="00875554"/>
    <w:rsid w:val="00877E7B"/>
    <w:rsid w:val="008B19F4"/>
    <w:rsid w:val="008B67F1"/>
    <w:rsid w:val="008B6F5B"/>
    <w:rsid w:val="008C0B31"/>
    <w:rsid w:val="008C126E"/>
    <w:rsid w:val="008D19B7"/>
    <w:rsid w:val="008F2FA9"/>
    <w:rsid w:val="008F4CA9"/>
    <w:rsid w:val="00905495"/>
    <w:rsid w:val="009177E8"/>
    <w:rsid w:val="009272C9"/>
    <w:rsid w:val="00952079"/>
    <w:rsid w:val="00977482"/>
    <w:rsid w:val="00984036"/>
    <w:rsid w:val="009A1D37"/>
    <w:rsid w:val="009A4F19"/>
    <w:rsid w:val="009B2896"/>
    <w:rsid w:val="009B3DFC"/>
    <w:rsid w:val="009B555D"/>
    <w:rsid w:val="009B6429"/>
    <w:rsid w:val="009C4C98"/>
    <w:rsid w:val="009C55F0"/>
    <w:rsid w:val="009C5769"/>
    <w:rsid w:val="009E1F0A"/>
    <w:rsid w:val="00A0538B"/>
    <w:rsid w:val="00A10867"/>
    <w:rsid w:val="00A32549"/>
    <w:rsid w:val="00A35759"/>
    <w:rsid w:val="00A76CAE"/>
    <w:rsid w:val="00A84092"/>
    <w:rsid w:val="00AA11E7"/>
    <w:rsid w:val="00AA2FCA"/>
    <w:rsid w:val="00AD3D07"/>
    <w:rsid w:val="00AE2F65"/>
    <w:rsid w:val="00B24E71"/>
    <w:rsid w:val="00B50DBC"/>
    <w:rsid w:val="00B55CE3"/>
    <w:rsid w:val="00B57F6F"/>
    <w:rsid w:val="00C12905"/>
    <w:rsid w:val="00C1384A"/>
    <w:rsid w:val="00C215B0"/>
    <w:rsid w:val="00C4233E"/>
    <w:rsid w:val="00C8059E"/>
    <w:rsid w:val="00CA777E"/>
    <w:rsid w:val="00D058C0"/>
    <w:rsid w:val="00D07368"/>
    <w:rsid w:val="00D17A81"/>
    <w:rsid w:val="00D21648"/>
    <w:rsid w:val="00D35D14"/>
    <w:rsid w:val="00D45772"/>
    <w:rsid w:val="00D45ABE"/>
    <w:rsid w:val="00D63626"/>
    <w:rsid w:val="00DE4507"/>
    <w:rsid w:val="00E14C73"/>
    <w:rsid w:val="00E1626B"/>
    <w:rsid w:val="00E23732"/>
    <w:rsid w:val="00E32C84"/>
    <w:rsid w:val="00E4134F"/>
    <w:rsid w:val="00E46E0C"/>
    <w:rsid w:val="00E63D1C"/>
    <w:rsid w:val="00EA5CC5"/>
    <w:rsid w:val="00EC61D7"/>
    <w:rsid w:val="00EF4E2A"/>
    <w:rsid w:val="00F1070B"/>
    <w:rsid w:val="00F276A0"/>
    <w:rsid w:val="00F3717F"/>
    <w:rsid w:val="00F4343E"/>
    <w:rsid w:val="00F61DA7"/>
    <w:rsid w:val="00F62720"/>
    <w:rsid w:val="00F7135C"/>
    <w:rsid w:val="00F775A8"/>
    <w:rsid w:val="00F84F42"/>
    <w:rsid w:val="00FC24BB"/>
    <w:rsid w:val="00FE6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0767"/>
  <w15:chartTrackingRefBased/>
  <w15:docId w15:val="{7EAEA2F4-04B1-4523-B8FE-09957DDF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53BBF"/>
    <w:rPr>
      <w:sz w:val="16"/>
      <w:szCs w:val="16"/>
    </w:rPr>
  </w:style>
  <w:style w:type="paragraph" w:styleId="Komentarotekstas">
    <w:name w:val="annotation text"/>
    <w:basedOn w:val="prastasis"/>
    <w:link w:val="KomentarotekstasDiagrama"/>
    <w:unhideWhenUsed/>
    <w:rsid w:val="00453BBF"/>
    <w:rPr>
      <w:sz w:val="20"/>
    </w:rPr>
  </w:style>
  <w:style w:type="character" w:customStyle="1" w:styleId="KomentarotekstasDiagrama">
    <w:name w:val="Komentaro tekstas Diagrama"/>
    <w:basedOn w:val="Numatytasispastraiposriftas"/>
    <w:link w:val="Komentarotekstas"/>
    <w:rsid w:val="00453BBF"/>
    <w:rPr>
      <w:sz w:val="20"/>
    </w:rPr>
  </w:style>
  <w:style w:type="paragraph" w:styleId="Komentarotema">
    <w:name w:val="annotation subject"/>
    <w:basedOn w:val="Komentarotekstas"/>
    <w:next w:val="Komentarotekstas"/>
    <w:link w:val="KomentarotemaDiagrama"/>
    <w:semiHidden/>
    <w:unhideWhenUsed/>
    <w:rsid w:val="00453BBF"/>
    <w:rPr>
      <w:b/>
      <w:bCs/>
    </w:rPr>
  </w:style>
  <w:style w:type="character" w:customStyle="1" w:styleId="KomentarotemaDiagrama">
    <w:name w:val="Komentaro tema Diagrama"/>
    <w:basedOn w:val="KomentarotekstasDiagrama"/>
    <w:link w:val="Komentarotema"/>
    <w:semiHidden/>
    <w:rsid w:val="00453BBF"/>
    <w:rPr>
      <w:b/>
      <w:bCs/>
      <w:sz w:val="20"/>
    </w:rPr>
  </w:style>
  <w:style w:type="paragraph" w:customStyle="1" w:styleId="Default">
    <w:name w:val="Default"/>
    <w:rsid w:val="00214BD6"/>
    <w:pPr>
      <w:autoSpaceDE w:val="0"/>
      <w:autoSpaceDN w:val="0"/>
      <w:adjustRightInd w:val="0"/>
    </w:pPr>
    <w:rPr>
      <w:rFonts w:ascii="Liberation Serif" w:hAnsi="Liberation Serif" w:cs="Liberation Serif"/>
      <w:color w:val="000000"/>
      <w:szCs w:val="24"/>
    </w:rPr>
  </w:style>
  <w:style w:type="character" w:styleId="Hipersaitas">
    <w:name w:val="Hyperlink"/>
    <w:basedOn w:val="Numatytasispastraiposriftas"/>
    <w:unhideWhenUsed/>
    <w:rsid w:val="00D058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a.lr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11245</Words>
  <Characters>6410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Globos namai Globos namai</cp:lastModifiedBy>
  <cp:revision>25</cp:revision>
  <dcterms:created xsi:type="dcterms:W3CDTF">2026-03-12T14:01:00Z</dcterms:created>
  <dcterms:modified xsi:type="dcterms:W3CDTF">2026-06-01T06:48:00Z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