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400736" w:rsidRDefault="000F17D6" w:rsidP="000F17D6">
      <w:pPr>
        <w:jc w:val="right"/>
      </w:pPr>
    </w:p>
    <w:p w14:paraId="058888F4" w14:textId="77777777" w:rsidR="000F17D6" w:rsidRPr="00400736" w:rsidRDefault="000F17D6" w:rsidP="000F17D6"/>
    <w:p w14:paraId="61FAB302" w14:textId="7676B30F" w:rsidR="000F17D6" w:rsidRPr="00400736" w:rsidRDefault="00FE4928" w:rsidP="000F17D6">
      <w:pPr>
        <w:rPr>
          <w:i/>
          <w:iCs/>
        </w:rPr>
      </w:pPr>
      <w:r w:rsidRPr="00400736">
        <w:rPr>
          <w:i/>
          <w:iCs/>
        </w:rPr>
        <w:t>Suinteresuotiems t</w:t>
      </w:r>
      <w:r w:rsidR="000F17D6" w:rsidRPr="00400736">
        <w:rPr>
          <w:i/>
          <w:iCs/>
        </w:rPr>
        <w:t>iekėjams</w:t>
      </w:r>
    </w:p>
    <w:p w14:paraId="3457680A" w14:textId="77777777" w:rsidR="00D811A2" w:rsidRPr="00400736" w:rsidRDefault="00D811A2" w:rsidP="000F17D6">
      <w:pPr>
        <w:rPr>
          <w:i/>
          <w:iCs/>
        </w:rPr>
      </w:pPr>
    </w:p>
    <w:p w14:paraId="69B240AC" w14:textId="77777777" w:rsidR="000F17D6" w:rsidRPr="00400736" w:rsidRDefault="000F17D6" w:rsidP="000F17D6">
      <w:pPr>
        <w:rPr>
          <w:i/>
          <w:iCs/>
        </w:rPr>
      </w:pPr>
      <w:r w:rsidRPr="00400736">
        <w:rPr>
          <w:i/>
          <w:iCs/>
        </w:rPr>
        <w:t>Siunčiama CVP IS priemonėmis</w:t>
      </w:r>
    </w:p>
    <w:p w14:paraId="7667E45E" w14:textId="77777777" w:rsidR="000F17D6" w:rsidRPr="00400736" w:rsidRDefault="000F17D6" w:rsidP="000F17D6">
      <w:pPr>
        <w:rPr>
          <w:b/>
          <w:bCs/>
        </w:rPr>
      </w:pPr>
    </w:p>
    <w:p w14:paraId="0AB0DAD8" w14:textId="77777777" w:rsidR="000F17D6" w:rsidRPr="00400736" w:rsidRDefault="000F17D6" w:rsidP="000F17D6">
      <w:pPr>
        <w:rPr>
          <w:b/>
          <w:bCs/>
        </w:rPr>
      </w:pPr>
    </w:p>
    <w:p w14:paraId="3DC84B23" w14:textId="14DA53F0" w:rsidR="000F17D6" w:rsidRPr="00400736" w:rsidRDefault="006D7657" w:rsidP="00E5194C">
      <w:pPr>
        <w:jc w:val="both"/>
        <w:rPr>
          <w:b/>
          <w:bCs/>
        </w:rPr>
      </w:pPr>
      <w:r w:rsidRPr="00400736">
        <w:rPr>
          <w:b/>
          <w:bCs/>
        </w:rPr>
        <w:t>DĖL PATEIKT</w:t>
      </w:r>
      <w:r w:rsidR="00617DBA" w:rsidRPr="00400736">
        <w:rPr>
          <w:b/>
          <w:bCs/>
        </w:rPr>
        <w:t>O</w:t>
      </w:r>
      <w:r w:rsidRPr="00400736">
        <w:rPr>
          <w:b/>
          <w:bCs/>
        </w:rPr>
        <w:t xml:space="preserve"> PAKLAUSIM</w:t>
      </w:r>
      <w:r w:rsidR="00617DBA" w:rsidRPr="00400736">
        <w:rPr>
          <w:b/>
          <w:bCs/>
        </w:rPr>
        <w:t>O</w:t>
      </w:r>
      <w:r w:rsidR="00E5194C" w:rsidRPr="00400736">
        <w:rPr>
          <w:b/>
          <w:bCs/>
        </w:rPr>
        <w:t>, PIRKIMO DOKUMENTŲ TIKSLINIMO SAVO INICIATYVA</w:t>
      </w:r>
      <w:r w:rsidRPr="00400736">
        <w:rPr>
          <w:b/>
          <w:bCs/>
        </w:rPr>
        <w:t xml:space="preserve"> IR PASIŪLYMŲ PATEIKIMO TERMINO NUKĖLIMO</w:t>
      </w:r>
    </w:p>
    <w:p w14:paraId="47F7602C" w14:textId="77777777" w:rsidR="000F17D6" w:rsidRPr="00400736" w:rsidRDefault="000F17D6" w:rsidP="0023122B">
      <w:pPr>
        <w:rPr>
          <w:b/>
          <w:bCs/>
        </w:rPr>
      </w:pPr>
    </w:p>
    <w:p w14:paraId="398D9FD3" w14:textId="0F4D9973" w:rsidR="004724B7" w:rsidRPr="00400736" w:rsidRDefault="004724B7" w:rsidP="004724B7">
      <w:pPr>
        <w:spacing w:line="288" w:lineRule="auto"/>
        <w:ind w:firstLine="720"/>
        <w:jc w:val="both"/>
      </w:pPr>
      <w:r w:rsidRPr="00400736">
        <w:t xml:space="preserve">Viešoji įstaiga CPO LT (toliau – CPO LT), </w:t>
      </w:r>
      <w:bookmarkStart w:id="0" w:name="_Hlk120190959"/>
      <w:r w:rsidRPr="00400736">
        <w:t>vykdydama viešąjį pirkimą</w:t>
      </w:r>
      <w:r w:rsidRPr="00400736">
        <w:rPr>
          <w:b/>
          <w:bCs/>
          <w:i/>
          <w:iCs/>
        </w:rPr>
        <w:t xml:space="preserve"> </w:t>
      </w:r>
      <w:r w:rsidR="0023122B" w:rsidRPr="00400736">
        <w:rPr>
          <w:b/>
          <w:bCs/>
          <w:i/>
          <w:iCs/>
        </w:rPr>
        <w:t>„</w:t>
      </w:r>
      <w:r w:rsidR="004E20FF" w:rsidRPr="00400736">
        <w:rPr>
          <w:rFonts w:eastAsia="Times New Roman"/>
        </w:rPr>
        <w:t>Automobilių pirkimas“ atviro konkurso (supaprastintas)</w:t>
      </w:r>
      <w:r w:rsidR="004E20FF" w:rsidRPr="00400736">
        <w:t xml:space="preserve"> </w:t>
      </w:r>
      <w:r w:rsidRPr="00400736">
        <w:t>būdu</w:t>
      </w:r>
      <w:r w:rsidR="00F71DC1" w:rsidRPr="00400736">
        <w:t xml:space="preserve"> (pirkimo </w:t>
      </w:r>
      <w:r w:rsidR="00892698" w:rsidRPr="00400736">
        <w:t>ID</w:t>
      </w:r>
      <w:r w:rsidR="00F71DC1" w:rsidRPr="00400736">
        <w:t xml:space="preserve"> </w:t>
      </w:r>
      <w:r w:rsidR="004E20FF" w:rsidRPr="00400736">
        <w:rPr>
          <w:rFonts w:eastAsia="Times New Roman"/>
        </w:rPr>
        <w:t>8261998</w:t>
      </w:r>
      <w:r w:rsidR="00F71DC1" w:rsidRPr="00400736">
        <w:t>, toliau – Pirkimas)</w:t>
      </w:r>
      <w:r w:rsidRPr="00400736">
        <w:t xml:space="preserve">, </w:t>
      </w:r>
      <w:bookmarkEnd w:id="0"/>
      <w:r w:rsidR="00444CEE" w:rsidRPr="00400736">
        <w:t>2026-</w:t>
      </w:r>
      <w:r w:rsidR="002E27CD" w:rsidRPr="00400736">
        <w:t>06-15</w:t>
      </w:r>
      <w:r w:rsidR="00AB7038" w:rsidRPr="00400736">
        <w:t xml:space="preserve"> </w:t>
      </w:r>
      <w:r w:rsidRPr="00400736">
        <w:t>CVP IS priemonėmis gavo potencial</w:t>
      </w:r>
      <w:r w:rsidR="008D18B2" w:rsidRPr="00400736">
        <w:t>aus</w:t>
      </w:r>
      <w:r w:rsidR="00E15D43" w:rsidRPr="00400736">
        <w:t xml:space="preserve"> </w:t>
      </w:r>
      <w:r w:rsidRPr="00400736">
        <w:t>tiekėj</w:t>
      </w:r>
      <w:r w:rsidR="008D18B2" w:rsidRPr="00400736">
        <w:t>o</w:t>
      </w:r>
      <w:r w:rsidRPr="00400736">
        <w:t xml:space="preserve"> paklausim</w:t>
      </w:r>
      <w:r w:rsidR="008D18B2" w:rsidRPr="00400736">
        <w:t>ą</w:t>
      </w:r>
      <w:r w:rsidRPr="00400736">
        <w:t>.</w:t>
      </w:r>
    </w:p>
    <w:p w14:paraId="0939295D" w14:textId="52C60424" w:rsidR="004724B7" w:rsidRPr="00400736" w:rsidRDefault="004724B7" w:rsidP="004724B7">
      <w:pPr>
        <w:spacing w:line="288" w:lineRule="auto"/>
        <w:ind w:firstLine="720"/>
        <w:jc w:val="both"/>
      </w:pPr>
      <w:r w:rsidRPr="00400736">
        <w:t>Paklausim</w:t>
      </w:r>
      <w:r w:rsidR="00AB7038" w:rsidRPr="00400736">
        <w:t>a</w:t>
      </w:r>
      <w:r w:rsidR="008D18B2" w:rsidRPr="00400736">
        <w:t>s</w:t>
      </w:r>
      <w:r w:rsidRPr="00400736">
        <w:t xml:space="preserve"> pateikt</w:t>
      </w:r>
      <w:r w:rsidR="008D18B2" w:rsidRPr="00400736">
        <w:t>as</w:t>
      </w:r>
      <w:r w:rsidRPr="00400736">
        <w:t xml:space="preserve"> laikantis </w:t>
      </w:r>
      <w:r w:rsidR="00F50E23" w:rsidRPr="00400736">
        <w:rPr>
          <w:noProof/>
        </w:rPr>
        <w:t xml:space="preserve">laikantis Pirkimo dokumentų Specialiųjų sąlygų priedo „Terminai“ lentelės 3 eil. nustatyto termino </w:t>
      </w:r>
      <w:r w:rsidR="00F50E23" w:rsidRPr="00400736">
        <w:rPr>
          <w:i/>
          <w:iCs/>
          <w:noProof/>
        </w:rPr>
        <w:t>„Prašymą paaiškinti, patikslinti pirkimo sąlygas tiekėjas turi pateikti ne vėliau kaip: 6 (šešios) dienos iki pasiūlymų pateikimo dienos.“</w:t>
      </w:r>
      <w:r w:rsidR="00F50E23" w:rsidRPr="00400736">
        <w:rPr>
          <w:noProof/>
        </w:rPr>
        <w:t>, t. y. pateiktas laiku</w:t>
      </w:r>
      <w:r w:rsidRPr="00400736">
        <w:t>.</w:t>
      </w:r>
    </w:p>
    <w:p w14:paraId="70F481BD" w14:textId="4C673ED9" w:rsidR="004724B7" w:rsidRPr="00400736" w:rsidRDefault="004724B7" w:rsidP="004867B0">
      <w:pPr>
        <w:spacing w:after="120" w:line="288" w:lineRule="auto"/>
        <w:ind w:firstLine="720"/>
        <w:jc w:val="both"/>
      </w:pPr>
      <w:r w:rsidRPr="00400736">
        <w:t>CPO LT viešojo pirkimo komisija (toliau – Komisija), vadovau</w:t>
      </w:r>
      <w:r w:rsidR="00C918C4" w:rsidRPr="00400736">
        <w:t>damasi</w:t>
      </w:r>
      <w:r w:rsidRPr="00400736">
        <w:t xml:space="preserve"> Lietuvos Respublikos viešųjų pirkimų įstatymo</w:t>
      </w:r>
      <w:r w:rsidR="00C918C4" w:rsidRPr="00400736">
        <w:t xml:space="preserve"> (toliau – VPĮ)</w:t>
      </w:r>
      <w:r w:rsidRPr="00400736">
        <w:t xml:space="preserve"> 36 str. 5 d. ir </w:t>
      </w:r>
      <w:r w:rsidR="009C78E1" w:rsidRPr="00400736">
        <w:rPr>
          <w:noProof/>
        </w:rPr>
        <w:t>Pirkimo dokumentų Bendrųjų sąlygų 5.2 p.</w:t>
      </w:r>
      <w:r w:rsidRPr="00400736">
        <w:t xml:space="preserve">, teikia </w:t>
      </w:r>
      <w:r w:rsidR="003700F4" w:rsidRPr="00400736">
        <w:t>atsakym</w:t>
      </w:r>
      <w:r w:rsidR="009C78E1" w:rsidRPr="00400736">
        <w:t>ą</w:t>
      </w:r>
      <w:r w:rsidR="003700F4" w:rsidRPr="00400736">
        <w:t xml:space="preserve"> </w:t>
      </w:r>
      <w:r w:rsidRPr="00400736">
        <w:t xml:space="preserve">į </w:t>
      </w:r>
      <w:r w:rsidR="00C918C4" w:rsidRPr="00400736">
        <w:t xml:space="preserve">paklausime </w:t>
      </w:r>
      <w:r w:rsidR="00C628F6" w:rsidRPr="00400736">
        <w:t>pateikt</w:t>
      </w:r>
      <w:r w:rsidR="009C78E1" w:rsidRPr="00400736">
        <w:t>ą</w:t>
      </w:r>
      <w:r w:rsidR="00C628F6" w:rsidRPr="00400736">
        <w:t xml:space="preserve"> klausim</w:t>
      </w:r>
      <w:r w:rsidR="009C78E1" w:rsidRPr="00400736">
        <w:t>ą</w:t>
      </w:r>
      <w:r w:rsidRPr="00400736">
        <w:t>:</w:t>
      </w:r>
    </w:p>
    <w:tbl>
      <w:tblPr>
        <w:tblStyle w:val="Lentelstinklelis"/>
        <w:tblW w:w="10086" w:type="dxa"/>
        <w:tblInd w:w="-5" w:type="dxa"/>
        <w:tblLook w:val="04A0" w:firstRow="1" w:lastRow="0" w:firstColumn="1" w:lastColumn="0" w:noHBand="0" w:noVBand="1"/>
      </w:tblPr>
      <w:tblGrid>
        <w:gridCol w:w="10086"/>
      </w:tblGrid>
      <w:tr w:rsidR="004724B7" w:rsidRPr="00400736" w14:paraId="0D7C0412" w14:textId="77777777" w:rsidTr="00643516">
        <w:trPr>
          <w:trHeight w:val="368"/>
        </w:trPr>
        <w:tc>
          <w:tcPr>
            <w:tcW w:w="10086" w:type="dxa"/>
            <w:shd w:val="clear" w:color="auto" w:fill="DAE9F7" w:themeFill="text2" w:themeFillTint="1A"/>
            <w:vAlign w:val="center"/>
          </w:tcPr>
          <w:p w14:paraId="6F222F43" w14:textId="0249F9C4" w:rsidR="004724B7" w:rsidRPr="00400736" w:rsidRDefault="004724B7" w:rsidP="00E806E2">
            <w:pPr>
              <w:spacing w:line="276" w:lineRule="auto"/>
              <w:rPr>
                <w:b/>
                <w:bCs/>
                <w:lang w:val="lt-LT"/>
              </w:rPr>
            </w:pPr>
            <w:r w:rsidRPr="00400736">
              <w:rPr>
                <w:b/>
                <w:bCs/>
                <w:lang w:val="lt-LT"/>
              </w:rPr>
              <w:t xml:space="preserve">Klausimas </w:t>
            </w:r>
            <w:r w:rsidR="00672827" w:rsidRPr="00400736">
              <w:rPr>
                <w:b/>
                <w:bCs/>
                <w:lang w:val="lt-LT"/>
              </w:rPr>
              <w:t xml:space="preserve">1 </w:t>
            </w:r>
            <w:r w:rsidRPr="00400736">
              <w:rPr>
                <w:lang w:val="lt-LT"/>
              </w:rPr>
              <w:t>(klausimo tekstas netaisytas)</w:t>
            </w:r>
          </w:p>
        </w:tc>
      </w:tr>
      <w:tr w:rsidR="004724B7" w:rsidRPr="00400736" w14:paraId="7B2B4C43" w14:textId="77777777" w:rsidTr="00643516">
        <w:trPr>
          <w:trHeight w:val="750"/>
        </w:trPr>
        <w:tc>
          <w:tcPr>
            <w:tcW w:w="10086" w:type="dxa"/>
          </w:tcPr>
          <w:p w14:paraId="6977F52A" w14:textId="77777777" w:rsidR="00A815B8" w:rsidRPr="00400736" w:rsidRDefault="00A815B8" w:rsidP="00A815B8">
            <w:pPr>
              <w:tabs>
                <w:tab w:val="num" w:pos="462"/>
              </w:tabs>
              <w:spacing w:line="276" w:lineRule="auto"/>
              <w:jc w:val="both"/>
              <w:rPr>
                <w:i/>
                <w:iCs/>
                <w:lang w:val="lt-LT"/>
              </w:rPr>
            </w:pPr>
            <w:r w:rsidRPr="00400736">
              <w:rPr>
                <w:i/>
                <w:iCs/>
                <w:lang w:val="lt-LT"/>
              </w:rPr>
              <w:t xml:space="preserve">Gerb. Perkančioji organizacija, </w:t>
            </w:r>
          </w:p>
          <w:p w14:paraId="63A9F59E" w14:textId="0A408D43" w:rsidR="00A815B8" w:rsidRPr="00400736" w:rsidRDefault="00A815B8" w:rsidP="00A815B8">
            <w:pPr>
              <w:tabs>
                <w:tab w:val="num" w:pos="462"/>
              </w:tabs>
              <w:spacing w:line="276" w:lineRule="auto"/>
              <w:jc w:val="both"/>
              <w:rPr>
                <w:i/>
                <w:iCs/>
                <w:lang w:val="lt-LT"/>
              </w:rPr>
            </w:pPr>
            <w:r w:rsidRPr="00400736">
              <w:rPr>
                <w:i/>
                <w:iCs/>
                <w:lang w:val="lt-LT"/>
              </w:rPr>
              <w:t xml:space="preserve">Susipažinę su pirkimo dokumentų priedu „Techninė specifikacija“, atkreipiame dėmesį į 1.8.1 punktą, kuriame nustatyta, kad automobiliams taikoma garantijos trukmė turi būti ne trumpesnė kaip 36 mėnesiai. Prašome patikslinti, kaip ši garantijos trukmė turi būti suprantama ir taikoma – ar reikalaujama: ne trumpesnė kaip 36 mėnesių garantija nepriklausomai nuo nuvažiuotos ridos, ar garantija gali būti apibrėžta gamintojo nustatytomis sąlygomis, pavyzdžiui, 36 mėnesiai arba 100 000 km rida (priklausomai nuo to, kuri sąlyga įvyksta anksčiau). Koks ridos </w:t>
            </w:r>
            <w:proofErr w:type="spellStart"/>
            <w:r w:rsidRPr="00400736">
              <w:rPr>
                <w:i/>
                <w:iCs/>
                <w:lang w:val="lt-LT"/>
              </w:rPr>
              <w:t>termi</w:t>
            </w:r>
            <w:proofErr w:type="spellEnd"/>
            <w:r w:rsidRPr="00400736">
              <w:rPr>
                <w:i/>
                <w:iCs/>
                <w:lang w:val="lt-LT"/>
              </w:rPr>
              <w:t xml:space="preserve"> Pažymime, kad lengvųjų automobilių gamintojų garantijos praktikoje dažniausiai nustatomos tiek pagal laikotarpį, tiek pagal maksimalią ridą, todėl aiškus šio reikalavimo išaiškinimas yra svarbus tiekėjams rengiant pasiūlymus ir vertinant atitiktį techninės specifikacijos reikalavimams. </w:t>
            </w:r>
          </w:p>
          <w:p w14:paraId="5A4A9B0E" w14:textId="0FC7162A" w:rsidR="00E72F3A" w:rsidRPr="00400736" w:rsidRDefault="00A815B8" w:rsidP="00A815B8">
            <w:pPr>
              <w:tabs>
                <w:tab w:val="num" w:pos="462"/>
              </w:tabs>
              <w:spacing w:line="276" w:lineRule="auto"/>
              <w:jc w:val="both"/>
              <w:rPr>
                <w:i/>
                <w:iCs/>
                <w:lang w:val="lt-LT"/>
              </w:rPr>
            </w:pPr>
            <w:r w:rsidRPr="00400736">
              <w:rPr>
                <w:i/>
                <w:iCs/>
                <w:lang w:val="lt-LT"/>
              </w:rPr>
              <w:t>Iš anksto dėkojame už paaiškinimą.</w:t>
            </w:r>
          </w:p>
        </w:tc>
      </w:tr>
      <w:tr w:rsidR="004724B7" w:rsidRPr="00400736" w14:paraId="3D3F5DDE" w14:textId="77777777" w:rsidTr="00643516">
        <w:trPr>
          <w:trHeight w:val="366"/>
        </w:trPr>
        <w:tc>
          <w:tcPr>
            <w:tcW w:w="10086" w:type="dxa"/>
          </w:tcPr>
          <w:p w14:paraId="4719A0EC" w14:textId="77777777" w:rsidR="004724B7" w:rsidRPr="00400736" w:rsidRDefault="004724B7" w:rsidP="00E806E2">
            <w:pPr>
              <w:spacing w:line="276" w:lineRule="auto"/>
              <w:jc w:val="both"/>
              <w:rPr>
                <w:lang w:val="lt-LT"/>
              </w:rPr>
            </w:pPr>
            <w:r w:rsidRPr="00400736">
              <w:rPr>
                <w:b/>
                <w:bCs/>
                <w:lang w:val="lt-LT"/>
              </w:rPr>
              <w:t>Atsakymas</w:t>
            </w:r>
          </w:p>
        </w:tc>
      </w:tr>
      <w:tr w:rsidR="004724B7" w:rsidRPr="00400736" w14:paraId="14FF951C" w14:textId="77777777" w:rsidTr="00643516">
        <w:trPr>
          <w:trHeight w:val="400"/>
        </w:trPr>
        <w:tc>
          <w:tcPr>
            <w:tcW w:w="10086" w:type="dxa"/>
          </w:tcPr>
          <w:p w14:paraId="4300E936" w14:textId="003F5C07" w:rsidR="00DA0901" w:rsidRPr="00400736" w:rsidRDefault="0034151A" w:rsidP="00E37C9C">
            <w:pPr>
              <w:tabs>
                <w:tab w:val="left" w:pos="567"/>
                <w:tab w:val="left" w:pos="851"/>
                <w:tab w:val="left" w:pos="992"/>
                <w:tab w:val="left" w:pos="1134"/>
              </w:tabs>
              <w:spacing w:line="276" w:lineRule="auto"/>
              <w:jc w:val="both"/>
              <w:textAlignment w:val="center"/>
              <w:rPr>
                <w:lang w:val="lt-LT"/>
              </w:rPr>
            </w:pPr>
            <w:r w:rsidRPr="00400736">
              <w:rPr>
                <w:lang w:val="lt-LT"/>
              </w:rPr>
              <w:t>Dėkojame už Jūsų klausimą. Informuojame, kad Perkančiosios organizacijos iniciatyva bus tikslinam</w:t>
            </w:r>
            <w:r w:rsidR="000724E8" w:rsidRPr="00400736">
              <w:rPr>
                <w:lang w:val="lt-LT"/>
              </w:rPr>
              <w:t>i</w:t>
            </w:r>
            <w:r w:rsidRPr="00400736">
              <w:rPr>
                <w:lang w:val="lt-LT"/>
              </w:rPr>
              <w:t xml:space="preserve"> </w:t>
            </w:r>
            <w:r w:rsidR="000A51EB" w:rsidRPr="00400736">
              <w:rPr>
                <w:noProof/>
                <w:lang w:val="lt-LT"/>
              </w:rPr>
              <w:t xml:space="preserve">Pirkimo dokumentų Specialiųjų sąlygų priedo „Techninė specifikacija“ </w:t>
            </w:r>
            <w:r w:rsidRPr="00400736">
              <w:rPr>
                <w:lang w:val="lt-LT"/>
              </w:rPr>
              <w:t xml:space="preserve">(toliau – Techninė specifikacija) </w:t>
            </w:r>
            <w:r w:rsidR="00220889" w:rsidRPr="00400736">
              <w:rPr>
                <w:lang w:val="lt-LT"/>
              </w:rPr>
              <w:t xml:space="preserve">1.8.1 p., 3.1.3 p. ir 1 lentelės 30 eil. „Garantijos trukmė“ bei </w:t>
            </w:r>
            <w:r w:rsidR="00220889" w:rsidRPr="00400736">
              <w:rPr>
                <w:noProof/>
                <w:lang w:val="lt-LT"/>
              </w:rPr>
              <w:t xml:space="preserve">Pirkimo dokumentų Specialiųjų sąlygų priedo „Prekių pirkimo-pardavimo sutarties specialiosios sąlygos“ (toliau – Sutarties specialiosios sąlygos) </w:t>
            </w:r>
            <w:r w:rsidR="00D460C0" w:rsidRPr="00400736">
              <w:rPr>
                <w:noProof/>
                <w:lang w:val="lt-LT"/>
              </w:rPr>
              <w:t xml:space="preserve">4.5 ir </w:t>
            </w:r>
            <w:r w:rsidR="00220889" w:rsidRPr="00400736">
              <w:rPr>
                <w:lang w:val="lt-LT"/>
              </w:rPr>
              <w:t>6.1 p. nurodyt</w:t>
            </w:r>
            <w:r w:rsidR="000A51EB" w:rsidRPr="00400736">
              <w:rPr>
                <w:lang w:val="lt-LT"/>
              </w:rPr>
              <w:t>i</w:t>
            </w:r>
            <w:r w:rsidR="00220889" w:rsidRPr="00400736">
              <w:rPr>
                <w:lang w:val="lt-LT"/>
              </w:rPr>
              <w:t xml:space="preserve"> reikalavim</w:t>
            </w:r>
            <w:r w:rsidR="000A51EB" w:rsidRPr="00400736">
              <w:rPr>
                <w:lang w:val="lt-LT"/>
              </w:rPr>
              <w:t>ai</w:t>
            </w:r>
            <w:r w:rsidR="00220889" w:rsidRPr="00400736">
              <w:rPr>
                <w:lang w:val="lt-LT"/>
              </w:rPr>
              <w:t xml:space="preserve"> dėl Prekėms suteikiamos garantijos</w:t>
            </w:r>
            <w:r w:rsidR="000A51EB" w:rsidRPr="00400736">
              <w:rPr>
                <w:lang w:val="lt-LT"/>
              </w:rPr>
              <w:t>.</w:t>
            </w:r>
            <w:r w:rsidRPr="00400736">
              <w:rPr>
                <w:lang w:val="lt-LT"/>
              </w:rPr>
              <w:t xml:space="preserve"> Techninės specifikacijos </w:t>
            </w:r>
            <w:r w:rsidR="00A232F1" w:rsidRPr="00400736">
              <w:rPr>
                <w:lang w:val="lt-LT"/>
              </w:rPr>
              <w:t xml:space="preserve">ir </w:t>
            </w:r>
            <w:r w:rsidR="00A232F1" w:rsidRPr="00400736">
              <w:rPr>
                <w:noProof/>
                <w:lang w:val="lt-LT"/>
              </w:rPr>
              <w:t xml:space="preserve">Sutarties specialiųjų sąlygų </w:t>
            </w:r>
            <w:r w:rsidRPr="00400736">
              <w:rPr>
                <w:lang w:val="lt-LT"/>
              </w:rPr>
              <w:t>aktuali</w:t>
            </w:r>
            <w:r w:rsidR="00A232F1" w:rsidRPr="00400736">
              <w:rPr>
                <w:lang w:val="lt-LT"/>
              </w:rPr>
              <w:t>os</w:t>
            </w:r>
            <w:r w:rsidRPr="00400736">
              <w:rPr>
                <w:lang w:val="lt-LT"/>
              </w:rPr>
              <w:t xml:space="preserve"> versij</w:t>
            </w:r>
            <w:r w:rsidR="00A232F1" w:rsidRPr="00400736">
              <w:rPr>
                <w:lang w:val="lt-LT"/>
              </w:rPr>
              <w:t>os</w:t>
            </w:r>
            <w:r w:rsidRPr="00400736">
              <w:rPr>
                <w:lang w:val="lt-LT"/>
              </w:rPr>
              <w:t xml:space="preserve"> bus paskelbt</w:t>
            </w:r>
            <w:r w:rsidR="00A232F1" w:rsidRPr="00400736">
              <w:rPr>
                <w:lang w:val="lt-LT"/>
              </w:rPr>
              <w:t>os</w:t>
            </w:r>
            <w:r w:rsidRPr="00400736">
              <w:rPr>
                <w:lang w:val="lt-LT"/>
              </w:rPr>
              <w:t xml:space="preserve"> CVP IS prie Pirkimo dokumentų. </w:t>
            </w:r>
            <w:r w:rsidRPr="00400736">
              <w:rPr>
                <w:i/>
                <w:iCs/>
                <w:lang w:val="lt-LT"/>
              </w:rPr>
              <w:t>Pranešimas dėl Pirkimo dokumentų tikslinimo pridedamas.</w:t>
            </w:r>
          </w:p>
        </w:tc>
      </w:tr>
    </w:tbl>
    <w:p w14:paraId="2C081A81" w14:textId="77777777" w:rsidR="004724B7" w:rsidRPr="00400736" w:rsidRDefault="004724B7" w:rsidP="004724B7">
      <w:pPr>
        <w:tabs>
          <w:tab w:val="left" w:pos="1605"/>
        </w:tabs>
      </w:pPr>
    </w:p>
    <w:p w14:paraId="707193B3" w14:textId="58BB6719" w:rsidR="00E5194C" w:rsidRPr="00400736" w:rsidRDefault="00E5194C" w:rsidP="00E5194C">
      <w:pPr>
        <w:spacing w:line="288" w:lineRule="auto"/>
        <w:ind w:right="-208" w:firstLine="720"/>
        <w:jc w:val="both"/>
      </w:pPr>
      <w:r w:rsidRPr="00400736">
        <w:t xml:space="preserve">Informuojame, kad vadovaudamasi </w:t>
      </w:r>
      <w:r w:rsidRPr="00400736">
        <w:rPr>
          <w:noProof/>
        </w:rPr>
        <w:t xml:space="preserve">Pirkimo dokumentų Bendrųjų sąlygų 5.4 </w:t>
      </w:r>
      <w:r w:rsidRPr="00400736">
        <w:t xml:space="preserve">p., </w:t>
      </w:r>
      <w:r w:rsidR="00B97E32" w:rsidRPr="00400736">
        <w:t>CPO LT viešojo pirkimo komisija (toliau – Komisija) nusprendė pat</w:t>
      </w:r>
      <w:r w:rsidRPr="00400736">
        <w:t>ikslin</w:t>
      </w:r>
      <w:r w:rsidR="00B97E32" w:rsidRPr="00400736">
        <w:t>ti</w:t>
      </w:r>
      <w:r w:rsidRPr="00400736">
        <w:t xml:space="preserve"> Pirkimo dokumentus</w:t>
      </w:r>
      <w:r w:rsidR="00B97E32" w:rsidRPr="00400736">
        <w:t xml:space="preserve"> savo iniciatyva</w:t>
      </w:r>
      <w:r w:rsidRPr="00400736">
        <w:t>:</w:t>
      </w:r>
    </w:p>
    <w:p w14:paraId="503C2C11" w14:textId="77777777" w:rsidR="00E5194C" w:rsidRPr="00400736" w:rsidRDefault="00E5194C" w:rsidP="00E5194C">
      <w:pPr>
        <w:spacing w:line="288" w:lineRule="auto"/>
        <w:ind w:right="-208" w:firstLine="720"/>
        <w:jc w:val="both"/>
        <w:rPr>
          <w:rFonts w:eastAsia="Times New Roman"/>
          <w:i/>
          <w:iCs/>
          <w:color w:val="212121"/>
          <w:bdr w:val="none" w:sz="0" w:space="0" w:color="auto"/>
        </w:rPr>
      </w:pPr>
      <w:r w:rsidRPr="00400736">
        <w:rPr>
          <w:noProof/>
        </w:rPr>
        <w:t>1) Pirkimo dokumentų Specialiųjų sąlygų</w:t>
      </w:r>
      <w:r w:rsidRPr="00400736">
        <w:t xml:space="preserve"> priede „Techninė specifikacija“ nurodytus reikalavimus: </w:t>
      </w:r>
    </w:p>
    <w:tbl>
      <w:tblPr>
        <w:tblStyle w:val="Lentelstinklelis"/>
        <w:tblW w:w="10060" w:type="dxa"/>
        <w:tblLook w:val="04A0" w:firstRow="1" w:lastRow="0" w:firstColumn="1" w:lastColumn="0" w:noHBand="0" w:noVBand="1"/>
      </w:tblPr>
      <w:tblGrid>
        <w:gridCol w:w="1470"/>
        <w:gridCol w:w="4295"/>
        <w:gridCol w:w="4295"/>
      </w:tblGrid>
      <w:tr w:rsidR="00E5194C" w:rsidRPr="00400736" w14:paraId="08C05AEC" w14:textId="77777777" w:rsidTr="00E5194C">
        <w:tc>
          <w:tcPr>
            <w:tcW w:w="1470" w:type="dxa"/>
            <w:vAlign w:val="center"/>
          </w:tcPr>
          <w:p w14:paraId="2F7373B3" w14:textId="77777777" w:rsidR="00E5194C" w:rsidRPr="00400736" w:rsidRDefault="00E5194C" w:rsidP="0063373B">
            <w:pPr>
              <w:jc w:val="center"/>
              <w:rPr>
                <w:b/>
                <w:bCs/>
                <w:lang w:val="lt-LT"/>
              </w:rPr>
            </w:pPr>
            <w:r w:rsidRPr="00400736">
              <w:rPr>
                <w:b/>
                <w:bCs/>
                <w:lang w:val="lt-LT"/>
              </w:rPr>
              <w:lastRenderedPageBreak/>
              <w:t>Tikslinamas punktas</w:t>
            </w:r>
          </w:p>
        </w:tc>
        <w:tc>
          <w:tcPr>
            <w:tcW w:w="4295" w:type="dxa"/>
            <w:vAlign w:val="center"/>
          </w:tcPr>
          <w:p w14:paraId="7B2A669A" w14:textId="77777777" w:rsidR="00E5194C" w:rsidRPr="00400736" w:rsidRDefault="00E5194C" w:rsidP="0063373B">
            <w:pPr>
              <w:jc w:val="center"/>
              <w:rPr>
                <w:b/>
                <w:bCs/>
                <w:lang w:val="lt-LT"/>
              </w:rPr>
            </w:pPr>
            <w:r w:rsidRPr="00400736">
              <w:rPr>
                <w:b/>
                <w:bCs/>
                <w:lang w:val="lt-LT"/>
              </w:rPr>
              <w:t>Reikalaujama minimali charakteristika</w:t>
            </w:r>
          </w:p>
        </w:tc>
        <w:tc>
          <w:tcPr>
            <w:tcW w:w="4295" w:type="dxa"/>
            <w:vAlign w:val="center"/>
          </w:tcPr>
          <w:p w14:paraId="24AF1437" w14:textId="77777777" w:rsidR="00E5194C" w:rsidRPr="00400736" w:rsidRDefault="00E5194C" w:rsidP="0063373B">
            <w:pPr>
              <w:jc w:val="center"/>
              <w:rPr>
                <w:b/>
                <w:bCs/>
                <w:color w:val="FF0000"/>
                <w:lang w:val="lt-LT"/>
              </w:rPr>
            </w:pPr>
            <w:r w:rsidRPr="00400736">
              <w:rPr>
                <w:b/>
                <w:bCs/>
                <w:lang w:val="lt-LT"/>
              </w:rPr>
              <w:t>Reikalaujama minimali charakteristika</w:t>
            </w:r>
            <w:r w:rsidRPr="00400736">
              <w:rPr>
                <w:b/>
                <w:bCs/>
                <w:color w:val="FF0000"/>
                <w:lang w:val="lt-LT"/>
              </w:rPr>
              <w:t xml:space="preserve"> </w:t>
            </w:r>
          </w:p>
          <w:p w14:paraId="6BA7359B" w14:textId="77777777" w:rsidR="00E5194C" w:rsidRPr="00400736" w:rsidRDefault="00E5194C" w:rsidP="0063373B">
            <w:pPr>
              <w:jc w:val="center"/>
              <w:rPr>
                <w:b/>
                <w:bCs/>
                <w:lang w:val="lt-LT"/>
              </w:rPr>
            </w:pPr>
            <w:r w:rsidRPr="00400736">
              <w:rPr>
                <w:b/>
                <w:bCs/>
                <w:color w:val="FF0000"/>
                <w:lang w:val="lt-LT"/>
              </w:rPr>
              <w:t>(po patikslinimo)</w:t>
            </w:r>
          </w:p>
        </w:tc>
      </w:tr>
      <w:tr w:rsidR="00E5194C" w:rsidRPr="00400736" w14:paraId="6DBCE422" w14:textId="77777777" w:rsidTr="00E5194C">
        <w:tc>
          <w:tcPr>
            <w:tcW w:w="1470" w:type="dxa"/>
          </w:tcPr>
          <w:p w14:paraId="566CBA84" w14:textId="77777777" w:rsidR="00E5194C" w:rsidRPr="00400736" w:rsidRDefault="00E5194C" w:rsidP="0063373B">
            <w:pPr>
              <w:rPr>
                <w:lang w:val="lt-LT"/>
              </w:rPr>
            </w:pPr>
            <w:r w:rsidRPr="00400736">
              <w:rPr>
                <w:lang w:val="lt-LT"/>
              </w:rPr>
              <w:t>1.8.1 p.</w:t>
            </w:r>
          </w:p>
        </w:tc>
        <w:tc>
          <w:tcPr>
            <w:tcW w:w="4295" w:type="dxa"/>
          </w:tcPr>
          <w:p w14:paraId="243C4F4B" w14:textId="77777777" w:rsidR="00E5194C" w:rsidRPr="00400736" w:rsidRDefault="00E5194C" w:rsidP="0063373B">
            <w:pPr>
              <w:jc w:val="both"/>
              <w:rPr>
                <w:lang w:val="lt-LT"/>
              </w:rPr>
            </w:pPr>
            <w:r w:rsidRPr="00400736">
              <w:rPr>
                <w:lang w:val="lt-LT"/>
              </w:rPr>
              <w:t xml:space="preserve">Garantijos trukmė – ne trumpiau 36 mėn. </w:t>
            </w:r>
          </w:p>
        </w:tc>
        <w:tc>
          <w:tcPr>
            <w:tcW w:w="4295" w:type="dxa"/>
          </w:tcPr>
          <w:p w14:paraId="38BAB4F5" w14:textId="77777777" w:rsidR="00E5194C" w:rsidRPr="00400736" w:rsidRDefault="00E5194C" w:rsidP="0063373B">
            <w:pPr>
              <w:jc w:val="both"/>
              <w:rPr>
                <w:lang w:val="lt-LT"/>
              </w:rPr>
            </w:pPr>
            <w:r w:rsidRPr="00400736">
              <w:rPr>
                <w:lang w:val="lt-LT"/>
              </w:rPr>
              <w:t xml:space="preserve">Garantijos trukmė – ne trumpiau 36 mėn. </w:t>
            </w:r>
            <w:r w:rsidRPr="00400736">
              <w:rPr>
                <w:highlight w:val="yellow"/>
                <w:lang w:val="lt-LT"/>
              </w:rPr>
              <w:t>arba ne mažiau kaip 100 000 km ridos, priklausomai nuo to, kuri sąlyga įvyksta anksčiau.</w:t>
            </w:r>
          </w:p>
        </w:tc>
      </w:tr>
      <w:tr w:rsidR="00E5194C" w:rsidRPr="00400736" w14:paraId="2D4600A7" w14:textId="77777777" w:rsidTr="00E5194C">
        <w:tc>
          <w:tcPr>
            <w:tcW w:w="1470" w:type="dxa"/>
          </w:tcPr>
          <w:p w14:paraId="0288D0FC" w14:textId="77777777" w:rsidR="00E5194C" w:rsidRPr="00400736" w:rsidRDefault="00E5194C" w:rsidP="0063373B">
            <w:pPr>
              <w:rPr>
                <w:lang w:val="lt-LT"/>
              </w:rPr>
            </w:pPr>
            <w:r w:rsidRPr="00400736">
              <w:rPr>
                <w:lang w:val="lt-LT"/>
              </w:rPr>
              <w:t>1 lentelės 30 eil.</w:t>
            </w:r>
          </w:p>
        </w:tc>
        <w:tc>
          <w:tcPr>
            <w:tcW w:w="4295" w:type="dxa"/>
          </w:tcPr>
          <w:p w14:paraId="55C604EC" w14:textId="77777777" w:rsidR="00E5194C" w:rsidRPr="00400736" w:rsidRDefault="00E5194C" w:rsidP="0063373B">
            <w:pPr>
              <w:jc w:val="both"/>
              <w:rPr>
                <w:lang w:val="lt-LT"/>
              </w:rPr>
            </w:pPr>
            <w:r w:rsidRPr="00400736">
              <w:rPr>
                <w:lang w:val="lt-LT"/>
              </w:rPr>
              <w:t>Automobiliui suteikiama ne mažiau kaip 36 mėn. garantija.</w:t>
            </w:r>
          </w:p>
        </w:tc>
        <w:tc>
          <w:tcPr>
            <w:tcW w:w="4295" w:type="dxa"/>
            <w:vAlign w:val="center"/>
          </w:tcPr>
          <w:p w14:paraId="28B7C67A" w14:textId="77777777" w:rsidR="00E5194C" w:rsidRPr="00400736" w:rsidRDefault="00E5194C" w:rsidP="0063373B">
            <w:pPr>
              <w:jc w:val="both"/>
              <w:rPr>
                <w:lang w:val="lt-LT"/>
              </w:rPr>
            </w:pPr>
            <w:r w:rsidRPr="00400736">
              <w:rPr>
                <w:lang w:val="lt-LT"/>
              </w:rPr>
              <w:t xml:space="preserve">Automobiliui suteikiamas garantinis </w:t>
            </w:r>
            <w:r w:rsidRPr="00400736">
              <w:rPr>
                <w:highlight w:val="yellow"/>
                <w:lang w:val="lt-LT"/>
              </w:rPr>
              <w:t>terminas, kuris yra ne trumpesnis nei 36 mėn. arba ne mažiau kaip 100 000 km ridos, priklausomai nuo to, kuri sąlyga įvyksta anksčiau.</w:t>
            </w:r>
          </w:p>
        </w:tc>
      </w:tr>
      <w:tr w:rsidR="00E5194C" w:rsidRPr="00400736" w14:paraId="5C9F9987" w14:textId="77777777" w:rsidTr="00E5194C">
        <w:tc>
          <w:tcPr>
            <w:tcW w:w="1470" w:type="dxa"/>
          </w:tcPr>
          <w:p w14:paraId="7193C156" w14:textId="77777777" w:rsidR="00E5194C" w:rsidRPr="00400736" w:rsidRDefault="00E5194C" w:rsidP="0063373B">
            <w:pPr>
              <w:rPr>
                <w:lang w:val="lt-LT"/>
              </w:rPr>
            </w:pPr>
            <w:r w:rsidRPr="00400736">
              <w:rPr>
                <w:lang w:val="lt-LT"/>
              </w:rPr>
              <w:t>3.1.3 p.</w:t>
            </w:r>
          </w:p>
        </w:tc>
        <w:tc>
          <w:tcPr>
            <w:tcW w:w="4295" w:type="dxa"/>
          </w:tcPr>
          <w:p w14:paraId="4C6CE2B3" w14:textId="77777777" w:rsidR="00E5194C" w:rsidRPr="00400736" w:rsidRDefault="00E5194C" w:rsidP="0063373B">
            <w:pPr>
              <w:jc w:val="both"/>
              <w:rPr>
                <w:lang w:val="lt-LT"/>
              </w:rPr>
            </w:pPr>
            <w:r w:rsidRPr="00400736">
              <w:rPr>
                <w:lang w:val="lt-LT"/>
              </w:rPr>
              <w:t>Automobilių garantijos raštus, patvirtinančius ne trumpesnę nei 36 mėnesių garantiją.</w:t>
            </w:r>
          </w:p>
        </w:tc>
        <w:tc>
          <w:tcPr>
            <w:tcW w:w="4295" w:type="dxa"/>
          </w:tcPr>
          <w:p w14:paraId="0841BA95" w14:textId="77777777" w:rsidR="00E5194C" w:rsidRPr="00400736" w:rsidRDefault="00E5194C" w:rsidP="0063373B">
            <w:pPr>
              <w:jc w:val="both"/>
              <w:rPr>
                <w:lang w:val="lt-LT"/>
              </w:rPr>
            </w:pPr>
            <w:r w:rsidRPr="00400736">
              <w:rPr>
                <w:lang w:val="lt-LT"/>
              </w:rPr>
              <w:t xml:space="preserve">Automobilių garantijos raštus, patvirtinančius ne trumpesnę nei 36 mėnesių </w:t>
            </w:r>
            <w:r w:rsidRPr="00400736">
              <w:rPr>
                <w:highlight w:val="yellow"/>
                <w:lang w:val="lt-LT"/>
              </w:rPr>
              <w:t>arba ne mažiau kaip 100 000 km ridos, priklausomai nuo to, kuri sąlyga įvyksta anksčiau</w:t>
            </w:r>
            <w:r w:rsidRPr="00400736">
              <w:rPr>
                <w:lang w:val="lt-LT"/>
              </w:rPr>
              <w:t>, garantiją</w:t>
            </w:r>
          </w:p>
        </w:tc>
      </w:tr>
    </w:tbl>
    <w:p w14:paraId="71D1C11B" w14:textId="77777777" w:rsidR="00E5194C" w:rsidRPr="00400736" w:rsidRDefault="00E5194C" w:rsidP="00E5194C">
      <w:pPr>
        <w:spacing w:line="288" w:lineRule="auto"/>
        <w:ind w:firstLine="720"/>
        <w:jc w:val="both"/>
      </w:pPr>
    </w:p>
    <w:p w14:paraId="16EA2CAF" w14:textId="77777777" w:rsidR="00E5194C" w:rsidRPr="00400736" w:rsidRDefault="00E5194C" w:rsidP="00851734">
      <w:pPr>
        <w:spacing w:line="288" w:lineRule="auto"/>
        <w:ind w:right="-208" w:firstLine="720"/>
        <w:jc w:val="both"/>
      </w:pPr>
      <w:r w:rsidRPr="00400736">
        <w:t xml:space="preserve">2) </w:t>
      </w:r>
      <w:r w:rsidRPr="00400736">
        <w:rPr>
          <w:noProof/>
        </w:rPr>
        <w:t>Pirkimo dokumentų Specialiųjų sąlygų</w:t>
      </w:r>
      <w:r w:rsidRPr="00400736">
        <w:t xml:space="preserve"> priede „Sutarties specialiosios sąlygos“ nurodytus reikalavimus:</w:t>
      </w:r>
    </w:p>
    <w:tbl>
      <w:tblPr>
        <w:tblStyle w:val="Lentelstinklelis"/>
        <w:tblW w:w="10060" w:type="dxa"/>
        <w:tblLook w:val="04A0" w:firstRow="1" w:lastRow="0" w:firstColumn="1" w:lastColumn="0" w:noHBand="0" w:noVBand="1"/>
      </w:tblPr>
      <w:tblGrid>
        <w:gridCol w:w="1743"/>
        <w:gridCol w:w="4159"/>
        <w:gridCol w:w="4158"/>
      </w:tblGrid>
      <w:tr w:rsidR="00E5194C" w:rsidRPr="00400736" w14:paraId="3AA9384E" w14:textId="77777777" w:rsidTr="001D3C18">
        <w:tc>
          <w:tcPr>
            <w:tcW w:w="1743" w:type="dxa"/>
            <w:vAlign w:val="center"/>
          </w:tcPr>
          <w:p w14:paraId="30C1036D" w14:textId="77777777" w:rsidR="00E5194C" w:rsidRPr="00400736" w:rsidRDefault="00E5194C" w:rsidP="0063373B">
            <w:pPr>
              <w:jc w:val="center"/>
              <w:rPr>
                <w:b/>
                <w:bCs/>
                <w:lang w:val="lt-LT"/>
              </w:rPr>
            </w:pPr>
            <w:r w:rsidRPr="00400736">
              <w:rPr>
                <w:b/>
                <w:bCs/>
                <w:lang w:val="lt-LT"/>
              </w:rPr>
              <w:t>Tikslinamas punktas</w:t>
            </w:r>
          </w:p>
        </w:tc>
        <w:tc>
          <w:tcPr>
            <w:tcW w:w="4159" w:type="dxa"/>
            <w:vAlign w:val="center"/>
          </w:tcPr>
          <w:p w14:paraId="77AD3BDE" w14:textId="77777777" w:rsidR="00E5194C" w:rsidRPr="00400736" w:rsidRDefault="00E5194C" w:rsidP="0063373B">
            <w:pPr>
              <w:jc w:val="center"/>
              <w:rPr>
                <w:b/>
                <w:bCs/>
                <w:lang w:val="lt-LT"/>
              </w:rPr>
            </w:pPr>
            <w:r w:rsidRPr="00400736">
              <w:rPr>
                <w:b/>
                <w:bCs/>
                <w:lang w:val="lt-LT"/>
              </w:rPr>
              <w:t>Sutarties sąlyga</w:t>
            </w:r>
          </w:p>
        </w:tc>
        <w:tc>
          <w:tcPr>
            <w:tcW w:w="4158" w:type="dxa"/>
            <w:vAlign w:val="center"/>
          </w:tcPr>
          <w:p w14:paraId="4BDEBA98" w14:textId="77777777" w:rsidR="00E5194C" w:rsidRPr="00400736" w:rsidRDefault="00E5194C" w:rsidP="0063373B">
            <w:pPr>
              <w:jc w:val="center"/>
              <w:rPr>
                <w:b/>
                <w:bCs/>
                <w:lang w:val="lt-LT"/>
              </w:rPr>
            </w:pPr>
            <w:r w:rsidRPr="00400736">
              <w:rPr>
                <w:b/>
                <w:bCs/>
                <w:lang w:val="lt-LT"/>
              </w:rPr>
              <w:t>Sutarties sąlyga</w:t>
            </w:r>
            <w:r w:rsidRPr="00400736">
              <w:rPr>
                <w:b/>
                <w:bCs/>
                <w:color w:val="FF0000"/>
                <w:lang w:val="lt-LT"/>
              </w:rPr>
              <w:t xml:space="preserve"> (po patikslinimo)</w:t>
            </w:r>
          </w:p>
        </w:tc>
      </w:tr>
      <w:tr w:rsidR="00E5194C" w:rsidRPr="00400736" w14:paraId="395CEAC6" w14:textId="77777777" w:rsidTr="001D3C18">
        <w:tc>
          <w:tcPr>
            <w:tcW w:w="1743" w:type="dxa"/>
          </w:tcPr>
          <w:p w14:paraId="08E1CF12" w14:textId="408E195A" w:rsidR="00E5194C" w:rsidRPr="00400736" w:rsidRDefault="00D84A53" w:rsidP="0063373B">
            <w:pPr>
              <w:rPr>
                <w:lang w:val="lt-LT"/>
              </w:rPr>
            </w:pPr>
            <w:r w:rsidRPr="00400736">
              <w:rPr>
                <w:kern w:val="2"/>
                <w:lang w:val="lt-LT"/>
              </w:rPr>
              <w:t>4.5. Kartu su Prekėmis pateikiami dokumentai</w:t>
            </w:r>
          </w:p>
        </w:tc>
        <w:tc>
          <w:tcPr>
            <w:tcW w:w="4159" w:type="dxa"/>
          </w:tcPr>
          <w:p w14:paraId="59D1AAFF" w14:textId="04EE5CE6" w:rsidR="00E5194C" w:rsidRPr="00400736" w:rsidRDefault="00B36545" w:rsidP="00B36545">
            <w:pPr>
              <w:pStyle w:val="Sraopastraipa"/>
              <w:numPr>
                <w:ilvl w:val="0"/>
                <w:numId w:val="5"/>
              </w:numPr>
              <w:tabs>
                <w:tab w:val="left" w:pos="167"/>
              </w:tabs>
              <w:spacing w:after="0" w:line="240" w:lineRule="auto"/>
              <w:ind w:left="0" w:firstLine="0"/>
              <w:jc w:val="both"/>
              <w:rPr>
                <w:rFonts w:ascii="Times New Roman" w:hAnsi="Times New Roman" w:cs="Times New Roman"/>
                <w:sz w:val="24"/>
                <w:szCs w:val="24"/>
                <w:lang w:val="lt-LT"/>
              </w:rPr>
            </w:pPr>
            <w:r w:rsidRPr="00400736">
              <w:rPr>
                <w:rFonts w:ascii="Times New Roman" w:hAnsi="Times New Roman" w:cs="Times New Roman"/>
                <w:sz w:val="24"/>
                <w:szCs w:val="24"/>
                <w:lang w:val="lt-LT"/>
              </w:rPr>
              <w:t>Prekių garantijos raštai, patvirtinantys ne trumpesnę nei 36 mėnesių garantiją;</w:t>
            </w:r>
          </w:p>
        </w:tc>
        <w:tc>
          <w:tcPr>
            <w:tcW w:w="4158" w:type="dxa"/>
          </w:tcPr>
          <w:p w14:paraId="5B99E116" w14:textId="7446112D" w:rsidR="00E5194C" w:rsidRPr="00400736" w:rsidRDefault="00B36545" w:rsidP="00B36545">
            <w:pPr>
              <w:pStyle w:val="Sraopastraipa"/>
              <w:numPr>
                <w:ilvl w:val="0"/>
                <w:numId w:val="5"/>
              </w:numPr>
              <w:tabs>
                <w:tab w:val="left" w:pos="167"/>
              </w:tabs>
              <w:spacing w:after="0" w:line="240" w:lineRule="auto"/>
              <w:ind w:left="0" w:firstLine="0"/>
              <w:jc w:val="both"/>
              <w:rPr>
                <w:rFonts w:ascii="Times New Roman" w:hAnsi="Times New Roman" w:cs="Times New Roman"/>
                <w:sz w:val="24"/>
                <w:szCs w:val="24"/>
                <w:lang w:val="lt-LT"/>
              </w:rPr>
            </w:pPr>
            <w:r w:rsidRPr="00400736">
              <w:rPr>
                <w:rFonts w:ascii="Times New Roman" w:hAnsi="Times New Roman" w:cs="Times New Roman"/>
                <w:sz w:val="24"/>
                <w:szCs w:val="24"/>
                <w:lang w:val="lt-LT"/>
              </w:rPr>
              <w:t xml:space="preserve">Prekių garantijos raštai, patvirtinantys ne trumpesnę nei 36 mėnesių </w:t>
            </w:r>
            <w:r w:rsidRPr="00400736">
              <w:rPr>
                <w:rFonts w:ascii="Times New Roman" w:hAnsi="Times New Roman" w:cs="Times New Roman"/>
                <w:sz w:val="24"/>
                <w:szCs w:val="24"/>
                <w:highlight w:val="yellow"/>
                <w:lang w:val="lt-LT"/>
              </w:rPr>
              <w:t>arba ne mažiau kaip 100 000 km ridos, priklausomai nuo to, kuri sąlyga įvyksta anksčiau</w:t>
            </w:r>
            <w:r w:rsidRPr="00400736">
              <w:rPr>
                <w:rFonts w:ascii="Times New Roman" w:hAnsi="Times New Roman" w:cs="Times New Roman"/>
                <w:sz w:val="24"/>
                <w:szCs w:val="24"/>
                <w:lang w:val="lt-LT"/>
              </w:rPr>
              <w:t>, garantiją;</w:t>
            </w:r>
          </w:p>
        </w:tc>
      </w:tr>
      <w:tr w:rsidR="00400736" w:rsidRPr="00400736" w14:paraId="50265EB5" w14:textId="77777777" w:rsidTr="001D3C18">
        <w:tc>
          <w:tcPr>
            <w:tcW w:w="1743" w:type="dxa"/>
          </w:tcPr>
          <w:p w14:paraId="3CA78958" w14:textId="41F01AFD" w:rsidR="00400736" w:rsidRPr="00400736" w:rsidRDefault="00400736" w:rsidP="00400736">
            <w:pPr>
              <w:rPr>
                <w:lang w:val="lt-LT"/>
              </w:rPr>
            </w:pPr>
            <w:r w:rsidRPr="00400736">
              <w:rPr>
                <w:kern w:val="2"/>
                <w:lang w:val="lt-LT"/>
              </w:rPr>
              <w:t>6.1. Garantinis terminas</w:t>
            </w:r>
          </w:p>
        </w:tc>
        <w:tc>
          <w:tcPr>
            <w:tcW w:w="4159" w:type="dxa"/>
          </w:tcPr>
          <w:p w14:paraId="024CBF87" w14:textId="7BC7D225" w:rsidR="00400736" w:rsidRPr="00400736" w:rsidRDefault="00400736" w:rsidP="00400736">
            <w:pPr>
              <w:jc w:val="both"/>
              <w:rPr>
                <w:lang w:val="lt-LT"/>
              </w:rPr>
            </w:pPr>
            <w:r w:rsidRPr="00400736">
              <w:rPr>
                <w:kern w:val="2"/>
                <w:lang w:val="lt-LT"/>
              </w:rPr>
              <w:t>Prekėms nustatomas Techninėje specifikacijoje nustatytas garantinis terminas, kuris yra ne trumpesnis nei 36 mėn. Garantinis terminas Prekėms skaičiuojamas nuo tų Prekių perdavimo–priėmimo akto pasirašymo dienos.</w:t>
            </w:r>
          </w:p>
        </w:tc>
        <w:tc>
          <w:tcPr>
            <w:tcW w:w="4158" w:type="dxa"/>
          </w:tcPr>
          <w:p w14:paraId="555C4741" w14:textId="7C9D9925" w:rsidR="00400736" w:rsidRPr="00400736" w:rsidRDefault="00400736" w:rsidP="00400736">
            <w:pPr>
              <w:jc w:val="both"/>
              <w:rPr>
                <w:lang w:val="lt-LT"/>
              </w:rPr>
            </w:pPr>
            <w:r w:rsidRPr="00400736">
              <w:rPr>
                <w:kern w:val="2"/>
                <w:lang w:val="lt-LT"/>
              </w:rPr>
              <w:t xml:space="preserve">Prekėms nustatomas Techninėje specifikacijoje nustatytas garantinis terminas, kuris yra ne trumpesnis nei 36 mėn. </w:t>
            </w:r>
            <w:r w:rsidRPr="00400736">
              <w:rPr>
                <w:kern w:val="2"/>
                <w:highlight w:val="yellow"/>
                <w:lang w:val="lt-LT"/>
              </w:rPr>
              <w:t>arba ne mažiau kaip 100 000 km ridos, priklausomai nuo to, kuri sąlyga įvyksta anksčiau.</w:t>
            </w:r>
            <w:r w:rsidRPr="00400736">
              <w:rPr>
                <w:kern w:val="2"/>
                <w:lang w:val="lt-LT"/>
              </w:rPr>
              <w:t xml:space="preserve"> Garantinis terminas Prekėms skaičiuojamas nuo tų Prekių perdavimo–priėmimo akto pasirašymo dienos.</w:t>
            </w:r>
          </w:p>
        </w:tc>
      </w:tr>
    </w:tbl>
    <w:p w14:paraId="6B0C2B48" w14:textId="77777777" w:rsidR="00E5194C" w:rsidRPr="00400736" w:rsidRDefault="00E5194C" w:rsidP="00E5194C">
      <w:pPr>
        <w:spacing w:line="288" w:lineRule="auto"/>
        <w:jc w:val="both"/>
      </w:pPr>
    </w:p>
    <w:p w14:paraId="6400DC9C" w14:textId="77777777" w:rsidR="00915D24" w:rsidRPr="00400736" w:rsidRDefault="00915D24" w:rsidP="00915D24">
      <w:pPr>
        <w:tabs>
          <w:tab w:val="left" w:pos="567"/>
          <w:tab w:val="left" w:pos="851"/>
          <w:tab w:val="left" w:pos="992"/>
          <w:tab w:val="left" w:pos="1134"/>
        </w:tabs>
        <w:spacing w:line="276" w:lineRule="auto"/>
        <w:ind w:firstLine="720"/>
        <w:jc w:val="both"/>
        <w:textAlignment w:val="center"/>
      </w:pPr>
      <w:r w:rsidRPr="00400736">
        <w:t>Pirkimo dokumentai, kuriuose buvo atlikti patikslinimai, bus paskelbti CVP IS nauja redakcija prie Pirkimo dokumentų.</w:t>
      </w:r>
    </w:p>
    <w:p w14:paraId="101C2970" w14:textId="77777777" w:rsidR="00915D24" w:rsidRPr="00400736" w:rsidRDefault="00915D24" w:rsidP="00915D24">
      <w:pPr>
        <w:tabs>
          <w:tab w:val="left" w:pos="567"/>
          <w:tab w:val="left" w:pos="851"/>
          <w:tab w:val="left" w:pos="992"/>
          <w:tab w:val="left" w:pos="1134"/>
        </w:tabs>
        <w:spacing w:line="276" w:lineRule="auto"/>
        <w:ind w:firstLine="709"/>
        <w:jc w:val="both"/>
        <w:textAlignment w:val="center"/>
      </w:pPr>
      <w:r w:rsidRPr="00400736">
        <w:t>Šie paaiškinimai/patikslinimai laikomi neatsiejama Pirkimo dokumentų dalimi. Prašome jais vadovautis teikiant pasiūlymus.</w:t>
      </w:r>
    </w:p>
    <w:p w14:paraId="236E5C38" w14:textId="0B30DB8C" w:rsidR="00915D24" w:rsidRPr="00400736" w:rsidRDefault="00915D24" w:rsidP="00915D24">
      <w:pPr>
        <w:tabs>
          <w:tab w:val="left" w:pos="567"/>
          <w:tab w:val="left" w:pos="851"/>
          <w:tab w:val="left" w:pos="992"/>
          <w:tab w:val="left" w:pos="1134"/>
        </w:tabs>
        <w:spacing w:line="276" w:lineRule="auto"/>
        <w:ind w:firstLine="720"/>
        <w:jc w:val="both"/>
        <w:textAlignment w:val="center"/>
      </w:pPr>
      <w:r w:rsidRPr="00400736">
        <w:t xml:space="preserve">Vadovaudamasi Pirkimo dokumentų Bendrųjų sąlygų 5.4 </w:t>
      </w:r>
      <w:r w:rsidRPr="00400736">
        <w:rPr>
          <w:noProof/>
        </w:rPr>
        <w:t>p.</w:t>
      </w:r>
      <w:r w:rsidRPr="00400736">
        <w:t xml:space="preserve">, Komisija nusprendė nukelti </w:t>
      </w:r>
      <w:r w:rsidRPr="00400736">
        <w:rPr>
          <w:b/>
          <w:bCs/>
        </w:rPr>
        <w:t>pasiūlymų pateikimo terminą iš 2026-06-25 9.00 val. į 2026-06-29 9.00 val.</w:t>
      </w:r>
      <w:r w:rsidRPr="00400736">
        <w:t xml:space="preserve"> </w:t>
      </w:r>
      <w:r w:rsidRPr="00400736">
        <w:rPr>
          <w:noProof/>
        </w:rPr>
        <w:t xml:space="preserve">Taip pat pratęsiamas prašymo paaiškinti, patikslinti pirkimo sąlygas terminas </w:t>
      </w:r>
      <w:r w:rsidRPr="00400736">
        <w:rPr>
          <w:b/>
          <w:bCs/>
        </w:rPr>
        <w:t>iki 2026-06-23 imtinai</w:t>
      </w:r>
      <w:r w:rsidRPr="00400736">
        <w:t>.</w:t>
      </w:r>
    </w:p>
    <w:p w14:paraId="36713B33" w14:textId="77777777" w:rsidR="00260292" w:rsidRPr="00400736" w:rsidRDefault="00260292" w:rsidP="00915D24">
      <w:pPr>
        <w:tabs>
          <w:tab w:val="left" w:pos="567"/>
          <w:tab w:val="left" w:pos="851"/>
          <w:tab w:val="left" w:pos="992"/>
          <w:tab w:val="left" w:pos="1134"/>
        </w:tabs>
        <w:spacing w:line="276" w:lineRule="auto"/>
        <w:ind w:firstLine="720"/>
        <w:jc w:val="both"/>
        <w:textAlignment w:val="center"/>
      </w:pPr>
    </w:p>
    <w:p w14:paraId="4DED9DB4" w14:textId="77777777" w:rsidR="004724B7" w:rsidRPr="00400736" w:rsidRDefault="004724B7" w:rsidP="004724B7">
      <w:pPr>
        <w:tabs>
          <w:tab w:val="left" w:pos="1605"/>
        </w:tabs>
        <w:spacing w:line="288" w:lineRule="auto"/>
        <w:jc w:val="both"/>
        <w:rPr>
          <w:rFonts w:eastAsia="Times New Roman"/>
          <w:color w:val="000000"/>
        </w:rPr>
      </w:pPr>
    </w:p>
    <w:p w14:paraId="2FC7F03D" w14:textId="20D198AA" w:rsidR="004724B7" w:rsidRPr="00400736" w:rsidRDefault="004724B7" w:rsidP="004724B7">
      <w:pPr>
        <w:tabs>
          <w:tab w:val="left" w:pos="1605"/>
        </w:tabs>
        <w:spacing w:line="288" w:lineRule="auto"/>
        <w:jc w:val="both"/>
        <w:rPr>
          <w:rFonts w:eastAsia="Times New Roman"/>
          <w:color w:val="000000"/>
        </w:rPr>
      </w:pPr>
      <w:r w:rsidRPr="00400736">
        <w:rPr>
          <w:rFonts w:eastAsia="Times New Roman"/>
          <w:color w:val="000000"/>
        </w:rPr>
        <w:t>Pagarbiai</w:t>
      </w:r>
    </w:p>
    <w:p w14:paraId="24581294" w14:textId="77777777" w:rsidR="004724B7" w:rsidRPr="00400736" w:rsidRDefault="004724B7" w:rsidP="004724B7">
      <w:pPr>
        <w:tabs>
          <w:tab w:val="left" w:pos="1605"/>
        </w:tabs>
        <w:jc w:val="both"/>
        <w:rPr>
          <w:rFonts w:eastAsia="Times New Roman"/>
          <w:color w:val="000000"/>
        </w:rPr>
      </w:pPr>
    </w:p>
    <w:p w14:paraId="7478A476" w14:textId="081681EA" w:rsidR="00E4040A" w:rsidRPr="00400736" w:rsidRDefault="004724B7" w:rsidP="000A535B">
      <w:pPr>
        <w:tabs>
          <w:tab w:val="left" w:pos="1605"/>
        </w:tabs>
        <w:spacing w:line="288" w:lineRule="auto"/>
        <w:jc w:val="both"/>
      </w:pPr>
      <w:r w:rsidRPr="00400736">
        <w:rPr>
          <w:rFonts w:eastAsia="Times New Roman"/>
          <w:color w:val="000000"/>
        </w:rPr>
        <w:t>Komisija</w:t>
      </w:r>
    </w:p>
    <w:sectPr w:rsidR="00E4040A" w:rsidRPr="00400736" w:rsidSect="000F17D6">
      <w:headerReference w:type="default" r:id="rId8"/>
      <w:footerReference w:type="default" r:id="rId9"/>
      <w:headerReference w:type="first" r:id="rId10"/>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18F0" w14:textId="77777777" w:rsidR="002B6DD3" w:rsidRDefault="002B6DD3" w:rsidP="000F17D6">
      <w:r>
        <w:separator/>
      </w:r>
    </w:p>
  </w:endnote>
  <w:endnote w:type="continuationSeparator" w:id="0">
    <w:p w14:paraId="76CD1427" w14:textId="77777777" w:rsidR="002B6DD3" w:rsidRDefault="002B6DD3"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3B5C" w14:textId="77777777" w:rsidR="002B6DD3" w:rsidRDefault="002B6DD3" w:rsidP="000F17D6">
      <w:r>
        <w:separator/>
      </w:r>
    </w:p>
  </w:footnote>
  <w:footnote w:type="continuationSeparator" w:id="0">
    <w:p w14:paraId="723A45B6" w14:textId="77777777" w:rsidR="002B6DD3" w:rsidRDefault="002B6DD3"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7C5D"/>
    <w:multiLevelType w:val="multilevel"/>
    <w:tmpl w:val="C12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757E09"/>
    <w:multiLevelType w:val="hybridMultilevel"/>
    <w:tmpl w:val="D236F3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421B1"/>
    <w:multiLevelType w:val="hybridMultilevel"/>
    <w:tmpl w:val="543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7930672">
    <w:abstractNumId w:val="0"/>
  </w:num>
  <w:num w:numId="2" w16cid:durableId="934439856">
    <w:abstractNumId w:val="3"/>
  </w:num>
  <w:num w:numId="3" w16cid:durableId="2111776423">
    <w:abstractNumId w:val="1"/>
  </w:num>
  <w:num w:numId="4" w16cid:durableId="499272886">
    <w:abstractNumId w:val="4"/>
  </w:num>
  <w:num w:numId="5" w16cid:durableId="1905875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099E"/>
    <w:rsid w:val="00042B21"/>
    <w:rsid w:val="00051BE0"/>
    <w:rsid w:val="000673B7"/>
    <w:rsid w:val="000724E8"/>
    <w:rsid w:val="000741A8"/>
    <w:rsid w:val="00075C89"/>
    <w:rsid w:val="00077CE9"/>
    <w:rsid w:val="000841CC"/>
    <w:rsid w:val="00091D65"/>
    <w:rsid w:val="00095D5F"/>
    <w:rsid w:val="000A51EB"/>
    <w:rsid w:val="000A535B"/>
    <w:rsid w:val="000B64AE"/>
    <w:rsid w:val="000D15BD"/>
    <w:rsid w:val="000F17D6"/>
    <w:rsid w:val="000F3B8C"/>
    <w:rsid w:val="000F7154"/>
    <w:rsid w:val="00106B1F"/>
    <w:rsid w:val="00126391"/>
    <w:rsid w:val="001276CB"/>
    <w:rsid w:val="00130BEF"/>
    <w:rsid w:val="001330B6"/>
    <w:rsid w:val="00135FD6"/>
    <w:rsid w:val="001424B9"/>
    <w:rsid w:val="001558F6"/>
    <w:rsid w:val="00180221"/>
    <w:rsid w:val="0018467C"/>
    <w:rsid w:val="001954C2"/>
    <w:rsid w:val="001C257D"/>
    <w:rsid w:val="001D3C18"/>
    <w:rsid w:val="001E1058"/>
    <w:rsid w:val="001E5687"/>
    <w:rsid w:val="0021571A"/>
    <w:rsid w:val="00220889"/>
    <w:rsid w:val="00223999"/>
    <w:rsid w:val="0023122B"/>
    <w:rsid w:val="00240BAB"/>
    <w:rsid w:val="00260292"/>
    <w:rsid w:val="00270FD2"/>
    <w:rsid w:val="00271041"/>
    <w:rsid w:val="0027706E"/>
    <w:rsid w:val="00283410"/>
    <w:rsid w:val="00284547"/>
    <w:rsid w:val="002A2E60"/>
    <w:rsid w:val="002B1957"/>
    <w:rsid w:val="002B2F73"/>
    <w:rsid w:val="002B6DD3"/>
    <w:rsid w:val="002C037D"/>
    <w:rsid w:val="002C27D0"/>
    <w:rsid w:val="002D0BC5"/>
    <w:rsid w:val="002E0DBC"/>
    <w:rsid w:val="002E27CD"/>
    <w:rsid w:val="00300312"/>
    <w:rsid w:val="00322AFC"/>
    <w:rsid w:val="00323C05"/>
    <w:rsid w:val="0032721B"/>
    <w:rsid w:val="00334834"/>
    <w:rsid w:val="0034151A"/>
    <w:rsid w:val="003512B1"/>
    <w:rsid w:val="0036075B"/>
    <w:rsid w:val="00362939"/>
    <w:rsid w:val="003700F4"/>
    <w:rsid w:val="0037557A"/>
    <w:rsid w:val="00376B34"/>
    <w:rsid w:val="003845B9"/>
    <w:rsid w:val="003A6492"/>
    <w:rsid w:val="003B217B"/>
    <w:rsid w:val="003B610D"/>
    <w:rsid w:val="003B6880"/>
    <w:rsid w:val="003C6C5D"/>
    <w:rsid w:val="003D08CE"/>
    <w:rsid w:val="003E1BFD"/>
    <w:rsid w:val="003E6BB5"/>
    <w:rsid w:val="00400736"/>
    <w:rsid w:val="004162C4"/>
    <w:rsid w:val="004230F7"/>
    <w:rsid w:val="00424191"/>
    <w:rsid w:val="0043535C"/>
    <w:rsid w:val="00444CEE"/>
    <w:rsid w:val="00445645"/>
    <w:rsid w:val="004657AE"/>
    <w:rsid w:val="004724B7"/>
    <w:rsid w:val="0048126B"/>
    <w:rsid w:val="004841E0"/>
    <w:rsid w:val="004867B0"/>
    <w:rsid w:val="00490A3C"/>
    <w:rsid w:val="00494710"/>
    <w:rsid w:val="00494CBC"/>
    <w:rsid w:val="004A2D2A"/>
    <w:rsid w:val="004A5103"/>
    <w:rsid w:val="004B4774"/>
    <w:rsid w:val="004B53CE"/>
    <w:rsid w:val="004B73A5"/>
    <w:rsid w:val="004C601C"/>
    <w:rsid w:val="004D1F07"/>
    <w:rsid w:val="004E20FF"/>
    <w:rsid w:val="004F6AD6"/>
    <w:rsid w:val="00512F79"/>
    <w:rsid w:val="0051460F"/>
    <w:rsid w:val="00520B18"/>
    <w:rsid w:val="00524B8D"/>
    <w:rsid w:val="00530740"/>
    <w:rsid w:val="0056398D"/>
    <w:rsid w:val="005642C6"/>
    <w:rsid w:val="005718E6"/>
    <w:rsid w:val="00582BD1"/>
    <w:rsid w:val="005834A4"/>
    <w:rsid w:val="005B2B66"/>
    <w:rsid w:val="005B4238"/>
    <w:rsid w:val="005C31DB"/>
    <w:rsid w:val="005D01EA"/>
    <w:rsid w:val="005E3C36"/>
    <w:rsid w:val="006149DD"/>
    <w:rsid w:val="006157FF"/>
    <w:rsid w:val="00617DBA"/>
    <w:rsid w:val="00632561"/>
    <w:rsid w:val="006369F5"/>
    <w:rsid w:val="006409E4"/>
    <w:rsid w:val="00643516"/>
    <w:rsid w:val="00672827"/>
    <w:rsid w:val="006810B3"/>
    <w:rsid w:val="006862E0"/>
    <w:rsid w:val="006908B5"/>
    <w:rsid w:val="006A333C"/>
    <w:rsid w:val="006A3975"/>
    <w:rsid w:val="006B1D7E"/>
    <w:rsid w:val="006C4051"/>
    <w:rsid w:val="006D7657"/>
    <w:rsid w:val="006E7A99"/>
    <w:rsid w:val="006F5CF6"/>
    <w:rsid w:val="00706897"/>
    <w:rsid w:val="007150FC"/>
    <w:rsid w:val="00717603"/>
    <w:rsid w:val="00717D5C"/>
    <w:rsid w:val="007254B9"/>
    <w:rsid w:val="007271E9"/>
    <w:rsid w:val="00774325"/>
    <w:rsid w:val="007772DB"/>
    <w:rsid w:val="0078244E"/>
    <w:rsid w:val="007A0FD7"/>
    <w:rsid w:val="007A1699"/>
    <w:rsid w:val="007C7652"/>
    <w:rsid w:val="007F0445"/>
    <w:rsid w:val="007F072F"/>
    <w:rsid w:val="007F123E"/>
    <w:rsid w:val="00801512"/>
    <w:rsid w:val="00801E82"/>
    <w:rsid w:val="0080655C"/>
    <w:rsid w:val="00811008"/>
    <w:rsid w:val="0081367D"/>
    <w:rsid w:val="00817AC5"/>
    <w:rsid w:val="008218BB"/>
    <w:rsid w:val="00851734"/>
    <w:rsid w:val="00860FEB"/>
    <w:rsid w:val="00876804"/>
    <w:rsid w:val="00876EDD"/>
    <w:rsid w:val="008802A6"/>
    <w:rsid w:val="008814A7"/>
    <w:rsid w:val="00882ACC"/>
    <w:rsid w:val="0088508D"/>
    <w:rsid w:val="00892698"/>
    <w:rsid w:val="008B4D2F"/>
    <w:rsid w:val="008B55E6"/>
    <w:rsid w:val="008B59AC"/>
    <w:rsid w:val="008C4445"/>
    <w:rsid w:val="008C4514"/>
    <w:rsid w:val="008D18B2"/>
    <w:rsid w:val="008D5736"/>
    <w:rsid w:val="008D7719"/>
    <w:rsid w:val="008E62D4"/>
    <w:rsid w:val="00901F52"/>
    <w:rsid w:val="00913764"/>
    <w:rsid w:val="00915D24"/>
    <w:rsid w:val="009300FE"/>
    <w:rsid w:val="00935834"/>
    <w:rsid w:val="00940C42"/>
    <w:rsid w:val="00940E74"/>
    <w:rsid w:val="00943813"/>
    <w:rsid w:val="00992541"/>
    <w:rsid w:val="009A6FF3"/>
    <w:rsid w:val="009A76BF"/>
    <w:rsid w:val="009A7E52"/>
    <w:rsid w:val="009B2ED2"/>
    <w:rsid w:val="009C00D7"/>
    <w:rsid w:val="009C6D53"/>
    <w:rsid w:val="009C78E1"/>
    <w:rsid w:val="009C7A6F"/>
    <w:rsid w:val="009E5672"/>
    <w:rsid w:val="009F3B08"/>
    <w:rsid w:val="00A0048D"/>
    <w:rsid w:val="00A0291C"/>
    <w:rsid w:val="00A06DBF"/>
    <w:rsid w:val="00A1363C"/>
    <w:rsid w:val="00A232F1"/>
    <w:rsid w:val="00A25314"/>
    <w:rsid w:val="00A32CDF"/>
    <w:rsid w:val="00A54493"/>
    <w:rsid w:val="00A67D15"/>
    <w:rsid w:val="00A71CBF"/>
    <w:rsid w:val="00A72D16"/>
    <w:rsid w:val="00A7578F"/>
    <w:rsid w:val="00A7668B"/>
    <w:rsid w:val="00A809D7"/>
    <w:rsid w:val="00A815B8"/>
    <w:rsid w:val="00A84892"/>
    <w:rsid w:val="00AB3947"/>
    <w:rsid w:val="00AB476D"/>
    <w:rsid w:val="00AB7038"/>
    <w:rsid w:val="00AC0DC4"/>
    <w:rsid w:val="00AD0C9D"/>
    <w:rsid w:val="00AF0680"/>
    <w:rsid w:val="00B107F0"/>
    <w:rsid w:val="00B16CC8"/>
    <w:rsid w:val="00B26EBC"/>
    <w:rsid w:val="00B36545"/>
    <w:rsid w:val="00B51631"/>
    <w:rsid w:val="00B6175A"/>
    <w:rsid w:val="00B62DB5"/>
    <w:rsid w:val="00B62F87"/>
    <w:rsid w:val="00B635A5"/>
    <w:rsid w:val="00B77E46"/>
    <w:rsid w:val="00B83BD1"/>
    <w:rsid w:val="00B8706B"/>
    <w:rsid w:val="00B87797"/>
    <w:rsid w:val="00B95849"/>
    <w:rsid w:val="00B97E32"/>
    <w:rsid w:val="00BC4BBB"/>
    <w:rsid w:val="00BC5B88"/>
    <w:rsid w:val="00BD075A"/>
    <w:rsid w:val="00BD3FF5"/>
    <w:rsid w:val="00BD61F3"/>
    <w:rsid w:val="00C0001C"/>
    <w:rsid w:val="00C04902"/>
    <w:rsid w:val="00C206F7"/>
    <w:rsid w:val="00C20CA6"/>
    <w:rsid w:val="00C36859"/>
    <w:rsid w:val="00C628F6"/>
    <w:rsid w:val="00C773F1"/>
    <w:rsid w:val="00C802B5"/>
    <w:rsid w:val="00C918C4"/>
    <w:rsid w:val="00CA0D16"/>
    <w:rsid w:val="00CB460D"/>
    <w:rsid w:val="00CB6EAD"/>
    <w:rsid w:val="00CC5F6C"/>
    <w:rsid w:val="00CD1404"/>
    <w:rsid w:val="00CE0EA3"/>
    <w:rsid w:val="00CF4E9D"/>
    <w:rsid w:val="00D07786"/>
    <w:rsid w:val="00D163F3"/>
    <w:rsid w:val="00D24506"/>
    <w:rsid w:val="00D460C0"/>
    <w:rsid w:val="00D545CB"/>
    <w:rsid w:val="00D62EDB"/>
    <w:rsid w:val="00D66B6A"/>
    <w:rsid w:val="00D803EE"/>
    <w:rsid w:val="00D811A2"/>
    <w:rsid w:val="00D84A53"/>
    <w:rsid w:val="00DA0901"/>
    <w:rsid w:val="00DA687E"/>
    <w:rsid w:val="00DB5547"/>
    <w:rsid w:val="00DD3F9D"/>
    <w:rsid w:val="00DD4DA4"/>
    <w:rsid w:val="00DE0558"/>
    <w:rsid w:val="00DE0A01"/>
    <w:rsid w:val="00DF3CE3"/>
    <w:rsid w:val="00DF403B"/>
    <w:rsid w:val="00E04159"/>
    <w:rsid w:val="00E15D43"/>
    <w:rsid w:val="00E2476A"/>
    <w:rsid w:val="00E2659C"/>
    <w:rsid w:val="00E27A21"/>
    <w:rsid w:val="00E37C9C"/>
    <w:rsid w:val="00E4040A"/>
    <w:rsid w:val="00E44E3B"/>
    <w:rsid w:val="00E5194C"/>
    <w:rsid w:val="00E525BB"/>
    <w:rsid w:val="00E62888"/>
    <w:rsid w:val="00E65F29"/>
    <w:rsid w:val="00E70E69"/>
    <w:rsid w:val="00E71471"/>
    <w:rsid w:val="00E72F3A"/>
    <w:rsid w:val="00E76F9E"/>
    <w:rsid w:val="00E806E2"/>
    <w:rsid w:val="00E9653F"/>
    <w:rsid w:val="00EA3DE5"/>
    <w:rsid w:val="00EB0D67"/>
    <w:rsid w:val="00EB7D0F"/>
    <w:rsid w:val="00ED5612"/>
    <w:rsid w:val="00EE5266"/>
    <w:rsid w:val="00F05A3F"/>
    <w:rsid w:val="00F2264C"/>
    <w:rsid w:val="00F275AB"/>
    <w:rsid w:val="00F3217E"/>
    <w:rsid w:val="00F36B90"/>
    <w:rsid w:val="00F37442"/>
    <w:rsid w:val="00F50E23"/>
    <w:rsid w:val="00F52AEA"/>
    <w:rsid w:val="00F601CA"/>
    <w:rsid w:val="00F64A61"/>
    <w:rsid w:val="00F67EB9"/>
    <w:rsid w:val="00F71DC1"/>
    <w:rsid w:val="00F91071"/>
    <w:rsid w:val="00F9235A"/>
    <w:rsid w:val="00F93255"/>
    <w:rsid w:val="00FC6BEF"/>
    <w:rsid w:val="00FE0F6C"/>
    <w:rsid w:val="00FE170E"/>
    <w:rsid w:val="00FE4928"/>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qFormat/>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Fußnotentext Char,Fußnotentext Char1 Char,Schriftart: 9 pt Char1 Char,Schriftart: 8 pt Char Char1 Char,Fußnotentext Char Char Char,f"/>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Fußnotentext Char Diagrama,Fußnotentext Char1 Char Diagrama,f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qFormat/>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styleId="Hipersaitas">
    <w:name w:val="Hyperlink"/>
    <w:basedOn w:val="Numatytasispastraiposriftas"/>
    <w:uiPriority w:val="99"/>
    <w:unhideWhenUsed/>
    <w:rsid w:val="00E44E3B"/>
    <w:rPr>
      <w:color w:val="467886" w:themeColor="hyperlink"/>
      <w:u w:val="single"/>
    </w:rPr>
  </w:style>
  <w:style w:type="character" w:styleId="Neapdorotaspaminjimas">
    <w:name w:val="Unresolved Mention"/>
    <w:basedOn w:val="Numatytasispastraiposriftas"/>
    <w:uiPriority w:val="99"/>
    <w:semiHidden/>
    <w:unhideWhenUsed/>
    <w:rsid w:val="00E44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649791391">
      <w:bodyDiv w:val="1"/>
      <w:marLeft w:val="0"/>
      <w:marRight w:val="0"/>
      <w:marTop w:val="0"/>
      <w:marBottom w:val="0"/>
      <w:divBdr>
        <w:top w:val="none" w:sz="0" w:space="0" w:color="auto"/>
        <w:left w:val="none" w:sz="0" w:space="0" w:color="auto"/>
        <w:bottom w:val="none" w:sz="0" w:space="0" w:color="auto"/>
        <w:right w:val="none" w:sz="0" w:space="0" w:color="auto"/>
      </w:divBdr>
    </w:div>
    <w:div w:id="846558830">
      <w:bodyDiv w:val="1"/>
      <w:marLeft w:val="0"/>
      <w:marRight w:val="0"/>
      <w:marTop w:val="0"/>
      <w:marBottom w:val="0"/>
      <w:divBdr>
        <w:top w:val="none" w:sz="0" w:space="0" w:color="auto"/>
        <w:left w:val="none" w:sz="0" w:space="0" w:color="auto"/>
        <w:bottom w:val="none" w:sz="0" w:space="0" w:color="auto"/>
        <w:right w:val="none" w:sz="0" w:space="0" w:color="auto"/>
      </w:divBdr>
    </w:div>
    <w:div w:id="988628898">
      <w:bodyDiv w:val="1"/>
      <w:marLeft w:val="0"/>
      <w:marRight w:val="0"/>
      <w:marTop w:val="0"/>
      <w:marBottom w:val="0"/>
      <w:divBdr>
        <w:top w:val="none" w:sz="0" w:space="0" w:color="auto"/>
        <w:left w:val="none" w:sz="0" w:space="0" w:color="auto"/>
        <w:bottom w:val="none" w:sz="0" w:space="0" w:color="auto"/>
        <w:right w:val="none" w:sz="0" w:space="0" w:color="auto"/>
      </w:divBdr>
    </w:div>
    <w:div w:id="1023092971">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824196646">
      <w:bodyDiv w:val="1"/>
      <w:marLeft w:val="0"/>
      <w:marRight w:val="0"/>
      <w:marTop w:val="0"/>
      <w:marBottom w:val="0"/>
      <w:divBdr>
        <w:top w:val="none" w:sz="0" w:space="0" w:color="auto"/>
        <w:left w:val="none" w:sz="0" w:space="0" w:color="auto"/>
        <w:bottom w:val="none" w:sz="0" w:space="0" w:color="auto"/>
        <w:right w:val="none" w:sz="0" w:space="0" w:color="auto"/>
      </w:divBdr>
      <w:divsChild>
        <w:div w:id="65195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4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3317</Words>
  <Characters>1892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66</cp:revision>
  <dcterms:created xsi:type="dcterms:W3CDTF">2025-10-31T11:28:00Z</dcterms:created>
  <dcterms:modified xsi:type="dcterms:W3CDTF">2026-06-16T06:10:00Z</dcterms:modified>
</cp:coreProperties>
</file>