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E0F2" w14:textId="77777777" w:rsidR="001C1F75" w:rsidRPr="00226453" w:rsidRDefault="001C1F75" w:rsidP="001C1F75">
      <w:pPr>
        <w:tabs>
          <w:tab w:val="left" w:pos="1134"/>
        </w:tabs>
        <w:spacing w:before="120" w:after="120" w:line="276" w:lineRule="auto"/>
        <w:ind w:firstLine="709"/>
        <w:jc w:val="both"/>
        <w:rPr>
          <w:b/>
          <w:sz w:val="23"/>
          <w:szCs w:val="23"/>
          <w:lang w:val="x-none"/>
        </w:rPr>
      </w:pPr>
      <w:r w:rsidRPr="00226453">
        <w:rPr>
          <w:b/>
          <w:sz w:val="23"/>
          <w:szCs w:val="23"/>
          <w:lang w:val="x-none"/>
        </w:rPr>
        <w:t>Dėl pirkimo objekto neskaidymo į dalis</w:t>
      </w:r>
    </w:p>
    <w:p w14:paraId="44579129" w14:textId="684BD7F6" w:rsidR="001C1F75" w:rsidRPr="00226453" w:rsidRDefault="001C1F75" w:rsidP="001C1F75">
      <w:pPr>
        <w:tabs>
          <w:tab w:val="left" w:pos="1134"/>
        </w:tabs>
        <w:spacing w:line="276" w:lineRule="auto"/>
        <w:ind w:firstLine="709"/>
        <w:jc w:val="both"/>
        <w:rPr>
          <w:sz w:val="23"/>
          <w:szCs w:val="23"/>
          <w:lang w:val="x-none"/>
        </w:rPr>
      </w:pPr>
      <w:r w:rsidRPr="00226453">
        <w:rPr>
          <w:sz w:val="23"/>
          <w:szCs w:val="23"/>
        </w:rPr>
        <w:t>Vieš</w:t>
      </w:r>
      <w:r w:rsidR="00AC5E52">
        <w:rPr>
          <w:sz w:val="23"/>
          <w:szCs w:val="23"/>
        </w:rPr>
        <w:t>ojo</w:t>
      </w:r>
      <w:r w:rsidRPr="00226453">
        <w:rPr>
          <w:sz w:val="23"/>
          <w:szCs w:val="23"/>
        </w:rPr>
        <w:t xml:space="preserve"> pirkim</w:t>
      </w:r>
      <w:r w:rsidR="00AC5E52">
        <w:rPr>
          <w:sz w:val="23"/>
          <w:szCs w:val="23"/>
        </w:rPr>
        <w:t>o</w:t>
      </w:r>
      <w:r w:rsidRPr="00226453">
        <w:rPr>
          <w:sz w:val="23"/>
          <w:szCs w:val="23"/>
        </w:rPr>
        <w:t xml:space="preserve"> „</w:t>
      </w:r>
      <w:r w:rsidRPr="00226453">
        <w:rPr>
          <w:color w:val="000000"/>
          <w:sz w:val="23"/>
          <w:szCs w:val="23"/>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r w:rsidRPr="00226453">
        <w:rPr>
          <w:sz w:val="23"/>
          <w:szCs w:val="23"/>
        </w:rPr>
        <w:t>“ neskaidymas į dalis grindžiama tuo, kad  tvarkomos viešosios erdvės  t. y.  aikštės rekonstravimo ir sutvarkymo projektas, taip pat parkelio šalia kultūros objekto. Techniniame projekte numatyti mažosios architektūros elementai: suoliukai, šiukšliadėžės, išmanieji suoliukai, supynės, smėlio dėže, dviračių stovai, vaikų žaidimų įrenginiai vertinami ne kaip savarankiška prekė, o kaip statybos darbų objekto elementai:</w:t>
      </w:r>
    </w:p>
    <w:p w14:paraId="6E68A54A" w14:textId="77777777" w:rsidR="001C1F75" w:rsidRPr="00226453" w:rsidRDefault="001C1F75" w:rsidP="001C1F75">
      <w:pPr>
        <w:pStyle w:val="Sraopastraipa"/>
        <w:numPr>
          <w:ilvl w:val="0"/>
          <w:numId w:val="2"/>
        </w:numPr>
        <w:spacing w:line="276" w:lineRule="auto"/>
        <w:jc w:val="both"/>
        <w:rPr>
          <w:sz w:val="23"/>
          <w:szCs w:val="23"/>
        </w:rPr>
      </w:pPr>
      <w:r w:rsidRPr="00226453">
        <w:rPr>
          <w:sz w:val="23"/>
          <w:szCs w:val="23"/>
        </w:rPr>
        <w:t>Technologinis</w:t>
      </w:r>
      <w:r w:rsidRPr="00226453">
        <w:rPr>
          <w:i/>
          <w:iCs/>
          <w:sz w:val="23"/>
          <w:szCs w:val="23"/>
        </w:rPr>
        <w:t xml:space="preserve"> </w:t>
      </w:r>
      <w:proofErr w:type="spellStart"/>
      <w:r w:rsidRPr="00226453">
        <w:rPr>
          <w:sz w:val="23"/>
          <w:szCs w:val="23"/>
        </w:rPr>
        <w:t>neatsiejamumas</w:t>
      </w:r>
      <w:proofErr w:type="spellEnd"/>
      <w:r w:rsidRPr="00226453">
        <w:rPr>
          <w:sz w:val="23"/>
          <w:szCs w:val="23"/>
        </w:rPr>
        <w:t>: Kadangi keičiamos visos dangos, suolų montavimo vietos (pamatų įrengimas, tvirtinimo mazgai) turi būti ruošiamos lygiagrečiai su dangų klojimu. Jei darbus vykdytų skirtingi tiekėjai, kyla didelė rizika pažeisti naujai paklotą dangą (pvz., gręžiant skyles ar betonuojant suolus vėliau).</w:t>
      </w:r>
    </w:p>
    <w:p w14:paraId="3F99E817" w14:textId="77777777" w:rsidR="001C1F75" w:rsidRPr="00226453" w:rsidRDefault="001C1F75" w:rsidP="001C1F75">
      <w:pPr>
        <w:numPr>
          <w:ilvl w:val="0"/>
          <w:numId w:val="2"/>
        </w:numPr>
        <w:spacing w:line="276" w:lineRule="auto"/>
        <w:jc w:val="both"/>
        <w:rPr>
          <w:sz w:val="23"/>
          <w:szCs w:val="23"/>
        </w:rPr>
      </w:pPr>
      <w:r w:rsidRPr="00226453">
        <w:rPr>
          <w:sz w:val="23"/>
          <w:szCs w:val="23"/>
        </w:rPr>
        <w:t>Garantinis vientisumas: Tai svarbiausias aspektas. Jei danga aplink suolą pradės skilti ar sėsti, rangovas galėtų teigti, kad tai įvyko dėl netinkamo suolų montavimo (kurį atliko kitas tiekėjas), o suolų montuotojas – kad dėl blogo pagrindo paruošimo. Apjungus viską į vieną pirkimą, visa atsakomybė tenka rangovui.</w:t>
      </w:r>
    </w:p>
    <w:p w14:paraId="0E699CE4" w14:textId="77777777" w:rsidR="001C1F75" w:rsidRPr="00226453" w:rsidRDefault="001C1F75" w:rsidP="001C1F75">
      <w:pPr>
        <w:numPr>
          <w:ilvl w:val="0"/>
          <w:numId w:val="2"/>
        </w:numPr>
        <w:spacing w:line="276" w:lineRule="auto"/>
        <w:jc w:val="both"/>
        <w:rPr>
          <w:sz w:val="23"/>
          <w:szCs w:val="23"/>
        </w:rPr>
      </w:pPr>
      <w:r w:rsidRPr="00226453">
        <w:rPr>
          <w:sz w:val="23"/>
          <w:szCs w:val="23"/>
        </w:rPr>
        <w:t>Darbų eiliškumo kontrolė: Aikštės tvarkymas yra procesas, kuriame suolų montavimas turi vykti griežtai nustatytu laiku. Turint vieną sutartį, už terminų koordinavimą atsako rangovas, o ne perkančioji organizacija.</w:t>
      </w:r>
    </w:p>
    <w:p w14:paraId="04B484D7" w14:textId="77777777" w:rsidR="001C1F75" w:rsidRPr="00226453" w:rsidRDefault="001C1F75" w:rsidP="00884DDD">
      <w:pPr>
        <w:spacing w:line="276" w:lineRule="auto"/>
        <w:ind w:firstLine="709"/>
        <w:jc w:val="both"/>
        <w:rPr>
          <w:sz w:val="23"/>
          <w:szCs w:val="23"/>
        </w:rPr>
      </w:pPr>
      <w:r w:rsidRPr="00226453">
        <w:rPr>
          <w:sz w:val="23"/>
          <w:szCs w:val="23"/>
        </w:rPr>
        <w:t xml:space="preserve">Lietuvos Respublikos Viešųjų pirkimų įstatymas leidžia neskaidyti pirkimo, jei tai techniškai ar ekonomiškai nepagrįsta: </w:t>
      </w:r>
    </w:p>
    <w:p w14:paraId="1C58CD73" w14:textId="77777777" w:rsidR="001C1F75" w:rsidRPr="00226453" w:rsidRDefault="001C1F75" w:rsidP="001C1F75">
      <w:pPr>
        <w:numPr>
          <w:ilvl w:val="0"/>
          <w:numId w:val="1"/>
        </w:numPr>
        <w:spacing w:line="276" w:lineRule="auto"/>
        <w:jc w:val="both"/>
        <w:rPr>
          <w:sz w:val="23"/>
          <w:szCs w:val="23"/>
        </w:rPr>
      </w:pPr>
      <w:r w:rsidRPr="00226453">
        <w:rPr>
          <w:sz w:val="23"/>
          <w:szCs w:val="23"/>
        </w:rPr>
        <w:t>Būtinybę užtikrinti objekto vientisumą ir vientisą garantiją.</w:t>
      </w:r>
    </w:p>
    <w:p w14:paraId="15CE881A" w14:textId="77777777" w:rsidR="001C1F75" w:rsidRPr="00226453" w:rsidRDefault="001C1F75" w:rsidP="001C1F75">
      <w:pPr>
        <w:numPr>
          <w:ilvl w:val="0"/>
          <w:numId w:val="1"/>
        </w:numPr>
        <w:spacing w:line="276" w:lineRule="auto"/>
        <w:jc w:val="both"/>
        <w:rPr>
          <w:sz w:val="23"/>
          <w:szCs w:val="23"/>
        </w:rPr>
      </w:pPr>
      <w:r w:rsidRPr="00226453">
        <w:rPr>
          <w:sz w:val="23"/>
          <w:szCs w:val="23"/>
        </w:rPr>
        <w:t>Riziką dėl technologinių procesų sankirtos (dangos įrengimas vs. mažosios architektūros montavimas).</w:t>
      </w:r>
    </w:p>
    <w:p w14:paraId="2F480053" w14:textId="77777777" w:rsidR="001C1F75" w:rsidRPr="00226453" w:rsidRDefault="001C1F75" w:rsidP="001C1F75">
      <w:pPr>
        <w:numPr>
          <w:ilvl w:val="0"/>
          <w:numId w:val="1"/>
        </w:numPr>
        <w:spacing w:line="276" w:lineRule="auto"/>
        <w:jc w:val="both"/>
        <w:rPr>
          <w:sz w:val="23"/>
          <w:szCs w:val="23"/>
        </w:rPr>
      </w:pPr>
      <w:r w:rsidRPr="00226453">
        <w:rPr>
          <w:sz w:val="23"/>
          <w:szCs w:val="23"/>
        </w:rPr>
        <w:t>Smulkusis verslas šiuo atveju gali dalyvauti kaip subtiekėjas (suolų gamintojas), o tai taip pat atitinka SVV skatinimo tikslus.</w:t>
      </w:r>
    </w:p>
    <w:p w14:paraId="78413070" w14:textId="77777777" w:rsidR="001C1F75" w:rsidRPr="00226453" w:rsidRDefault="001C1F75" w:rsidP="001C1F75">
      <w:pPr>
        <w:spacing w:line="276" w:lineRule="auto"/>
        <w:ind w:firstLine="709"/>
        <w:jc w:val="both"/>
        <w:rPr>
          <w:sz w:val="23"/>
          <w:szCs w:val="23"/>
        </w:rPr>
      </w:pPr>
      <w:r w:rsidRPr="00226453">
        <w:rPr>
          <w:sz w:val="23"/>
          <w:szCs w:val="23"/>
        </w:rPr>
        <w:t>Techniniame projekte (Dokumento žymuo AT-25A-2304-XX-TDP-SP-SŽ) 7 punkte nurodoma, kad „7. Mažosios architektūros elementai numatomi komplekte su pamatais. Detalesnę įrangos informaciją ir aprašymą žr. techninėse specifikacijose.“</w:t>
      </w:r>
    </w:p>
    <w:p w14:paraId="77EC330B" w14:textId="77777777" w:rsidR="001C1F75" w:rsidRDefault="001C1F75" w:rsidP="001C1F75">
      <w:pPr>
        <w:pStyle w:val="Betarp"/>
        <w:spacing w:before="120" w:after="120" w:line="276" w:lineRule="auto"/>
        <w:ind w:firstLine="709"/>
        <w:jc w:val="both"/>
        <w:rPr>
          <w:rFonts w:cs="Times New Roman"/>
          <w:b/>
          <w:bCs/>
          <w:sz w:val="23"/>
          <w:szCs w:val="23"/>
        </w:rPr>
      </w:pPr>
    </w:p>
    <w:p w14:paraId="3B6F1EAA" w14:textId="77777777" w:rsidR="001C1F75" w:rsidRDefault="001C1F75" w:rsidP="001C1F75">
      <w:pPr>
        <w:pStyle w:val="Betarp"/>
        <w:spacing w:before="120" w:after="120" w:line="276" w:lineRule="auto"/>
        <w:ind w:firstLine="709"/>
        <w:jc w:val="both"/>
        <w:rPr>
          <w:rFonts w:cs="Times New Roman"/>
          <w:b/>
          <w:bCs/>
          <w:sz w:val="23"/>
          <w:szCs w:val="23"/>
        </w:rPr>
      </w:pPr>
    </w:p>
    <w:p w14:paraId="603A7FB1" w14:textId="77777777" w:rsidR="00774CBE" w:rsidRDefault="00774CBE"/>
    <w:sectPr w:rsidR="00774CB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4E0"/>
    <w:multiLevelType w:val="multilevel"/>
    <w:tmpl w:val="5C327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5242A2"/>
    <w:multiLevelType w:val="multilevel"/>
    <w:tmpl w:val="1D44064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823099">
    <w:abstractNumId w:val="1"/>
  </w:num>
  <w:num w:numId="2" w16cid:durableId="213228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63"/>
    <w:rsid w:val="001C1F75"/>
    <w:rsid w:val="00415463"/>
    <w:rsid w:val="00554A0E"/>
    <w:rsid w:val="00687FCD"/>
    <w:rsid w:val="00774CBE"/>
    <w:rsid w:val="00884DDD"/>
    <w:rsid w:val="00A26AB6"/>
    <w:rsid w:val="00AC5E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2926"/>
  <w15:chartTrackingRefBased/>
  <w15:docId w15:val="{78B7A0B9-BE1B-4C6B-9D4C-FC3118D4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1F7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15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15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54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54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54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54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54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54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54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54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54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54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54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54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54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54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54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54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54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54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54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54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54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5463"/>
    <w:rPr>
      <w:i/>
      <w:iCs/>
      <w:color w:val="404040" w:themeColor="text1" w:themeTint="BF"/>
    </w:rPr>
  </w:style>
  <w:style w:type="paragraph" w:styleId="Sraopastraipa">
    <w:name w:val="List Paragraph"/>
    <w:aliases w:val="Buletai,List Paragraph21,lp1,Bullet 1,Use Case List Paragraph,List Paragraph111,Paragraph,Bullet EY,List Paragraph1,List Paragraph2,Numbering,ERP-List Paragraph,List Paragraph11,List Paragraph Red,Sąrašo pastraipa.Bullet,Lentele,Lente"/>
    <w:basedOn w:val="prastasis"/>
    <w:uiPriority w:val="34"/>
    <w:qFormat/>
    <w:rsid w:val="00415463"/>
    <w:pPr>
      <w:ind w:left="720"/>
      <w:contextualSpacing/>
    </w:pPr>
  </w:style>
  <w:style w:type="character" w:styleId="Rykuspabraukimas">
    <w:name w:val="Intense Emphasis"/>
    <w:basedOn w:val="Numatytasispastraiposriftas"/>
    <w:uiPriority w:val="21"/>
    <w:qFormat/>
    <w:rsid w:val="00415463"/>
    <w:rPr>
      <w:i/>
      <w:iCs/>
      <w:color w:val="0F4761" w:themeColor="accent1" w:themeShade="BF"/>
    </w:rPr>
  </w:style>
  <w:style w:type="paragraph" w:styleId="Iskirtacitata">
    <w:name w:val="Intense Quote"/>
    <w:basedOn w:val="prastasis"/>
    <w:next w:val="prastasis"/>
    <w:link w:val="IskirtacitataDiagrama"/>
    <w:uiPriority w:val="30"/>
    <w:qFormat/>
    <w:rsid w:val="00415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5463"/>
    <w:rPr>
      <w:i/>
      <w:iCs/>
      <w:color w:val="0F4761" w:themeColor="accent1" w:themeShade="BF"/>
    </w:rPr>
  </w:style>
  <w:style w:type="character" w:styleId="Rykinuoroda">
    <w:name w:val="Intense Reference"/>
    <w:basedOn w:val="Numatytasispastraiposriftas"/>
    <w:uiPriority w:val="32"/>
    <w:qFormat/>
    <w:rsid w:val="00415463"/>
    <w:rPr>
      <w:b/>
      <w:bCs/>
      <w:smallCaps/>
      <w:color w:val="0F4761" w:themeColor="accent1" w:themeShade="BF"/>
      <w:spacing w:val="5"/>
    </w:rPr>
  </w:style>
  <w:style w:type="paragraph" w:styleId="Betarp">
    <w:name w:val="No Spacing"/>
    <w:link w:val="BetarpDiagrama"/>
    <w:uiPriority w:val="1"/>
    <w:qFormat/>
    <w:rsid w:val="001C1F75"/>
    <w:pPr>
      <w:widowControl w:val="0"/>
      <w:suppressAutoHyphens/>
      <w:autoSpaceDN w:val="0"/>
      <w:spacing w:after="0" w:line="240" w:lineRule="auto"/>
      <w:textAlignment w:val="baseline"/>
    </w:pPr>
    <w:rPr>
      <w:rFonts w:ascii="Times New Roman" w:eastAsia="SimSun" w:hAnsi="Times New Roman" w:cs="Mangal"/>
      <w:kern w:val="3"/>
      <w:szCs w:val="22"/>
      <w14:ligatures w14:val="none"/>
    </w:rPr>
  </w:style>
  <w:style w:type="character" w:customStyle="1" w:styleId="BetarpDiagrama">
    <w:name w:val="Be tarpų Diagrama"/>
    <w:link w:val="Betarp"/>
    <w:uiPriority w:val="1"/>
    <w:locked/>
    <w:rsid w:val="001C1F75"/>
    <w:rPr>
      <w:rFonts w:ascii="Times New Roman" w:eastAsia="SimSun" w:hAnsi="Times New Roman" w:cs="Mangal"/>
      <w:kern w:val="3"/>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1435</Words>
  <Characters>818</Characters>
  <Application>Microsoft Office Word</Application>
  <DocSecurity>0</DocSecurity>
  <Lines>6</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Labanauskienė</dc:creator>
  <cp:keywords/>
  <dc:description/>
  <cp:lastModifiedBy>Ernesta Labanauskienė</cp:lastModifiedBy>
  <cp:revision>4</cp:revision>
  <dcterms:created xsi:type="dcterms:W3CDTF">2026-03-30T11:53:00Z</dcterms:created>
  <dcterms:modified xsi:type="dcterms:W3CDTF">2026-03-31T07:58:00Z</dcterms:modified>
</cp:coreProperties>
</file>