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5D3A" w14:textId="5E16E91F" w:rsidR="00A4676E" w:rsidRPr="00560E3D" w:rsidRDefault="00874A8E" w:rsidP="000323A6">
      <w:pPr>
        <w:spacing w:after="0"/>
        <w:jc w:val="right"/>
        <w:rPr>
          <w:rFonts w:cstheme="minorHAnsi"/>
          <w:sz w:val="22"/>
          <w:szCs w:val="22"/>
          <w:lang w:val="en-GB"/>
        </w:rPr>
      </w:pPr>
      <w:r w:rsidRPr="00560E3D">
        <w:rPr>
          <w:rFonts w:cstheme="minorHAnsi"/>
          <w:b/>
          <w:noProof/>
          <w:sz w:val="22"/>
          <w:szCs w:val="22"/>
          <w:lang w:val="en-GB"/>
        </w:rPr>
        <mc:AlternateContent>
          <mc:Choice Requires="wps">
            <w:drawing>
              <wp:inline distT="0" distB="0" distL="0" distR="0" wp14:anchorId="2FFA2E71" wp14:editId="274FD938">
                <wp:extent cx="2574290" cy="609600"/>
                <wp:effectExtent l="0" t="0" r="0" b="0"/>
                <wp:docPr id="1481388946" name="Text Box 1481388946"/>
                <wp:cNvGraphicFramePr/>
                <a:graphic xmlns:a="http://schemas.openxmlformats.org/drawingml/2006/main">
                  <a:graphicData uri="http://schemas.microsoft.com/office/word/2010/wordprocessingShape">
                    <wps:wsp>
                      <wps:cNvSpPr txBox="1"/>
                      <wps:spPr>
                        <a:xfrm>
                          <a:off x="0" y="0"/>
                          <a:ext cx="2574290" cy="609600"/>
                        </a:xfrm>
                        <a:prstGeom prst="rect">
                          <a:avLst/>
                        </a:prstGeom>
                        <a:solidFill>
                          <a:schemeClr val="lt1"/>
                        </a:solidFill>
                        <a:ln w="6350">
                          <a:noFill/>
                        </a:ln>
                      </wps:spPr>
                      <wps:txbx>
                        <w:txbxContent>
                          <w:p w14:paraId="54FCC637" w14:textId="77777777" w:rsidR="007C45A3" w:rsidRPr="00560E3D" w:rsidRDefault="007C45A3" w:rsidP="00560E3D">
                            <w:pPr>
                              <w:spacing w:after="0" w:line="240" w:lineRule="auto"/>
                              <w:jc w:val="both"/>
                              <w:rPr>
                                <w:rFonts w:eastAsia="Calibri" w:cstheme="minorHAnsi"/>
                                <w:color w:val="000000" w:themeColor="text1"/>
                                <w:lang w:val="en-GB"/>
                              </w:rPr>
                            </w:pPr>
                            <w:r w:rsidRPr="00560E3D">
                              <w:rPr>
                                <w:rFonts w:eastAsia="Calibri" w:cstheme="minorHAnsi"/>
                                <w:color w:val="000000" w:themeColor="text1"/>
                                <w:lang w:val="en-GB"/>
                              </w:rPr>
                              <w:t xml:space="preserve">Annex 5 to the Procurement Conditions </w:t>
                            </w:r>
                          </w:p>
                          <w:p w14:paraId="0B913E7D" w14:textId="004D042D" w:rsidR="00874A8E" w:rsidRPr="00560E3D" w:rsidRDefault="007C45A3" w:rsidP="00560E3D">
                            <w:pPr>
                              <w:spacing w:after="0" w:line="240" w:lineRule="auto"/>
                              <w:jc w:val="both"/>
                              <w:rPr>
                                <w:lang w:val="en-GB"/>
                              </w:rPr>
                            </w:pPr>
                            <w:r w:rsidRPr="00560E3D">
                              <w:rPr>
                                <w:rFonts w:eastAsia="Calibri" w:cstheme="minorHAnsi"/>
                                <w:color w:val="000000" w:themeColor="text1"/>
                                <w:lang w:val="en-GB"/>
                              </w:rPr>
                              <w:t>"Qualification requirements for candidates"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FFA2E71" id="_x0000_t202" coordsize="21600,21600" o:spt="202" path="m,l,21600r21600,l21600,xe">
                <v:stroke joinstyle="miter"/>
                <v:path gradientshapeok="t" o:connecttype="rect"/>
              </v:shapetype>
              <v:shape id="Text Box 1481388946" o:spid="_x0000_s1026" type="#_x0000_t202" style="width:202.7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" fillcolor="white [3201]" stroked="f" strokeweight=".5pt">
                <v:textbox>
                  <w:txbxContent>
                    <w:p w14:paraId="54FCC637" w14:textId="77777777" w:rsidR="007C45A3" w:rsidRPr="00560E3D" w:rsidRDefault="007C45A3" w:rsidP="00560E3D">
                      <w:pPr>
                        <w:spacing w:after="0" w:line="240" w:lineRule="auto"/>
                        <w:jc w:val="both"/>
                        <w:rPr>
                          <w:rFonts w:eastAsia="Calibri" w:cstheme="minorHAnsi"/>
                          <w:color w:val="000000" w:themeColor="text1"/>
                          <w:lang w:val="en-GB"/>
                        </w:rPr>
                      </w:pPr>
                      <w:r w:rsidRPr="00560E3D">
                        <w:rPr>
                          <w:rFonts w:eastAsia="Calibri" w:cstheme="minorHAnsi"/>
                          <w:color w:val="000000" w:themeColor="text1"/>
                          <w:lang w:val="en-GB"/>
                        </w:rPr>
                        <w:t xml:space="preserve">Annex 5 to the Procurement Conditions </w:t>
                      </w:r>
                    </w:p>
                    <w:p w14:paraId="0B913E7D" w14:textId="004D042D" w:rsidR="00874A8E" w:rsidRPr="00560E3D" w:rsidRDefault="007C45A3" w:rsidP="00560E3D">
                      <w:pPr>
                        <w:spacing w:after="0" w:line="240" w:lineRule="auto"/>
                        <w:jc w:val="both"/>
                        <w:rPr>
                          <w:lang w:val="en-GB"/>
                        </w:rPr>
                      </w:pPr>
                      <w:r w:rsidRPr="00560E3D">
                        <w:rPr>
                          <w:rFonts w:eastAsia="Calibri" w:cstheme="minorHAnsi"/>
                          <w:color w:val="000000" w:themeColor="text1"/>
                          <w:lang w:val="en-GB"/>
                        </w:rPr>
                        <w:t>"Qualification requirements for candidates"</w:t>
                      </w:r>
                    </w:p>
                  </w:txbxContent>
                </v:textbox>
                <w10:anchorlock/>
              </v:shape>
            </w:pict>
          </mc:Fallback>
        </mc:AlternateContent>
      </w:r>
    </w:p>
    <w:p w14:paraId="442B41A9" w14:textId="04CEE4F3" w:rsidR="00DD5773" w:rsidRPr="00560E3D" w:rsidRDefault="00790D70" w:rsidP="000323A6">
      <w:pPr>
        <w:pStyle w:val="NoSpacing"/>
        <w:spacing w:line="276" w:lineRule="auto"/>
        <w:jc w:val="center"/>
        <w:rPr>
          <w:rFonts w:cstheme="minorHAnsi"/>
          <w:b/>
          <w:bCs/>
          <w:sz w:val="22"/>
          <w:szCs w:val="22"/>
          <w:lang w:val="en-GB"/>
        </w:rPr>
      </w:pPr>
      <w:r w:rsidRPr="00560E3D">
        <w:rPr>
          <w:rFonts w:eastAsia="Times New Roman" w:cstheme="minorHAnsi"/>
          <w:b/>
          <w:bCs/>
          <w:color w:val="000000" w:themeColor="text1"/>
          <w:spacing w:val="-8"/>
          <w:sz w:val="22"/>
          <w:szCs w:val="22"/>
          <w:lang w:val="en-GB" w:eastAsia="en-US"/>
        </w:rPr>
        <w:t>QUALIFICATION REQUIREMENTS FOR CANDIDATES</w:t>
      </w:r>
    </w:p>
    <w:p w14:paraId="16503493" w14:textId="77777777" w:rsidR="00DD5773" w:rsidRPr="00560E3D" w:rsidRDefault="00DD5773" w:rsidP="000323A6">
      <w:pPr>
        <w:pStyle w:val="NoSpacing"/>
        <w:spacing w:line="276" w:lineRule="auto"/>
        <w:jc w:val="both"/>
        <w:rPr>
          <w:rFonts w:cstheme="minorHAnsi"/>
          <w:sz w:val="22"/>
          <w:szCs w:val="22"/>
          <w:lang w:val="en-GB"/>
        </w:rPr>
      </w:pPr>
    </w:p>
    <w:p w14:paraId="4BD86969" w14:textId="56365A1B" w:rsidR="00040D98" w:rsidRPr="00560E3D" w:rsidRDefault="005A29CD" w:rsidP="00074C9E">
      <w:pPr>
        <w:pStyle w:val="NoSpacing"/>
        <w:numPr>
          <w:ilvl w:val="0"/>
          <w:numId w:val="10"/>
        </w:numPr>
        <w:spacing w:line="276" w:lineRule="auto"/>
        <w:ind w:left="0" w:firstLine="851"/>
        <w:jc w:val="both"/>
        <w:rPr>
          <w:rFonts w:eastAsia="Verdana" w:cstheme="minorHAnsi"/>
          <w:sz w:val="22"/>
          <w:szCs w:val="22"/>
          <w:lang w:val="en-GB"/>
        </w:rPr>
      </w:pPr>
      <w:r w:rsidRPr="00560E3D">
        <w:rPr>
          <w:rFonts w:cstheme="minorHAnsi"/>
          <w:sz w:val="22"/>
          <w:szCs w:val="22"/>
          <w:lang w:val="en-GB"/>
        </w:rPr>
        <w:t>The candidate must submit all documents proving the qualification requirements together with the Application Form.</w:t>
      </w:r>
      <w:r w:rsidR="00DD5773" w:rsidRPr="00560E3D">
        <w:rPr>
          <w:rFonts w:cstheme="minorHAnsi"/>
          <w:sz w:val="22"/>
          <w:szCs w:val="22"/>
          <w:lang w:val="en-GB"/>
        </w:rPr>
        <w:t xml:space="preserve"> </w:t>
      </w:r>
    </w:p>
    <w:p w14:paraId="2C4E4C85" w14:textId="6B8669A9" w:rsidR="00BF7D81" w:rsidRPr="00560E3D" w:rsidRDefault="004F3B4D" w:rsidP="00074C9E">
      <w:pPr>
        <w:pStyle w:val="NoSpacing"/>
        <w:numPr>
          <w:ilvl w:val="0"/>
          <w:numId w:val="10"/>
        </w:numPr>
        <w:spacing w:line="276" w:lineRule="auto"/>
        <w:ind w:left="0" w:firstLine="851"/>
        <w:jc w:val="both"/>
        <w:rPr>
          <w:rFonts w:eastAsia="Verdana" w:cstheme="minorHAnsi"/>
          <w:sz w:val="22"/>
          <w:szCs w:val="22"/>
          <w:lang w:val="en-GB"/>
        </w:rPr>
      </w:pPr>
      <w:r w:rsidRPr="00560E3D">
        <w:rPr>
          <w:rFonts w:cstheme="minorHAnsi"/>
          <w:sz w:val="22"/>
          <w:szCs w:val="22"/>
          <w:lang w:val="en-GB"/>
        </w:rPr>
        <w:t xml:space="preserve">The qualification requirements shall apply to the supplier (and, where the tender is submitted by a group of economic operators, to all members of that group) and to the economic operators on whose behalf the supplier relies </w:t>
      </w:r>
      <w:proofErr w:type="gramStart"/>
      <w:r w:rsidRPr="00560E3D">
        <w:rPr>
          <w:rFonts w:cstheme="minorHAnsi"/>
          <w:sz w:val="22"/>
          <w:szCs w:val="22"/>
          <w:lang w:val="en-GB"/>
        </w:rPr>
        <w:t>in order to</w:t>
      </w:r>
      <w:proofErr w:type="gramEnd"/>
      <w:r w:rsidRPr="00560E3D">
        <w:rPr>
          <w:rFonts w:cstheme="minorHAnsi"/>
          <w:sz w:val="22"/>
          <w:szCs w:val="22"/>
          <w:lang w:val="en-GB"/>
        </w:rPr>
        <w:t xml:space="preserve"> meet the qualification requirements set out in point 9</w:t>
      </w:r>
      <w:r w:rsidR="00BF7D81" w:rsidRPr="00560E3D">
        <w:rPr>
          <w:rFonts w:cstheme="minorHAnsi"/>
          <w:sz w:val="22"/>
          <w:szCs w:val="22"/>
          <w:lang w:val="en-GB"/>
        </w:rPr>
        <w:t>.</w:t>
      </w:r>
    </w:p>
    <w:p w14:paraId="578ED0F7" w14:textId="4718CC7B" w:rsidR="0047571A" w:rsidRPr="00560E3D" w:rsidRDefault="00776223" w:rsidP="000323A6">
      <w:pPr>
        <w:pStyle w:val="NoSpacing"/>
        <w:numPr>
          <w:ilvl w:val="0"/>
          <w:numId w:val="10"/>
        </w:numPr>
        <w:spacing w:line="276" w:lineRule="auto"/>
        <w:ind w:left="0" w:firstLine="851"/>
        <w:jc w:val="both"/>
        <w:rPr>
          <w:rFonts w:eastAsia="Verdana" w:cstheme="minorHAnsi"/>
          <w:sz w:val="22"/>
          <w:szCs w:val="22"/>
          <w:lang w:val="en-GB"/>
        </w:rPr>
      </w:pPr>
      <w:r w:rsidRPr="00560E3D">
        <w:rPr>
          <w:rFonts w:cstheme="minorHAnsi"/>
          <w:color w:val="000000"/>
          <w:sz w:val="22"/>
          <w:szCs w:val="22"/>
          <w:lang w:val="en-GB"/>
        </w:rPr>
        <w:t>The contracting authority shall exclude a supplier from the procurement procedure on the grounds for exclusion referred to in Article 34(1)(2) and (2) (where applicable) of the PPDL, also where it has conclusive evidence that the supplier is established or is participating in the procurement in place of another person for the purpose of avoiding the application of the grounds for exclusion referred to in Article 34(1)(2)(2) (where applicable)</w:t>
      </w:r>
      <w:r w:rsidR="0047571A" w:rsidRPr="00560E3D">
        <w:rPr>
          <w:rFonts w:cstheme="minorHAnsi"/>
          <w:color w:val="000000"/>
          <w:sz w:val="22"/>
          <w:szCs w:val="22"/>
          <w:lang w:val="en-GB"/>
        </w:rPr>
        <w:t>.</w:t>
      </w:r>
    </w:p>
    <w:p w14:paraId="3F1559DD" w14:textId="2C30A9C1" w:rsidR="0047571A" w:rsidRPr="00560E3D" w:rsidRDefault="00776223" w:rsidP="000323A6">
      <w:pPr>
        <w:pStyle w:val="NoSpacing"/>
        <w:numPr>
          <w:ilvl w:val="0"/>
          <w:numId w:val="10"/>
        </w:numPr>
        <w:spacing w:line="276" w:lineRule="auto"/>
        <w:ind w:left="0" w:firstLine="851"/>
        <w:jc w:val="both"/>
        <w:rPr>
          <w:rFonts w:eastAsia="Verdana" w:cstheme="minorHAnsi"/>
          <w:sz w:val="22"/>
          <w:szCs w:val="22"/>
          <w:lang w:val="en-GB"/>
        </w:rPr>
      </w:pPr>
      <w:r w:rsidRPr="00560E3D">
        <w:rPr>
          <w:rFonts w:cstheme="minorHAnsi"/>
          <w:color w:val="000000"/>
          <w:sz w:val="22"/>
          <w:szCs w:val="22"/>
          <w:lang w:val="en-GB"/>
        </w:rPr>
        <w:t xml:space="preserve">When deciding whether to exclude a supplier from the procurement procedure on the grounds of exclusion referred to in Article 34(1)(2) and (2) (where applicable), the contracting authority shall take into account whether, in the assessment of the supplier's reliability, the exclusion of the supplier is proportionate to the supplier's conduct being assessed, and, in the case of point (c) of Article 34(1)(3), whether the application of this ground for exclusion would result in a significant restriction of competition. Information published in accordance with Articles 38 and 55 of this Law may be </w:t>
      </w:r>
      <w:proofErr w:type="gramStart"/>
      <w:r w:rsidRPr="00560E3D">
        <w:rPr>
          <w:rFonts w:cstheme="minorHAnsi"/>
          <w:color w:val="000000"/>
          <w:sz w:val="22"/>
          <w:szCs w:val="22"/>
          <w:lang w:val="en-GB"/>
        </w:rPr>
        <w:t>taken into account</w:t>
      </w:r>
      <w:proofErr w:type="gramEnd"/>
      <w:r w:rsidRPr="00560E3D">
        <w:rPr>
          <w:rFonts w:cstheme="minorHAnsi"/>
          <w:color w:val="000000"/>
          <w:sz w:val="22"/>
          <w:szCs w:val="22"/>
          <w:lang w:val="en-GB"/>
        </w:rPr>
        <w:t xml:space="preserve"> when deciding whether to exclude a supplier from the procurement procedure </w:t>
      </w:r>
      <w:proofErr w:type="gramStart"/>
      <w:r w:rsidRPr="00560E3D">
        <w:rPr>
          <w:rFonts w:cstheme="minorHAnsi"/>
          <w:color w:val="000000"/>
          <w:sz w:val="22"/>
          <w:szCs w:val="22"/>
          <w:lang w:val="en-GB"/>
        </w:rPr>
        <w:t>on the basis of</w:t>
      </w:r>
      <w:proofErr w:type="gramEnd"/>
      <w:r w:rsidRPr="00560E3D">
        <w:rPr>
          <w:rFonts w:cstheme="minorHAnsi"/>
          <w:color w:val="000000"/>
          <w:sz w:val="22"/>
          <w:szCs w:val="22"/>
          <w:lang w:val="en-GB"/>
        </w:rPr>
        <w:t xml:space="preserve"> the grounds for exclusion referred to in Article 34(1)(2) and (2) (if applicable).</w:t>
      </w:r>
    </w:p>
    <w:p w14:paraId="076C0F39" w14:textId="2C400034" w:rsidR="00DD5773" w:rsidRPr="00560E3D" w:rsidRDefault="00243452" w:rsidP="000323A6">
      <w:pPr>
        <w:pStyle w:val="NoSpacing"/>
        <w:numPr>
          <w:ilvl w:val="0"/>
          <w:numId w:val="10"/>
        </w:numPr>
        <w:spacing w:line="276" w:lineRule="auto"/>
        <w:ind w:left="0" w:firstLine="851"/>
        <w:jc w:val="both"/>
        <w:rPr>
          <w:rFonts w:cstheme="minorHAnsi"/>
          <w:sz w:val="22"/>
          <w:szCs w:val="22"/>
          <w:lang w:val="en-GB"/>
        </w:rPr>
      </w:pPr>
      <w:r w:rsidRPr="00560E3D">
        <w:rPr>
          <w:rFonts w:cstheme="minorHAnsi"/>
          <w:sz w:val="22"/>
          <w:szCs w:val="22"/>
          <w:lang w:val="en-GB"/>
        </w:rPr>
        <w:t>The contracting authority shall not require the supplier to provide documents proving the absence of grounds for exclusion if it:</w:t>
      </w:r>
    </w:p>
    <w:p w14:paraId="5790B53A" w14:textId="7961FF71" w:rsidR="00DD5773" w:rsidRPr="00560E3D" w:rsidRDefault="00243452" w:rsidP="000323A6">
      <w:pPr>
        <w:pStyle w:val="NoSpacing"/>
        <w:numPr>
          <w:ilvl w:val="1"/>
          <w:numId w:val="10"/>
        </w:numPr>
        <w:spacing w:line="276" w:lineRule="auto"/>
        <w:ind w:left="0" w:firstLine="851"/>
        <w:jc w:val="both"/>
        <w:rPr>
          <w:rFonts w:cstheme="minorHAnsi"/>
          <w:sz w:val="22"/>
          <w:szCs w:val="22"/>
          <w:lang w:val="en-GB"/>
        </w:rPr>
      </w:pPr>
      <w:r w:rsidRPr="00560E3D">
        <w:rPr>
          <w:rFonts w:cstheme="minorHAnsi"/>
          <w:sz w:val="22"/>
          <w:szCs w:val="22"/>
          <w:lang w:val="en-GB"/>
        </w:rPr>
        <w:t xml:space="preserve">has access to those documents or information </w:t>
      </w:r>
      <w:r w:rsidRPr="00560E3D">
        <w:rPr>
          <w:rFonts w:cstheme="minorHAnsi"/>
          <w:b/>
          <w:bCs/>
          <w:sz w:val="22"/>
          <w:szCs w:val="22"/>
          <w:lang w:val="en-GB"/>
        </w:rPr>
        <w:t>directly and free of charge</w:t>
      </w:r>
      <w:r w:rsidRPr="00560E3D">
        <w:rPr>
          <w:rFonts w:cstheme="minorHAnsi"/>
          <w:sz w:val="22"/>
          <w:szCs w:val="22"/>
          <w:lang w:val="en-GB"/>
        </w:rPr>
        <w:t xml:space="preserve"> through a national database in any Member State or through the Central Procurement Information System;</w:t>
      </w:r>
    </w:p>
    <w:p w14:paraId="658562C3" w14:textId="4D6398BC" w:rsidR="00DD5773" w:rsidRPr="00560E3D" w:rsidRDefault="00EC5C48" w:rsidP="000323A6">
      <w:pPr>
        <w:pStyle w:val="NoSpacing"/>
        <w:numPr>
          <w:ilvl w:val="1"/>
          <w:numId w:val="10"/>
        </w:numPr>
        <w:spacing w:line="276" w:lineRule="auto"/>
        <w:ind w:left="0" w:firstLine="851"/>
        <w:jc w:val="both"/>
        <w:rPr>
          <w:rFonts w:cstheme="minorHAnsi"/>
          <w:sz w:val="22"/>
          <w:szCs w:val="22"/>
          <w:lang w:val="en-GB"/>
        </w:rPr>
      </w:pPr>
      <w:r w:rsidRPr="00560E3D">
        <w:rPr>
          <w:rFonts w:cstheme="minorHAnsi"/>
          <w:sz w:val="22"/>
          <w:szCs w:val="22"/>
          <w:lang w:val="en-GB"/>
        </w:rPr>
        <w:t>it already has these documents in its possession from previous procurement procedures, provided that the information contained in these documents is still relevant (the document was issued no more than the number of days before the relevant row in the table below).</w:t>
      </w:r>
    </w:p>
    <w:p w14:paraId="536DAB0B" w14:textId="5AA29BF0" w:rsidR="006A6CD1" w:rsidRPr="00560E3D" w:rsidRDefault="00FF5F2F" w:rsidP="000323A6">
      <w:pPr>
        <w:pStyle w:val="ListParagraph"/>
        <w:numPr>
          <w:ilvl w:val="0"/>
          <w:numId w:val="10"/>
        </w:numPr>
        <w:spacing w:after="0"/>
        <w:ind w:left="0" w:firstLine="709"/>
        <w:jc w:val="both"/>
        <w:rPr>
          <w:rFonts w:cstheme="minorHAnsi"/>
          <w:sz w:val="22"/>
          <w:szCs w:val="22"/>
          <w:lang w:val="en-GB"/>
        </w:rPr>
      </w:pPr>
      <w:r w:rsidRPr="00560E3D">
        <w:rPr>
          <w:rFonts w:eastAsia="Times New Roman" w:cstheme="minorHAnsi"/>
          <w:sz w:val="22"/>
          <w:szCs w:val="22"/>
          <w:lang w:val="en-GB"/>
        </w:rPr>
        <w:t xml:space="preserve">If the contracting authority has doubts as to the suitability of the supplier, it shall have the right to consult the competent authorities </w:t>
      </w:r>
      <w:proofErr w:type="gramStart"/>
      <w:r w:rsidRPr="00560E3D">
        <w:rPr>
          <w:rFonts w:eastAsia="Times New Roman" w:cstheme="minorHAnsi"/>
          <w:sz w:val="22"/>
          <w:szCs w:val="22"/>
          <w:lang w:val="en-GB"/>
        </w:rPr>
        <w:t>in order to</w:t>
      </w:r>
      <w:proofErr w:type="gramEnd"/>
      <w:r w:rsidRPr="00560E3D">
        <w:rPr>
          <w:rFonts w:eastAsia="Times New Roman" w:cstheme="minorHAnsi"/>
          <w:sz w:val="22"/>
          <w:szCs w:val="22"/>
          <w:lang w:val="en-GB"/>
        </w:rPr>
        <w:t xml:space="preserve"> obtain all the necessary information. If the information required concerns a supplier from a Member State other than the contracting authority, it may contact the relevant competent authorities of that Member State.</w:t>
      </w:r>
    </w:p>
    <w:p w14:paraId="0674B083" w14:textId="5FD336CA" w:rsidR="00A4676E" w:rsidRPr="00560E3D" w:rsidRDefault="00324986" w:rsidP="000323A6">
      <w:pPr>
        <w:pStyle w:val="ListParagraph"/>
        <w:numPr>
          <w:ilvl w:val="0"/>
          <w:numId w:val="10"/>
        </w:numPr>
        <w:spacing w:after="0"/>
        <w:ind w:left="0" w:firstLine="851"/>
        <w:jc w:val="both"/>
        <w:rPr>
          <w:rFonts w:cstheme="minorHAnsi"/>
          <w:sz w:val="22"/>
          <w:szCs w:val="22"/>
          <w:lang w:val="en-GB"/>
        </w:rPr>
      </w:pPr>
      <w:r w:rsidRPr="00560E3D">
        <w:rPr>
          <w:rFonts w:cstheme="minorHAnsi"/>
          <w:b/>
          <w:bCs/>
          <w:color w:val="000000"/>
          <w:sz w:val="22"/>
          <w:szCs w:val="22"/>
          <w:lang w:val="en-GB"/>
        </w:rPr>
        <w:t>Conditions prohibiting and restricting the participation of suppliers in the procurement:</w:t>
      </w:r>
    </w:p>
    <w:tbl>
      <w:tblPr>
        <w:tblW w:w="14596" w:type="dxa"/>
        <w:tblLayout w:type="fixed"/>
        <w:tblCellMar>
          <w:left w:w="10" w:type="dxa"/>
          <w:right w:w="10" w:type="dxa"/>
        </w:tblCellMar>
        <w:tblLook w:val="04A0" w:firstRow="1" w:lastRow="0" w:firstColumn="1" w:lastColumn="0" w:noHBand="0" w:noVBand="1"/>
      </w:tblPr>
      <w:tblGrid>
        <w:gridCol w:w="900"/>
        <w:gridCol w:w="5049"/>
        <w:gridCol w:w="1984"/>
        <w:gridCol w:w="4678"/>
        <w:gridCol w:w="1985"/>
      </w:tblGrid>
      <w:tr w:rsidR="00A031BE" w:rsidRPr="00560E3D" w14:paraId="2ACCE8B2" w14:textId="1FB718A2" w:rsidTr="008373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1E24E2A" w14:textId="0450A3EC" w:rsidR="00A031BE" w:rsidRPr="00560E3D" w:rsidRDefault="00324986" w:rsidP="002A3337">
            <w:pPr>
              <w:pStyle w:val="NoSpacing"/>
              <w:jc w:val="center"/>
              <w:rPr>
                <w:rFonts w:cstheme="minorHAnsi"/>
                <w:b/>
                <w:bCs/>
                <w:sz w:val="22"/>
                <w:szCs w:val="22"/>
                <w:lang w:val="en-GB"/>
              </w:rPr>
            </w:pPr>
            <w:r w:rsidRPr="00560E3D">
              <w:rPr>
                <w:rFonts w:cstheme="minorHAnsi"/>
                <w:b/>
                <w:bCs/>
                <w:sz w:val="22"/>
                <w:szCs w:val="22"/>
                <w:lang w:val="en-GB"/>
              </w:rPr>
              <w:t>No.</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1DD8609" w14:textId="04E022CE" w:rsidR="00A031BE" w:rsidRPr="00560E3D" w:rsidRDefault="00324986" w:rsidP="002A3337">
            <w:pPr>
              <w:pStyle w:val="NoSpacing"/>
              <w:jc w:val="center"/>
              <w:rPr>
                <w:rFonts w:cstheme="minorHAnsi"/>
                <w:b/>
                <w:bCs/>
                <w:sz w:val="22"/>
                <w:szCs w:val="22"/>
                <w:lang w:val="en-GB"/>
              </w:rPr>
            </w:pPr>
            <w:r w:rsidRPr="00560E3D">
              <w:rPr>
                <w:rFonts w:cstheme="minorHAnsi"/>
                <w:b/>
                <w:bCs/>
                <w:sz w:val="22"/>
                <w:szCs w:val="22"/>
                <w:lang w:val="en-GB"/>
              </w:rPr>
              <w:t>Grounds for exclusion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A6BECDF" w14:textId="3CBACAE4" w:rsidR="00A031BE" w:rsidRPr="00560E3D" w:rsidRDefault="00324986" w:rsidP="002A3337">
            <w:pPr>
              <w:pStyle w:val="NoSpacing"/>
              <w:jc w:val="center"/>
              <w:rPr>
                <w:rFonts w:eastAsia="Yu Mincho" w:cstheme="minorHAnsi"/>
                <w:b/>
                <w:bCs/>
                <w:sz w:val="22"/>
                <w:szCs w:val="22"/>
                <w:lang w:val="en-GB"/>
              </w:rPr>
            </w:pPr>
            <w:r w:rsidRPr="00560E3D">
              <w:rPr>
                <w:rFonts w:eastAsia="Yu Mincho" w:cstheme="minorHAnsi"/>
                <w:b/>
                <w:bCs/>
                <w:sz w:val="22"/>
                <w:szCs w:val="22"/>
                <w:lang w:val="en-GB"/>
              </w:rPr>
              <w:t>Article, paragraph, clause of the PPDL</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96B0C8A" w14:textId="553CD815" w:rsidR="00A031BE" w:rsidRPr="00560E3D" w:rsidRDefault="00276813" w:rsidP="002A3337">
            <w:pPr>
              <w:pStyle w:val="NoSpacing"/>
              <w:jc w:val="center"/>
              <w:rPr>
                <w:rFonts w:cstheme="minorHAnsi"/>
                <w:b/>
                <w:bCs/>
                <w:sz w:val="22"/>
                <w:szCs w:val="22"/>
                <w:lang w:val="en-GB" w:eastAsia="en-US"/>
              </w:rPr>
            </w:pPr>
            <w:r w:rsidRPr="00560E3D">
              <w:rPr>
                <w:rFonts w:cstheme="minorHAnsi"/>
                <w:b/>
                <w:bCs/>
                <w:sz w:val="22"/>
                <w:szCs w:val="22"/>
                <w:lang w:val="en-GB" w:eastAsia="en-US"/>
              </w:rPr>
              <w:t>Documents proving the absence of grounds for exclusion</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E38B639" w14:textId="2AF12F5B" w:rsidR="00A031BE" w:rsidRPr="00560E3D" w:rsidRDefault="00276813" w:rsidP="002A3337">
            <w:pPr>
              <w:pStyle w:val="NoSpacing"/>
              <w:jc w:val="center"/>
              <w:rPr>
                <w:rFonts w:cstheme="minorHAnsi"/>
                <w:b/>
                <w:bCs/>
                <w:sz w:val="22"/>
                <w:szCs w:val="22"/>
                <w:lang w:val="en-GB" w:eastAsia="en-US"/>
              </w:rPr>
            </w:pPr>
            <w:r w:rsidRPr="00560E3D">
              <w:rPr>
                <w:rFonts w:cstheme="minorHAnsi"/>
                <w:b/>
                <w:bCs/>
                <w:sz w:val="22"/>
                <w:szCs w:val="22"/>
                <w:lang w:val="en-GB"/>
              </w:rPr>
              <w:t>Subjects who must provide documents</w:t>
            </w:r>
          </w:p>
        </w:tc>
      </w:tr>
      <w:tr w:rsidR="00A031BE" w:rsidRPr="00560E3D" w14:paraId="11119799" w14:textId="3F56A1DC" w:rsidTr="008373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p w14:paraId="204AF43D" w14:textId="3F152C99" w:rsidR="00A031BE" w:rsidRPr="00560E3D" w:rsidRDefault="00837327" w:rsidP="002A3337">
            <w:pPr>
              <w:pStyle w:val="NoSpacing"/>
              <w:rPr>
                <w:rFonts w:cstheme="minorHAnsi"/>
                <w:sz w:val="22"/>
                <w:szCs w:val="22"/>
                <w:lang w:val="en-GB"/>
              </w:rPr>
            </w:pPr>
            <w:r w:rsidRPr="00560E3D">
              <w:rPr>
                <w:rFonts w:cstheme="minorHAnsi"/>
                <w:sz w:val="22"/>
                <w:szCs w:val="22"/>
                <w:lang w:val="en-GB"/>
              </w:rPr>
              <w:lastRenderedPageBreak/>
              <w:t>7</w:t>
            </w:r>
            <w:r w:rsidR="00A031BE" w:rsidRPr="00560E3D">
              <w:rPr>
                <w:rFonts w:cstheme="minorHAnsi"/>
                <w:sz w:val="22"/>
                <w:szCs w:val="22"/>
                <w:lang w:val="en-GB"/>
              </w:rPr>
              <w:t xml:space="preserve">.1.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514AF" w14:textId="61F419F5" w:rsidR="00A031BE" w:rsidRPr="00560E3D" w:rsidRDefault="001F0DF3" w:rsidP="002A3337">
            <w:pPr>
              <w:spacing w:after="0" w:line="240" w:lineRule="auto"/>
              <w:jc w:val="both"/>
              <w:rPr>
                <w:rFonts w:eastAsia="Times New Roman" w:cstheme="minorHAnsi"/>
                <w:color w:val="000000"/>
                <w:sz w:val="22"/>
                <w:szCs w:val="22"/>
                <w:lang w:val="en-GB"/>
              </w:rPr>
            </w:pPr>
            <w:r w:rsidRPr="00560E3D">
              <w:rPr>
                <w:rFonts w:cstheme="minorHAnsi"/>
                <w:color w:val="000000"/>
                <w:sz w:val="22"/>
                <w:szCs w:val="22"/>
                <w:lang w:val="en-GB"/>
              </w:rPr>
              <w:t>For a supplier who is a natural person, or for a supplier who is a legal person, another organisation or a subdivision thereof, to take a decision on behalf of the supplier, whether as a manager, member of another management or supervisory body, or any other person(s) having the right to represent or control the supplier, enter into a transaction, the person(s) authorised to draw up and sign the supplier's financial accounting documents, has, within the last 5 years, been the subject of a criminal conviction and has an unspent or unspent conviction for:</w:t>
            </w:r>
          </w:p>
          <w:p w14:paraId="05376EDF" w14:textId="49836D46" w:rsidR="00A031BE" w:rsidRPr="00560E3D" w:rsidRDefault="00A031BE" w:rsidP="002A3337">
            <w:pPr>
              <w:spacing w:after="0" w:line="240" w:lineRule="auto"/>
              <w:jc w:val="both"/>
              <w:rPr>
                <w:rFonts w:cstheme="minorHAnsi"/>
                <w:color w:val="000000"/>
                <w:sz w:val="22"/>
                <w:szCs w:val="22"/>
                <w:lang w:val="en-GB"/>
              </w:rPr>
            </w:pPr>
            <w:bookmarkStart w:id="0" w:name="part_861b5b0661dd4b6fbcc833e446daa329"/>
            <w:bookmarkEnd w:id="0"/>
            <w:r w:rsidRPr="00560E3D">
              <w:rPr>
                <w:rFonts w:cstheme="minorHAnsi"/>
                <w:color w:val="000000"/>
                <w:sz w:val="22"/>
                <w:szCs w:val="22"/>
                <w:lang w:val="en-GB"/>
              </w:rPr>
              <w:t xml:space="preserve">a) </w:t>
            </w:r>
            <w:r w:rsidR="0013619B" w:rsidRPr="00560E3D">
              <w:rPr>
                <w:rFonts w:cstheme="minorHAnsi"/>
                <w:color w:val="000000"/>
                <w:sz w:val="22"/>
                <w:szCs w:val="22"/>
                <w:lang w:val="en-GB"/>
              </w:rPr>
              <w:t>participating in, organising or directing a criminal organisation</w:t>
            </w:r>
            <w:r w:rsidRPr="00560E3D">
              <w:rPr>
                <w:rFonts w:cstheme="minorHAnsi"/>
                <w:color w:val="000000"/>
                <w:sz w:val="22"/>
                <w:szCs w:val="22"/>
                <w:lang w:val="en-GB"/>
              </w:rPr>
              <w:t>;</w:t>
            </w:r>
          </w:p>
          <w:p w14:paraId="3AA506B4" w14:textId="62B44486" w:rsidR="00A031BE" w:rsidRPr="00560E3D" w:rsidRDefault="00A031BE" w:rsidP="002A3337">
            <w:pPr>
              <w:spacing w:after="0" w:line="240" w:lineRule="auto"/>
              <w:jc w:val="both"/>
              <w:rPr>
                <w:rFonts w:cstheme="minorHAnsi"/>
                <w:color w:val="000000"/>
                <w:sz w:val="22"/>
                <w:szCs w:val="22"/>
                <w:lang w:val="en-GB"/>
              </w:rPr>
            </w:pPr>
            <w:bookmarkStart w:id="1" w:name="part_a763edc85f1945949649b4287293a1e8"/>
            <w:bookmarkEnd w:id="1"/>
            <w:r w:rsidRPr="00560E3D">
              <w:rPr>
                <w:rFonts w:cstheme="minorHAnsi"/>
                <w:color w:val="000000"/>
                <w:sz w:val="22"/>
                <w:szCs w:val="22"/>
                <w:lang w:val="en-GB"/>
              </w:rPr>
              <w:t xml:space="preserve">b) </w:t>
            </w:r>
            <w:r w:rsidR="00FE60B1" w:rsidRPr="00560E3D">
              <w:rPr>
                <w:rFonts w:cstheme="minorHAnsi"/>
                <w:color w:val="000000"/>
                <w:sz w:val="22"/>
                <w:szCs w:val="22"/>
                <w:lang w:val="en-GB"/>
              </w:rPr>
              <w:t>a terrorist offence or an offence related to terrorist activities, or the disclosure or loss of a state secret;</w:t>
            </w:r>
          </w:p>
          <w:p w14:paraId="67FEE8E0" w14:textId="1C925D60" w:rsidR="00A031BE" w:rsidRPr="00560E3D" w:rsidRDefault="00A031BE" w:rsidP="002A3337">
            <w:pPr>
              <w:spacing w:after="0" w:line="240" w:lineRule="auto"/>
              <w:jc w:val="both"/>
              <w:rPr>
                <w:rFonts w:cstheme="minorHAnsi"/>
                <w:color w:val="000000"/>
                <w:sz w:val="22"/>
                <w:szCs w:val="22"/>
                <w:lang w:val="en-GB"/>
              </w:rPr>
            </w:pPr>
            <w:bookmarkStart w:id="2" w:name="part_b2099b921f0e4e2b8de6c06198f3a72b"/>
            <w:bookmarkEnd w:id="2"/>
            <w:r w:rsidRPr="00560E3D">
              <w:rPr>
                <w:rFonts w:cstheme="minorHAnsi"/>
                <w:color w:val="000000"/>
                <w:sz w:val="22"/>
                <w:szCs w:val="22"/>
                <w:lang w:val="en-GB"/>
              </w:rPr>
              <w:t>c</w:t>
            </w:r>
            <w:r w:rsidR="0019794B" w:rsidRPr="00560E3D">
              <w:rPr>
                <w:lang w:val="en-GB"/>
              </w:rPr>
              <w:t xml:space="preserve"> </w:t>
            </w:r>
            <w:r w:rsidR="0019794B" w:rsidRPr="00560E3D">
              <w:rPr>
                <w:rFonts w:cstheme="minorHAnsi"/>
                <w:color w:val="000000"/>
                <w:sz w:val="22"/>
                <w:szCs w:val="22"/>
                <w:lang w:val="en-GB"/>
              </w:rPr>
              <w:t>bribery, influence peddling, or corruption</w:t>
            </w:r>
            <w:r w:rsidRPr="00560E3D">
              <w:rPr>
                <w:rFonts w:cstheme="minorHAnsi"/>
                <w:color w:val="000000"/>
                <w:sz w:val="22"/>
                <w:szCs w:val="22"/>
                <w:lang w:val="en-GB"/>
              </w:rPr>
              <w:t>;</w:t>
            </w:r>
          </w:p>
          <w:p w14:paraId="3938D023" w14:textId="76371371" w:rsidR="00A031BE" w:rsidRPr="00560E3D" w:rsidRDefault="00A031BE" w:rsidP="002A3337">
            <w:pPr>
              <w:spacing w:after="0" w:line="240" w:lineRule="auto"/>
              <w:jc w:val="both"/>
              <w:rPr>
                <w:rFonts w:cstheme="minorHAnsi"/>
                <w:color w:val="000000"/>
                <w:sz w:val="22"/>
                <w:szCs w:val="22"/>
                <w:lang w:val="en-GB"/>
              </w:rPr>
            </w:pPr>
            <w:bookmarkStart w:id="3" w:name="part_6a20db61cd8840a69e047f1d514aa85a"/>
            <w:bookmarkEnd w:id="3"/>
            <w:r w:rsidRPr="00560E3D">
              <w:rPr>
                <w:rFonts w:cstheme="minorHAnsi"/>
                <w:color w:val="000000"/>
                <w:sz w:val="22"/>
                <w:szCs w:val="22"/>
                <w:lang w:val="en-GB"/>
              </w:rPr>
              <w:t xml:space="preserve">d) </w:t>
            </w:r>
            <w:r w:rsidR="00F359D9" w:rsidRPr="00560E3D">
              <w:rPr>
                <w:rFonts w:cstheme="minorHAnsi"/>
                <w:color w:val="000000"/>
                <w:sz w:val="22"/>
                <w:szCs w:val="22"/>
                <w:lang w:val="en-GB"/>
              </w:rPr>
              <w:t xml:space="preserve">fraud, embezzlement, misappropriation of property, false declaration of the activities of a legal person, use of credit, loan, special purpose allowance, subsidy or grant for a purpose other than that for which it was intended or in accordance with the procedure laid down, credit fraud, false declaration of income, profits or assets, failure to submit a statement, report or other document, fraudulent management and/or organisation of financial accounting or abuse, when these offences are directed against the financial interests of the European Union within the meaning of the Convention on the </w:t>
            </w:r>
            <w:r w:rsidR="00F359D9" w:rsidRPr="00560E3D">
              <w:rPr>
                <w:rFonts w:cstheme="minorHAnsi"/>
                <w:color w:val="000000"/>
                <w:sz w:val="22"/>
                <w:szCs w:val="22"/>
                <w:lang w:val="en-GB"/>
              </w:rPr>
              <w:lastRenderedPageBreak/>
              <w:t>protection of the European Communities' financial interests drawn up on the basis of the provisions of the Treaty on the Functioning of the European Union, as amended by the Treaty on European Union, Article K.3, Article 1;</w:t>
            </w:r>
          </w:p>
          <w:p w14:paraId="5395A4BB" w14:textId="2A70BAEB" w:rsidR="00A031BE" w:rsidRPr="00560E3D" w:rsidRDefault="00A031BE" w:rsidP="002A3337">
            <w:pPr>
              <w:spacing w:after="0" w:line="240" w:lineRule="auto"/>
              <w:jc w:val="both"/>
              <w:rPr>
                <w:rFonts w:cstheme="minorHAnsi"/>
                <w:color w:val="000000"/>
                <w:sz w:val="22"/>
                <w:szCs w:val="22"/>
                <w:lang w:val="en-GB"/>
              </w:rPr>
            </w:pPr>
            <w:bookmarkStart w:id="4" w:name="part_66363cc6ac3b4997b4bb8813183a6c7d"/>
            <w:bookmarkEnd w:id="4"/>
            <w:r w:rsidRPr="00560E3D">
              <w:rPr>
                <w:rFonts w:cstheme="minorHAnsi"/>
                <w:color w:val="000000"/>
                <w:sz w:val="22"/>
                <w:szCs w:val="22"/>
                <w:lang w:val="en-GB"/>
              </w:rPr>
              <w:t xml:space="preserve">e) </w:t>
            </w:r>
            <w:r w:rsidR="003F0A7D" w:rsidRPr="00560E3D">
              <w:rPr>
                <w:rFonts w:cstheme="minorHAnsi"/>
                <w:color w:val="000000"/>
                <w:sz w:val="22"/>
                <w:szCs w:val="22"/>
                <w:lang w:val="en-GB"/>
              </w:rPr>
              <w:t>money laundering;</w:t>
            </w:r>
          </w:p>
          <w:p w14:paraId="1F7D9E70" w14:textId="7172226B" w:rsidR="00A031BE" w:rsidRPr="00560E3D" w:rsidRDefault="00A031BE" w:rsidP="002A3337">
            <w:pPr>
              <w:spacing w:after="0" w:line="240" w:lineRule="auto"/>
              <w:jc w:val="both"/>
              <w:rPr>
                <w:rFonts w:cstheme="minorHAnsi"/>
                <w:color w:val="000000"/>
                <w:sz w:val="22"/>
                <w:szCs w:val="22"/>
                <w:lang w:val="en-GB"/>
              </w:rPr>
            </w:pPr>
            <w:bookmarkStart w:id="5" w:name="part_0e987c6a00f147ccbbcf2ab1202055fc"/>
            <w:bookmarkEnd w:id="5"/>
            <w:r w:rsidRPr="00560E3D">
              <w:rPr>
                <w:rFonts w:cstheme="minorHAnsi"/>
                <w:color w:val="000000"/>
                <w:sz w:val="22"/>
                <w:szCs w:val="22"/>
                <w:lang w:val="en-GB"/>
              </w:rPr>
              <w:t xml:space="preserve">f) </w:t>
            </w:r>
            <w:r w:rsidR="00EA0480" w:rsidRPr="00560E3D">
              <w:rPr>
                <w:rFonts w:cstheme="minorHAnsi"/>
                <w:color w:val="000000"/>
                <w:sz w:val="22"/>
                <w:szCs w:val="22"/>
                <w:lang w:val="en-GB"/>
              </w:rPr>
              <w:t>an offence committed in other States as defined in the criminal laws of other States implementing the European Union legislation listed in Article 39(1) of Directive 2009/81/EC.</w:t>
            </w:r>
            <w:bookmarkStart w:id="6" w:name="part_62955eb5544048feb8ac4bf8df675d3e"/>
            <w:bookmarkEnd w:id="6"/>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3CD45" w14:textId="2067F1DC" w:rsidR="00A031BE" w:rsidRPr="00560E3D" w:rsidRDefault="0004739E" w:rsidP="002A3337">
            <w:pPr>
              <w:pStyle w:val="NoSpacing"/>
              <w:jc w:val="both"/>
              <w:rPr>
                <w:rFonts w:eastAsia="Yu Mincho" w:cstheme="minorHAnsi"/>
                <w:sz w:val="22"/>
                <w:szCs w:val="22"/>
                <w:lang w:val="en-GB" w:eastAsia="en-US"/>
              </w:rPr>
            </w:pPr>
            <w:r w:rsidRPr="00560E3D">
              <w:rPr>
                <w:rFonts w:cstheme="minorHAnsi"/>
                <w:b/>
                <w:bCs/>
                <w:sz w:val="22"/>
                <w:szCs w:val="22"/>
                <w:lang w:val="en-GB" w:eastAsia="en-US"/>
              </w:rPr>
              <w:lastRenderedPageBreak/>
              <w:t>Article 34(1)(1) of the PPDL</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68AA9" w14:textId="6AA1B4BF" w:rsidR="00A031BE" w:rsidRPr="00560E3D" w:rsidRDefault="00A34643" w:rsidP="002A3337">
            <w:pPr>
              <w:pStyle w:val="NoSpacing"/>
              <w:jc w:val="both"/>
              <w:rPr>
                <w:rFonts w:cstheme="minorHAnsi"/>
                <w:sz w:val="22"/>
                <w:szCs w:val="22"/>
                <w:lang w:val="en-GB"/>
              </w:rPr>
            </w:pPr>
            <w:r w:rsidRPr="00560E3D">
              <w:rPr>
                <w:rFonts w:cstheme="minorHAnsi"/>
                <w:sz w:val="22"/>
                <w:szCs w:val="22"/>
                <w:lang w:val="en-GB" w:eastAsia="en-US"/>
              </w:rPr>
              <w:t>Entities established in Lithuania are required to provide:</w:t>
            </w:r>
          </w:p>
          <w:p w14:paraId="4B3250E2" w14:textId="4B35068D" w:rsidR="00A031BE" w:rsidRPr="00560E3D" w:rsidRDefault="00A34643" w:rsidP="002A10C8">
            <w:pPr>
              <w:pStyle w:val="NoSpacing"/>
              <w:numPr>
                <w:ilvl w:val="0"/>
                <w:numId w:val="13"/>
              </w:numPr>
              <w:ind w:left="170" w:hanging="170"/>
              <w:jc w:val="both"/>
              <w:rPr>
                <w:rFonts w:cstheme="minorHAnsi"/>
                <w:b/>
                <w:bCs/>
                <w:sz w:val="22"/>
                <w:szCs w:val="22"/>
                <w:lang w:val="en-GB"/>
              </w:rPr>
            </w:pPr>
            <w:r w:rsidRPr="00560E3D">
              <w:rPr>
                <w:rFonts w:cstheme="minorHAnsi"/>
                <w:sz w:val="22"/>
                <w:szCs w:val="22"/>
                <w:lang w:val="en-GB"/>
              </w:rPr>
              <w:t>an extract from the court judgment, if any, or</w:t>
            </w:r>
          </w:p>
          <w:p w14:paraId="48A52894" w14:textId="1D80E228" w:rsidR="00A031BE" w:rsidRPr="00560E3D" w:rsidRDefault="007D4191" w:rsidP="002A10C8">
            <w:pPr>
              <w:pStyle w:val="NoSpacing"/>
              <w:numPr>
                <w:ilvl w:val="0"/>
                <w:numId w:val="13"/>
              </w:numPr>
              <w:ind w:left="170" w:hanging="170"/>
              <w:jc w:val="both"/>
              <w:rPr>
                <w:rFonts w:cstheme="minorHAnsi"/>
                <w:b/>
                <w:bCs/>
                <w:sz w:val="22"/>
                <w:szCs w:val="22"/>
                <w:lang w:val="en-GB"/>
              </w:rPr>
            </w:pPr>
            <w:r w:rsidRPr="00560E3D">
              <w:rPr>
                <w:rFonts w:cstheme="minorHAnsi"/>
                <w:sz w:val="22"/>
                <w:szCs w:val="22"/>
                <w:lang w:val="en-GB"/>
              </w:rPr>
              <w:t>a certificate from the Department of Informatics and Communications under the Ministry of the Interior (in accordance with Article 34(1)(1) of the PPDL); or</w:t>
            </w:r>
          </w:p>
          <w:p w14:paraId="100513FD" w14:textId="3AB05D6B" w:rsidR="00D9024A" w:rsidRPr="00560E3D" w:rsidRDefault="000F02AB" w:rsidP="002A10C8">
            <w:pPr>
              <w:pStyle w:val="ListParagraph"/>
              <w:numPr>
                <w:ilvl w:val="0"/>
                <w:numId w:val="13"/>
              </w:numPr>
              <w:spacing w:after="0" w:line="240" w:lineRule="auto"/>
              <w:ind w:left="170" w:hanging="170"/>
              <w:jc w:val="both"/>
              <w:rPr>
                <w:rFonts w:cstheme="minorHAnsi"/>
                <w:sz w:val="22"/>
                <w:szCs w:val="22"/>
                <w:lang w:val="en-GB"/>
              </w:rPr>
            </w:pPr>
            <w:r w:rsidRPr="00560E3D">
              <w:rPr>
                <w:rFonts w:cstheme="minorHAnsi"/>
                <w:sz w:val="22"/>
                <w:szCs w:val="22"/>
                <w:lang w:val="en-GB"/>
              </w:rPr>
              <w:t>a document issued by the Lithuanian State Enterprise Centre of Registers in accordance with the procedure established by the Government of the Republic of Lithuania, confirming the joint data processed by the competent authorities (except for criminal offences related to participation in, organisation of, or leadership of a criminal association, for terrorist and terrorist-related offences, or for disclosure of or loss of state secrets).</w:t>
            </w:r>
          </w:p>
          <w:p w14:paraId="7302B72E" w14:textId="77777777" w:rsidR="00D9024A" w:rsidRPr="00560E3D" w:rsidRDefault="00D9024A" w:rsidP="002A3337">
            <w:pPr>
              <w:pStyle w:val="NoSpacing"/>
              <w:numPr>
                <w:ilvl w:val="0"/>
                <w:numId w:val="4"/>
              </w:numPr>
              <w:ind w:left="0"/>
              <w:jc w:val="both"/>
              <w:rPr>
                <w:rFonts w:cstheme="minorHAnsi"/>
                <w:b/>
                <w:bCs/>
                <w:sz w:val="22"/>
                <w:szCs w:val="22"/>
                <w:lang w:val="en-GB"/>
              </w:rPr>
            </w:pPr>
          </w:p>
          <w:p w14:paraId="799AA4CC" w14:textId="30DD3E82" w:rsidR="00A031BE" w:rsidRPr="00560E3D" w:rsidRDefault="007A4F1C" w:rsidP="002A3337">
            <w:pPr>
              <w:pStyle w:val="NoSpacing"/>
              <w:jc w:val="both"/>
              <w:rPr>
                <w:rFonts w:cstheme="minorHAnsi"/>
                <w:sz w:val="22"/>
                <w:szCs w:val="22"/>
                <w:lang w:val="en-GB"/>
              </w:rPr>
            </w:pPr>
            <w:r w:rsidRPr="00560E3D">
              <w:rPr>
                <w:rFonts w:cstheme="minorHAnsi"/>
                <w:sz w:val="22"/>
                <w:szCs w:val="22"/>
                <w:lang w:val="en-GB" w:eastAsia="en-US"/>
              </w:rPr>
              <w:t>Entities established outside Lithuania are required to provide:</w:t>
            </w:r>
          </w:p>
          <w:p w14:paraId="3CB11F7F" w14:textId="766EE2C8" w:rsidR="00A031BE" w:rsidRPr="00560E3D" w:rsidRDefault="007A4F1C" w:rsidP="002A3337">
            <w:pPr>
              <w:pStyle w:val="NoSpacing"/>
              <w:numPr>
                <w:ilvl w:val="0"/>
                <w:numId w:val="4"/>
              </w:numPr>
              <w:ind w:left="0"/>
              <w:jc w:val="both"/>
              <w:rPr>
                <w:rFonts w:cstheme="minorHAnsi"/>
                <w:b/>
                <w:bCs/>
                <w:sz w:val="22"/>
                <w:szCs w:val="22"/>
                <w:lang w:val="en-GB"/>
              </w:rPr>
            </w:pPr>
            <w:r w:rsidRPr="00560E3D">
              <w:rPr>
                <w:rFonts w:cstheme="minorHAnsi"/>
                <w:sz w:val="22"/>
                <w:szCs w:val="22"/>
                <w:lang w:val="en-GB"/>
              </w:rPr>
              <w:t>a document from the relevant foreign authority</w:t>
            </w:r>
            <w:r w:rsidR="00E67DBB" w:rsidRPr="00560E3D">
              <w:rPr>
                <w:rStyle w:val="FootnoteReference"/>
                <w:rFonts w:cstheme="minorHAnsi"/>
                <w:sz w:val="22"/>
                <w:szCs w:val="22"/>
                <w:lang w:val="en-GB"/>
              </w:rPr>
              <w:footnoteReference w:id="1"/>
            </w:r>
            <w:r w:rsidR="00A031BE" w:rsidRPr="00560E3D">
              <w:rPr>
                <w:rFonts w:cstheme="minorHAnsi"/>
                <w:sz w:val="22"/>
                <w:szCs w:val="22"/>
                <w:lang w:val="en-GB"/>
              </w:rPr>
              <w:t>.</w:t>
            </w:r>
          </w:p>
          <w:p w14:paraId="72121F94" w14:textId="77777777" w:rsidR="00A031BE" w:rsidRPr="00560E3D" w:rsidRDefault="00A031BE" w:rsidP="002A3337">
            <w:pPr>
              <w:pStyle w:val="NoSpacing"/>
              <w:jc w:val="both"/>
              <w:rPr>
                <w:rFonts w:cstheme="minorHAnsi"/>
                <w:sz w:val="22"/>
                <w:szCs w:val="22"/>
                <w:lang w:val="en-GB"/>
              </w:rPr>
            </w:pPr>
          </w:p>
          <w:p w14:paraId="50F73C5C" w14:textId="77777777" w:rsidR="00FA578D" w:rsidRPr="00560E3D" w:rsidRDefault="00FA578D" w:rsidP="00FA578D">
            <w:pPr>
              <w:pStyle w:val="NoSpacing"/>
              <w:jc w:val="both"/>
              <w:rPr>
                <w:rFonts w:cstheme="minorHAnsi"/>
                <w:sz w:val="22"/>
                <w:szCs w:val="22"/>
                <w:lang w:val="en-GB"/>
              </w:rPr>
            </w:pPr>
            <w:r w:rsidRPr="00560E3D">
              <w:rPr>
                <w:rFonts w:cstheme="minorHAnsi"/>
                <w:sz w:val="22"/>
                <w:szCs w:val="22"/>
                <w:lang w:val="en-GB"/>
              </w:rPr>
              <w:t xml:space="preserve">The documents must be issued no earlier than 180 days before the deadline for receipt of applications. </w:t>
            </w:r>
          </w:p>
          <w:p w14:paraId="19955604" w14:textId="37D36C7D" w:rsidR="00A031BE" w:rsidRPr="00560E3D" w:rsidRDefault="00FA578D" w:rsidP="00FA578D">
            <w:pPr>
              <w:pStyle w:val="NoSpacing"/>
              <w:jc w:val="both"/>
              <w:rPr>
                <w:rFonts w:cstheme="minorHAnsi"/>
                <w:b/>
                <w:bCs/>
                <w:sz w:val="22"/>
                <w:szCs w:val="22"/>
                <w:lang w:val="en-GB"/>
              </w:rPr>
            </w:pPr>
            <w:r w:rsidRPr="00560E3D">
              <w:rPr>
                <w:rFonts w:cstheme="minorHAnsi"/>
                <w:sz w:val="22"/>
                <w:szCs w:val="22"/>
                <w:lang w:val="en-GB"/>
              </w:rPr>
              <w:t xml:space="preserve">If the document is issued earlier but has a validity period longer than the deadline for receipt of </w:t>
            </w:r>
            <w:r w:rsidRPr="00560E3D">
              <w:rPr>
                <w:rFonts w:cstheme="minorHAnsi"/>
                <w:sz w:val="22"/>
                <w:szCs w:val="22"/>
                <w:lang w:val="en-GB"/>
              </w:rPr>
              <w:lastRenderedPageBreak/>
              <w:t>applications, it shall be acceptable during its validity period.</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C5055" w14:textId="3A0AC49E" w:rsidR="00A031BE" w:rsidRPr="00560E3D" w:rsidRDefault="0004739E" w:rsidP="00560E3D">
            <w:pPr>
              <w:pStyle w:val="NoSpacing"/>
              <w:ind w:left="132" w:right="132"/>
              <w:jc w:val="both"/>
              <w:rPr>
                <w:rFonts w:cstheme="minorHAnsi"/>
                <w:sz w:val="22"/>
                <w:szCs w:val="22"/>
                <w:lang w:val="en-GB" w:eastAsia="en-US"/>
              </w:rPr>
            </w:pPr>
            <w:r w:rsidRPr="00560E3D">
              <w:rPr>
                <w:rFonts w:cstheme="minorHAnsi"/>
                <w:sz w:val="22"/>
                <w:szCs w:val="22"/>
                <w:lang w:val="en-GB"/>
              </w:rPr>
              <w:lastRenderedPageBreak/>
              <w:t xml:space="preserve">The supplier, each member of a group of economic operators, and any sub-suppliers whose capabilities are relied on by the supplier </w:t>
            </w:r>
            <w:proofErr w:type="gramStart"/>
            <w:r w:rsidRPr="00560E3D">
              <w:rPr>
                <w:rFonts w:cstheme="minorHAnsi"/>
                <w:sz w:val="22"/>
                <w:szCs w:val="22"/>
                <w:lang w:val="en-GB"/>
              </w:rPr>
              <w:t>in order to</w:t>
            </w:r>
            <w:proofErr w:type="gramEnd"/>
            <w:r w:rsidRPr="00560E3D">
              <w:rPr>
                <w:rFonts w:cstheme="minorHAnsi"/>
                <w:sz w:val="22"/>
                <w:szCs w:val="22"/>
                <w:lang w:val="en-GB"/>
              </w:rPr>
              <w:t xml:space="preserve"> meet the qualification requirements set out in the procurement conditions.</w:t>
            </w:r>
          </w:p>
        </w:tc>
      </w:tr>
      <w:tr w:rsidR="00C10649" w:rsidRPr="00560E3D" w14:paraId="39B66BA1" w14:textId="16F2BDCC" w:rsidTr="008373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0467553" w14:textId="155D86D0" w:rsidR="00C10649" w:rsidRPr="00560E3D" w:rsidRDefault="00C10649" w:rsidP="00C10649">
            <w:pPr>
              <w:pStyle w:val="NoSpacing"/>
              <w:rPr>
                <w:rFonts w:cstheme="minorHAnsi"/>
                <w:sz w:val="22"/>
                <w:szCs w:val="22"/>
                <w:lang w:val="en-GB"/>
              </w:rPr>
            </w:pPr>
            <w:r w:rsidRPr="00560E3D">
              <w:rPr>
                <w:rFonts w:cstheme="minorHAnsi"/>
                <w:sz w:val="22"/>
                <w:szCs w:val="22"/>
                <w:lang w:val="en-GB"/>
              </w:rPr>
              <w:t xml:space="preserve">7.2.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81823" w14:textId="4DC81FC1" w:rsidR="00C10649" w:rsidRPr="00560E3D" w:rsidRDefault="00C10649" w:rsidP="00C10649">
            <w:pPr>
              <w:spacing w:after="0" w:line="240" w:lineRule="auto"/>
              <w:jc w:val="both"/>
              <w:rPr>
                <w:rFonts w:cstheme="minorHAnsi"/>
                <w:color w:val="000000"/>
                <w:sz w:val="22"/>
                <w:szCs w:val="22"/>
                <w:lang w:val="en-GB"/>
              </w:rPr>
            </w:pPr>
            <w:r w:rsidRPr="00560E3D">
              <w:rPr>
                <w:rFonts w:cstheme="minorHAnsi"/>
                <w:color w:val="000000"/>
                <w:sz w:val="22"/>
                <w:szCs w:val="22"/>
                <w:lang w:val="en-GB"/>
              </w:rPr>
              <w:t xml:space="preserve">the supplier (legal person) has been the subject of a conviction for the offences referred to in points </w:t>
            </w:r>
            <w:r w:rsidR="00560E3D">
              <w:rPr>
                <w:rFonts w:cstheme="minorHAnsi"/>
                <w:color w:val="000000"/>
                <w:sz w:val="22"/>
                <w:szCs w:val="22"/>
                <w:lang w:val="en-GB"/>
              </w:rPr>
              <w:t>7</w:t>
            </w:r>
            <w:r w:rsidRPr="00560E3D">
              <w:rPr>
                <w:rFonts w:cstheme="minorHAnsi"/>
                <w:color w:val="000000"/>
                <w:sz w:val="22"/>
                <w:szCs w:val="22"/>
                <w:lang w:val="en-GB"/>
              </w:rPr>
              <w:t>.1(a) to (f) within the last 5 years.</w:t>
            </w:r>
          </w:p>
          <w:p w14:paraId="2A0FA24F" w14:textId="5A69EC3C" w:rsidR="00C10649" w:rsidRPr="00560E3D" w:rsidRDefault="00C10649" w:rsidP="00C10649">
            <w:pPr>
              <w:spacing w:after="0" w:line="240" w:lineRule="auto"/>
              <w:jc w:val="both"/>
              <w:rPr>
                <w:rFonts w:cstheme="minorHAnsi"/>
                <w:color w:val="000000"/>
                <w:sz w:val="22"/>
                <w:szCs w:val="22"/>
                <w:lang w:val="en-GB"/>
              </w:rPr>
            </w:pPr>
            <w:bookmarkStart w:id="7" w:name="part_650c8ffc59a54b44ba836198b0dda4c7"/>
            <w:bookmarkEnd w:id="7"/>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26A2C" w14:textId="10663801" w:rsidR="00C10649" w:rsidRPr="00560E3D" w:rsidRDefault="00C10649" w:rsidP="00C10649">
            <w:pPr>
              <w:pStyle w:val="NoSpacing"/>
              <w:jc w:val="both"/>
              <w:rPr>
                <w:rFonts w:cstheme="minorHAnsi"/>
                <w:b/>
                <w:bCs/>
                <w:sz w:val="22"/>
                <w:szCs w:val="22"/>
                <w:lang w:val="en-GB" w:eastAsia="en-US"/>
              </w:rPr>
            </w:pPr>
            <w:r w:rsidRPr="00560E3D">
              <w:rPr>
                <w:rFonts w:cstheme="minorHAnsi"/>
                <w:b/>
                <w:bCs/>
                <w:sz w:val="22"/>
                <w:szCs w:val="22"/>
                <w:lang w:val="en-GB" w:eastAsia="en-US"/>
              </w:rPr>
              <w:t>Article 34(1)(2) of the PPDL</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37F16" w14:textId="11F1A3FD" w:rsidR="00C10649" w:rsidRPr="00560E3D" w:rsidRDefault="00C10649" w:rsidP="00C10649">
            <w:pPr>
              <w:pStyle w:val="NoSpacing"/>
              <w:jc w:val="both"/>
              <w:rPr>
                <w:rFonts w:cstheme="minorHAnsi"/>
                <w:sz w:val="22"/>
                <w:szCs w:val="22"/>
                <w:lang w:val="en-GB"/>
              </w:rPr>
            </w:pPr>
            <w:r w:rsidRPr="00560E3D">
              <w:rPr>
                <w:rFonts w:cstheme="minorHAnsi"/>
                <w:sz w:val="22"/>
                <w:szCs w:val="22"/>
                <w:lang w:val="en-GB" w:eastAsia="en-US"/>
              </w:rPr>
              <w:t>Entities established in Lithuania are required to provide:</w:t>
            </w:r>
          </w:p>
          <w:p w14:paraId="666F1760" w14:textId="5FDCED01" w:rsidR="00C10649" w:rsidRPr="00560E3D" w:rsidRDefault="00C10649" w:rsidP="00C10649">
            <w:pPr>
              <w:pStyle w:val="NoSpacing"/>
              <w:numPr>
                <w:ilvl w:val="0"/>
                <w:numId w:val="4"/>
              </w:numPr>
              <w:ind w:left="0"/>
              <w:jc w:val="both"/>
              <w:rPr>
                <w:rFonts w:cstheme="minorHAnsi"/>
                <w:b/>
                <w:bCs/>
                <w:sz w:val="22"/>
                <w:szCs w:val="22"/>
                <w:lang w:val="en-GB"/>
              </w:rPr>
            </w:pPr>
            <w:r w:rsidRPr="00560E3D">
              <w:rPr>
                <w:rFonts w:cstheme="minorHAnsi"/>
                <w:sz w:val="22"/>
                <w:szCs w:val="22"/>
                <w:lang w:val="en-GB"/>
              </w:rPr>
              <w:t>an extract from the court judgment, if any, or</w:t>
            </w:r>
          </w:p>
          <w:p w14:paraId="451AA042" w14:textId="788C797F" w:rsidR="00C10649" w:rsidRPr="00560E3D" w:rsidRDefault="00C10649" w:rsidP="00C10649">
            <w:pPr>
              <w:pStyle w:val="NoSpacing"/>
              <w:numPr>
                <w:ilvl w:val="0"/>
                <w:numId w:val="4"/>
              </w:numPr>
              <w:ind w:left="0"/>
              <w:jc w:val="both"/>
              <w:rPr>
                <w:rFonts w:cstheme="minorHAnsi"/>
                <w:b/>
                <w:bCs/>
                <w:sz w:val="22"/>
                <w:szCs w:val="22"/>
                <w:lang w:val="en-GB"/>
              </w:rPr>
            </w:pPr>
            <w:r w:rsidRPr="00560E3D">
              <w:rPr>
                <w:rFonts w:cstheme="minorHAnsi"/>
                <w:sz w:val="22"/>
                <w:szCs w:val="22"/>
                <w:lang w:val="en-GB"/>
              </w:rPr>
              <w:t>a certificate from the Department of Informatics and Communications under the Ministry of the Interior (in accordance with Article 34(1)(2) of the PPDL); or</w:t>
            </w:r>
          </w:p>
          <w:p w14:paraId="1E5BFD47" w14:textId="5E91BCAC" w:rsidR="00C10649" w:rsidRPr="00560E3D" w:rsidRDefault="00C10649" w:rsidP="00C10649">
            <w:pPr>
              <w:pStyle w:val="NoSpacing"/>
              <w:jc w:val="both"/>
              <w:rPr>
                <w:rFonts w:cstheme="minorHAnsi"/>
                <w:sz w:val="22"/>
                <w:szCs w:val="22"/>
                <w:lang w:val="en-GB" w:eastAsia="en-US"/>
              </w:rPr>
            </w:pPr>
            <w:r w:rsidRPr="00560E3D">
              <w:rPr>
                <w:rFonts w:cstheme="minorHAnsi"/>
                <w:sz w:val="22"/>
                <w:szCs w:val="22"/>
                <w:lang w:val="en-GB"/>
              </w:rPr>
              <w:t>a certificate issued by the State Enterprise Centre of Registers in accordance with the procedure laid down by the Government of the Republic of Lithuania, confirming the joint data processed by the competent authorities (except for criminal offences related to participation in, organisation or direction of a criminal association, for terrorist and terrorist-related offences, for the disclosure or loss of state secrets)</w:t>
            </w:r>
            <w:r w:rsidRPr="00560E3D">
              <w:rPr>
                <w:rFonts w:cstheme="minorHAnsi"/>
                <w:color w:val="000000"/>
                <w:sz w:val="22"/>
                <w:szCs w:val="22"/>
                <w:lang w:val="en-GB"/>
              </w:rPr>
              <w:t> </w:t>
            </w:r>
          </w:p>
          <w:p w14:paraId="4A1049EF" w14:textId="3B6F8C2C" w:rsidR="00C10649" w:rsidRPr="00560E3D" w:rsidRDefault="00560E3D" w:rsidP="00C10649">
            <w:pPr>
              <w:pStyle w:val="NoSpacing"/>
              <w:jc w:val="both"/>
              <w:rPr>
                <w:rFonts w:cstheme="minorHAnsi"/>
                <w:sz w:val="22"/>
                <w:szCs w:val="22"/>
                <w:lang w:val="en-GB"/>
              </w:rPr>
            </w:pPr>
            <w:r>
              <w:rPr>
                <w:rFonts w:cstheme="minorHAnsi"/>
                <w:sz w:val="22"/>
                <w:szCs w:val="22"/>
                <w:lang w:val="en-GB" w:eastAsia="en-US"/>
              </w:rPr>
              <w:t>e</w:t>
            </w:r>
            <w:r w:rsidR="00C10649" w:rsidRPr="00560E3D">
              <w:rPr>
                <w:rFonts w:cstheme="minorHAnsi"/>
                <w:sz w:val="22"/>
                <w:szCs w:val="22"/>
                <w:lang w:val="en-GB" w:eastAsia="en-US"/>
              </w:rPr>
              <w:t>ntities established outside Lithuania are required to provide:</w:t>
            </w:r>
          </w:p>
          <w:p w14:paraId="6DF1380D" w14:textId="7AA8BE33" w:rsidR="00C10649" w:rsidRPr="00560E3D" w:rsidRDefault="00C10649" w:rsidP="00C10649">
            <w:pPr>
              <w:pStyle w:val="NoSpacing"/>
              <w:numPr>
                <w:ilvl w:val="0"/>
                <w:numId w:val="4"/>
              </w:numPr>
              <w:ind w:left="0"/>
              <w:jc w:val="both"/>
              <w:rPr>
                <w:rFonts w:cstheme="minorHAnsi"/>
                <w:b/>
                <w:bCs/>
                <w:sz w:val="22"/>
                <w:szCs w:val="22"/>
                <w:lang w:val="en-GB"/>
              </w:rPr>
            </w:pPr>
            <w:r w:rsidRPr="00560E3D">
              <w:rPr>
                <w:rFonts w:cstheme="minorHAnsi"/>
                <w:sz w:val="22"/>
                <w:szCs w:val="22"/>
                <w:lang w:val="en-GB"/>
              </w:rPr>
              <w:t>a document from the relevant foreign authority</w:t>
            </w:r>
            <w:r w:rsidRPr="00560E3D">
              <w:rPr>
                <w:rStyle w:val="FootnoteReference"/>
                <w:rFonts w:cstheme="minorHAnsi"/>
                <w:sz w:val="22"/>
                <w:szCs w:val="22"/>
                <w:lang w:val="en-GB"/>
              </w:rPr>
              <w:footnoteReference w:id="2"/>
            </w:r>
            <w:r w:rsidRPr="00560E3D">
              <w:rPr>
                <w:rFonts w:cstheme="minorHAnsi"/>
                <w:sz w:val="22"/>
                <w:szCs w:val="22"/>
                <w:lang w:val="en-GB"/>
              </w:rPr>
              <w:t>.</w:t>
            </w:r>
          </w:p>
          <w:p w14:paraId="5A004FF2" w14:textId="77777777" w:rsidR="00C10649" w:rsidRPr="00560E3D" w:rsidRDefault="00C10649" w:rsidP="00C10649">
            <w:pPr>
              <w:pStyle w:val="NoSpacing"/>
              <w:jc w:val="both"/>
              <w:rPr>
                <w:rFonts w:cstheme="minorHAnsi"/>
                <w:sz w:val="22"/>
                <w:szCs w:val="22"/>
                <w:lang w:val="en-GB"/>
              </w:rPr>
            </w:pPr>
          </w:p>
          <w:p w14:paraId="719D7BB2" w14:textId="77777777" w:rsidR="00C10649" w:rsidRPr="00560E3D" w:rsidRDefault="00C10649" w:rsidP="00C10649">
            <w:pPr>
              <w:pStyle w:val="NoSpacing"/>
              <w:jc w:val="both"/>
              <w:rPr>
                <w:rFonts w:cstheme="minorHAnsi"/>
                <w:sz w:val="22"/>
                <w:szCs w:val="22"/>
                <w:lang w:val="en-GB"/>
              </w:rPr>
            </w:pPr>
            <w:r w:rsidRPr="00560E3D">
              <w:rPr>
                <w:rFonts w:cstheme="minorHAnsi"/>
                <w:sz w:val="22"/>
                <w:szCs w:val="22"/>
                <w:lang w:val="en-GB"/>
              </w:rPr>
              <w:t xml:space="preserve">The documents must be issued no earlier than 180 days before the deadline for receipt of applications. </w:t>
            </w:r>
          </w:p>
          <w:p w14:paraId="073FE810" w14:textId="419F5101" w:rsidR="00C10649" w:rsidRPr="00560E3D" w:rsidRDefault="00C10649" w:rsidP="00C10649">
            <w:pPr>
              <w:pStyle w:val="NoSpacing"/>
              <w:jc w:val="both"/>
              <w:rPr>
                <w:rFonts w:cstheme="minorHAnsi"/>
                <w:sz w:val="22"/>
                <w:szCs w:val="22"/>
                <w:lang w:val="en-GB" w:eastAsia="en-US"/>
              </w:rPr>
            </w:pPr>
            <w:r w:rsidRPr="00560E3D">
              <w:rPr>
                <w:rFonts w:cstheme="minorHAnsi"/>
                <w:sz w:val="22"/>
                <w:szCs w:val="22"/>
                <w:lang w:val="en-GB"/>
              </w:rPr>
              <w:t>If the document is issued earlier but has a validity period longer than the deadline for receipt of applications, it shall be acceptable during its validity period.</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80AC1" w14:textId="2AD934B3" w:rsidR="00C10649" w:rsidRPr="00560E3D" w:rsidRDefault="00C10649" w:rsidP="00560E3D">
            <w:pPr>
              <w:pStyle w:val="NoSpacing"/>
              <w:ind w:left="132" w:right="132"/>
              <w:jc w:val="both"/>
              <w:rPr>
                <w:rFonts w:cstheme="minorHAnsi"/>
                <w:sz w:val="22"/>
                <w:szCs w:val="22"/>
                <w:lang w:val="en-GB" w:eastAsia="en-US"/>
              </w:rPr>
            </w:pPr>
            <w:r w:rsidRPr="00560E3D">
              <w:rPr>
                <w:rFonts w:cstheme="minorHAnsi"/>
                <w:sz w:val="22"/>
                <w:szCs w:val="22"/>
                <w:lang w:val="en-GB"/>
              </w:rPr>
              <w:lastRenderedPageBreak/>
              <w:t xml:space="preserve">The supplier, each member of a group of economic operators, and any sub-suppliers whose capabilities are relied on by the supplier </w:t>
            </w:r>
            <w:proofErr w:type="gramStart"/>
            <w:r w:rsidRPr="00560E3D">
              <w:rPr>
                <w:rFonts w:cstheme="minorHAnsi"/>
                <w:sz w:val="22"/>
                <w:szCs w:val="22"/>
                <w:lang w:val="en-GB"/>
              </w:rPr>
              <w:t>in order to</w:t>
            </w:r>
            <w:proofErr w:type="gramEnd"/>
            <w:r w:rsidRPr="00560E3D">
              <w:rPr>
                <w:rFonts w:cstheme="minorHAnsi"/>
                <w:sz w:val="22"/>
                <w:szCs w:val="22"/>
                <w:lang w:val="en-GB"/>
              </w:rPr>
              <w:t xml:space="preserve"> meet the qualification requirements set out in the procurement conditions.</w:t>
            </w:r>
          </w:p>
        </w:tc>
      </w:tr>
      <w:tr w:rsidR="00560E3D" w:rsidRPr="00560E3D" w14:paraId="6AB8F15C" w14:textId="2771918A" w:rsidTr="008373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2A5BBB5D" w14:textId="08FA28F2" w:rsidR="00560E3D" w:rsidRPr="00560E3D" w:rsidRDefault="00560E3D" w:rsidP="00560E3D">
            <w:pPr>
              <w:pStyle w:val="NoSpacing"/>
              <w:rPr>
                <w:rFonts w:cstheme="minorHAnsi"/>
                <w:sz w:val="22"/>
                <w:szCs w:val="22"/>
                <w:lang w:val="en-GB"/>
              </w:rPr>
            </w:pPr>
            <w:r w:rsidRPr="00560E3D">
              <w:rPr>
                <w:rFonts w:cstheme="minorHAnsi"/>
                <w:sz w:val="22"/>
                <w:szCs w:val="22"/>
                <w:lang w:val="en-GB"/>
              </w:rPr>
              <w:t>7.</w:t>
            </w:r>
            <w:r w:rsidR="00940FB1">
              <w:rPr>
                <w:rFonts w:cstheme="minorHAnsi"/>
                <w:sz w:val="22"/>
                <w:szCs w:val="22"/>
                <w:lang w:val="en-GB"/>
              </w:rPr>
              <w:t>3</w:t>
            </w:r>
            <w:r w:rsidRPr="00560E3D">
              <w:rPr>
                <w:rFonts w:cstheme="minorHAnsi"/>
                <w:sz w:val="22"/>
                <w:szCs w:val="22"/>
                <w:lang w:val="en-GB"/>
              </w:rPr>
              <w:t>.</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E0ED8" w14:textId="33D1ADC1" w:rsidR="00560E3D" w:rsidRPr="00560E3D" w:rsidRDefault="00560E3D" w:rsidP="00560E3D">
            <w:pPr>
              <w:spacing w:after="0" w:line="240" w:lineRule="auto"/>
              <w:jc w:val="both"/>
              <w:rPr>
                <w:rFonts w:cstheme="minorHAnsi"/>
                <w:color w:val="000000"/>
                <w:sz w:val="22"/>
                <w:szCs w:val="22"/>
                <w:lang w:val="en-GB"/>
              </w:rPr>
            </w:pPr>
            <w:r w:rsidRPr="00560E3D">
              <w:rPr>
                <w:rFonts w:cstheme="minorHAnsi"/>
                <w:color w:val="000000"/>
                <w:sz w:val="22"/>
                <w:szCs w:val="22"/>
                <w:shd w:val="clear" w:color="auto" w:fill="FFFFFF"/>
                <w:lang w:val="en-GB"/>
              </w:rPr>
              <w:t>The contracting authority may prove, by any appropriate means, that the supplier has committed a serious professional misconduct which leads the contracting authority to doubt the supplier's integrity when the supplier:</w:t>
            </w:r>
          </w:p>
          <w:p w14:paraId="630C51E7" w14:textId="2AABD404" w:rsidR="00560E3D" w:rsidRPr="00560E3D" w:rsidRDefault="00560E3D" w:rsidP="00560E3D">
            <w:pPr>
              <w:spacing w:after="0" w:line="240" w:lineRule="auto"/>
              <w:jc w:val="both"/>
              <w:rPr>
                <w:rFonts w:cstheme="minorHAnsi"/>
                <w:color w:val="000000"/>
                <w:sz w:val="22"/>
                <w:szCs w:val="22"/>
                <w:lang w:val="en-GB"/>
              </w:rPr>
            </w:pPr>
            <w:r w:rsidRPr="00560E3D">
              <w:rPr>
                <w:rFonts w:cstheme="minorHAnsi"/>
                <w:color w:val="000000"/>
                <w:sz w:val="22"/>
                <w:szCs w:val="22"/>
                <w:lang w:val="en-GB"/>
              </w:rPr>
              <w:t>a) has committed an infringement of financial reporting and auditing legislation and less than one year has elapsed since the date of the infringement;</w:t>
            </w:r>
          </w:p>
          <w:p w14:paraId="6AAEF829" w14:textId="625D047A" w:rsidR="00560E3D" w:rsidRPr="00560E3D" w:rsidRDefault="00560E3D" w:rsidP="00560E3D">
            <w:pPr>
              <w:spacing w:after="0" w:line="240" w:lineRule="auto"/>
              <w:jc w:val="both"/>
              <w:rPr>
                <w:rFonts w:cstheme="minorHAnsi"/>
                <w:color w:val="000000"/>
                <w:sz w:val="22"/>
                <w:szCs w:val="22"/>
                <w:lang w:val="en-GB"/>
              </w:rPr>
            </w:pPr>
            <w:r w:rsidRPr="00560E3D">
              <w:rPr>
                <w:rFonts w:cstheme="minorHAnsi"/>
                <w:color w:val="000000"/>
                <w:sz w:val="22"/>
                <w:szCs w:val="22"/>
                <w:shd w:val="clear" w:color="auto" w:fill="FFFFFF"/>
                <w:lang w:val="en-GB"/>
              </w:rPr>
              <w:t xml:space="preserve">b) does not meet the minimum criteria for a reliable taxpayer set out in Article 401(1) of the Law on Tax Administration of the Republic of Lithuania. For the purposes of this ground for the exclusion of a supplier from the procurement procedure, the time limits laid down in Article 401(1) of the Law on Tax Administration shall be applied, counting from the date on which the infringements referred to in Article 401(1) of the Law on Tax Administration have been </w:t>
            </w:r>
            <w:r w:rsidRPr="00560E3D">
              <w:rPr>
                <w:rFonts w:cstheme="minorHAnsi"/>
                <w:color w:val="000000"/>
                <w:sz w:val="22"/>
                <w:szCs w:val="22"/>
                <w:shd w:val="clear" w:color="auto" w:fill="FFFFFF"/>
                <w:lang w:val="en-GB"/>
              </w:rPr>
              <w:lastRenderedPageBreak/>
              <w:t>committed, but in any event the time limits shall not exceed 3 years;</w:t>
            </w:r>
          </w:p>
          <w:p w14:paraId="1C2F9915" w14:textId="0D9C82DF" w:rsidR="00560E3D" w:rsidRPr="00560E3D" w:rsidRDefault="00560E3D" w:rsidP="00560E3D">
            <w:pPr>
              <w:spacing w:after="0" w:line="240" w:lineRule="auto"/>
              <w:jc w:val="both"/>
              <w:rPr>
                <w:rFonts w:cstheme="minorHAnsi"/>
                <w:color w:val="000000"/>
                <w:sz w:val="22"/>
                <w:szCs w:val="22"/>
                <w:lang w:val="en-GB"/>
              </w:rPr>
            </w:pPr>
            <w:r w:rsidRPr="00560E3D">
              <w:rPr>
                <w:rFonts w:cstheme="minorHAnsi"/>
                <w:color w:val="000000"/>
                <w:sz w:val="22"/>
                <w:szCs w:val="22"/>
                <w:lang w:val="en-GB"/>
              </w:rPr>
              <w:t>c) the supplier has failed to perform a contract concluded in accordance with this Law, the Public Procurement Law or the Law on Procurement by Contracting Entities in the Field of Water Management, Energy, Transport or Postal Services, or a concession contract, or has improperly performed it, and that this has constituted a material breach of contract within the meaning of Article 6(1)(a)(</w:t>
            </w:r>
            <w:proofErr w:type="spellStart"/>
            <w:r w:rsidRPr="00560E3D">
              <w:rPr>
                <w:rFonts w:cstheme="minorHAnsi"/>
                <w:color w:val="000000"/>
                <w:sz w:val="22"/>
                <w:szCs w:val="22"/>
                <w:lang w:val="en-GB"/>
              </w:rPr>
              <w:t>i</w:t>
            </w:r>
            <w:proofErr w:type="spellEnd"/>
            <w:r w:rsidRPr="00560E3D">
              <w:rPr>
                <w:rFonts w:cstheme="minorHAnsi"/>
                <w:color w:val="000000"/>
                <w:sz w:val="22"/>
                <w:szCs w:val="22"/>
                <w:lang w:val="en-GB"/>
              </w:rPr>
              <w:t xml:space="preserve">)(ii) of the Civil Code. 217 (hereinafter referred to as "material breach of the contract"), which has led to the termination of the contract within the last 3 years or to a final court decision within the last 3 years granting a claim for damages by the contracting authority, the contracting entity or the contracting authority for the losses suffered as a result, that the supplier has performed an essential term of the contract with serious or persistent deficiencies, or a decision of the contracting authority has been taken within the last 3 years that the supplier has performed an essential term of the contract with serious or persistent deficiencies and that this has led to the imposition of a contractual sanction. On this basis, a supplier shall also be excluded from a procurement procedure where it has been established, in accordance with the legislation of other countries, within the last 3 years, that, in the context of a previous procurement or concession contract, it has implemented an essential requirement set out in the contract with serious or persistent deficiencies, which led to the premature termination of the previous contract, to the imposition </w:t>
            </w:r>
            <w:r w:rsidRPr="00560E3D">
              <w:rPr>
                <w:rFonts w:cstheme="minorHAnsi"/>
                <w:color w:val="000000"/>
                <w:sz w:val="22"/>
                <w:szCs w:val="22"/>
                <w:lang w:val="en-GB"/>
              </w:rPr>
              <w:lastRenderedPageBreak/>
              <w:t>of a claim for compensation, or to the imposition of any other similar penalties.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07A3E" w14:textId="4F9A6288" w:rsidR="00560E3D" w:rsidRPr="00560E3D" w:rsidRDefault="00560E3D" w:rsidP="00560E3D">
            <w:pPr>
              <w:pStyle w:val="NoSpacing"/>
              <w:jc w:val="both"/>
              <w:rPr>
                <w:rFonts w:cstheme="minorHAnsi"/>
                <w:b/>
                <w:bCs/>
                <w:sz w:val="22"/>
                <w:szCs w:val="22"/>
                <w:lang w:val="en-GB" w:eastAsia="en-US"/>
              </w:rPr>
            </w:pPr>
            <w:r w:rsidRPr="00560E3D">
              <w:rPr>
                <w:rFonts w:cstheme="minorHAnsi"/>
                <w:b/>
                <w:bCs/>
                <w:sz w:val="22"/>
                <w:szCs w:val="22"/>
                <w:lang w:val="en-GB" w:eastAsia="en-US"/>
              </w:rPr>
              <w:lastRenderedPageBreak/>
              <w:t>Article 34(1)(3) of the PPDL</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2C527" w14:textId="2952C68D" w:rsidR="00560E3D" w:rsidRPr="00560E3D" w:rsidRDefault="00560E3D" w:rsidP="00560E3D">
            <w:pPr>
              <w:pStyle w:val="NoSpacing"/>
              <w:jc w:val="both"/>
              <w:rPr>
                <w:rFonts w:cstheme="minorHAnsi"/>
                <w:sz w:val="22"/>
                <w:szCs w:val="22"/>
                <w:lang w:val="en-GB" w:eastAsia="en-US"/>
              </w:rPr>
            </w:pPr>
            <w:r w:rsidRPr="00560E3D">
              <w:rPr>
                <w:rFonts w:cstheme="minorHAnsi"/>
                <w:sz w:val="22"/>
                <w:szCs w:val="22"/>
                <w:lang w:val="en-GB" w:eastAsia="en-US"/>
              </w:rPr>
              <w:t>The absence of this ground for exclusion shall be declared by the Supplier in the Supplier's Declaration (Annex 8 to the Procurement Conditions).</w:t>
            </w:r>
          </w:p>
          <w:p w14:paraId="6E56BD03" w14:textId="77777777" w:rsidR="00560E3D" w:rsidRPr="00560E3D" w:rsidRDefault="00560E3D" w:rsidP="00560E3D">
            <w:pPr>
              <w:pStyle w:val="NoSpacing"/>
              <w:jc w:val="both"/>
              <w:rPr>
                <w:rFonts w:cstheme="minorHAnsi"/>
                <w:sz w:val="22"/>
                <w:szCs w:val="22"/>
                <w:lang w:val="en-GB" w:eastAsia="en-US"/>
              </w:rPr>
            </w:pPr>
          </w:p>
          <w:p w14:paraId="7BA02E6B" w14:textId="77777777" w:rsidR="00560E3D" w:rsidRPr="00963387" w:rsidRDefault="00560E3D" w:rsidP="00560E3D">
            <w:pPr>
              <w:pStyle w:val="NoSpacing"/>
              <w:jc w:val="both"/>
              <w:rPr>
                <w:rFonts w:cstheme="minorHAnsi"/>
                <w:bCs/>
                <w:iCs/>
                <w:sz w:val="22"/>
                <w:szCs w:val="22"/>
                <w:lang w:val="en-GB" w:eastAsia="en-US"/>
              </w:rPr>
            </w:pPr>
            <w:r w:rsidRPr="00963387">
              <w:rPr>
                <w:rFonts w:cstheme="minorHAnsi"/>
                <w:sz w:val="22"/>
                <w:szCs w:val="22"/>
                <w:lang w:val="en-GB" w:eastAsia="en-US"/>
              </w:rPr>
              <w:t>Foreign suppliers shall provide a certificate or other document certifying the absence of this ground for exclusion, if available in their country</w:t>
            </w:r>
            <w:r w:rsidRPr="00963387">
              <w:rPr>
                <w:rStyle w:val="FootnoteReference"/>
                <w:rFonts w:cstheme="minorHAnsi"/>
                <w:sz w:val="22"/>
                <w:szCs w:val="22"/>
                <w:lang w:val="en-GB" w:eastAsia="en-US"/>
              </w:rPr>
              <w:footnoteReference w:id="3"/>
            </w:r>
            <w:r w:rsidRPr="00963387">
              <w:rPr>
                <w:rFonts w:cstheme="minorHAnsi"/>
                <w:sz w:val="22"/>
                <w:szCs w:val="22"/>
                <w:lang w:val="en-GB" w:eastAsia="en-US"/>
              </w:rPr>
              <w:t>.</w:t>
            </w:r>
          </w:p>
          <w:p w14:paraId="4B21C49E" w14:textId="77777777" w:rsidR="00560E3D" w:rsidRPr="00963387" w:rsidRDefault="00560E3D" w:rsidP="00560E3D">
            <w:pPr>
              <w:pStyle w:val="NoSpacing"/>
              <w:jc w:val="both"/>
              <w:rPr>
                <w:rFonts w:cstheme="minorHAnsi"/>
                <w:color w:val="FF0000"/>
                <w:sz w:val="22"/>
                <w:szCs w:val="22"/>
                <w:lang w:val="en-GB"/>
              </w:rPr>
            </w:pPr>
          </w:p>
          <w:p w14:paraId="6980C414" w14:textId="77777777" w:rsidR="00560E3D" w:rsidRPr="00963387" w:rsidRDefault="00560E3D" w:rsidP="00560E3D">
            <w:pPr>
              <w:pStyle w:val="NoSpacing"/>
              <w:jc w:val="both"/>
              <w:rPr>
                <w:rFonts w:cstheme="minorHAnsi"/>
                <w:sz w:val="22"/>
                <w:szCs w:val="22"/>
                <w:lang w:val="en-GB"/>
              </w:rPr>
            </w:pPr>
            <w:r w:rsidRPr="00963387">
              <w:rPr>
                <w:rFonts w:cstheme="minorHAnsi"/>
                <w:sz w:val="22"/>
                <w:szCs w:val="22"/>
                <w:lang w:val="en-GB"/>
              </w:rPr>
              <w:t xml:space="preserve">Decisions to exclude a supplier from the procurement procedure on the grounds of exclusion referred to in this point shall take account, inter alia, of the information published in national databases: https://www.registrucentras.lt/jar/p/index.php; </w:t>
            </w:r>
          </w:p>
          <w:p w14:paraId="0BEF1593" w14:textId="77777777" w:rsidR="00560E3D" w:rsidRPr="00963387" w:rsidRDefault="00560E3D" w:rsidP="00560E3D">
            <w:pPr>
              <w:pStyle w:val="NoSpacing"/>
              <w:jc w:val="both"/>
              <w:rPr>
                <w:rFonts w:cstheme="minorHAnsi"/>
                <w:sz w:val="22"/>
                <w:szCs w:val="22"/>
                <w:lang w:val="en-GB"/>
              </w:rPr>
            </w:pPr>
            <w:r w:rsidRPr="00963387">
              <w:rPr>
                <w:rFonts w:cstheme="minorHAnsi"/>
                <w:sz w:val="22"/>
                <w:szCs w:val="22"/>
                <w:lang w:val="en-GB"/>
              </w:rPr>
              <w:t>https://www.vmi.lt/evmi/mokesciu-moketoju-informacija;</w:t>
            </w:r>
          </w:p>
          <w:p w14:paraId="6E1B67DD" w14:textId="77777777" w:rsidR="00560E3D" w:rsidRPr="00963387" w:rsidRDefault="00560E3D" w:rsidP="00560E3D">
            <w:pPr>
              <w:pStyle w:val="NoSpacing"/>
              <w:jc w:val="both"/>
              <w:rPr>
                <w:rFonts w:cstheme="minorHAnsi"/>
                <w:sz w:val="22"/>
                <w:szCs w:val="22"/>
                <w:lang w:val="en-GB"/>
              </w:rPr>
            </w:pPr>
            <w:r w:rsidRPr="00963387">
              <w:rPr>
                <w:rFonts w:cstheme="minorHAnsi"/>
                <w:sz w:val="22"/>
                <w:szCs w:val="22"/>
                <w:lang w:val="en-GB"/>
              </w:rPr>
              <w:lastRenderedPageBreak/>
              <w:t>https://kt.gov.lt/lt/atviri-duomenys/diskvalifikavimas-is-viesuju-pirkimu;</w:t>
            </w:r>
          </w:p>
          <w:p w14:paraId="2C6C83B8" w14:textId="77777777" w:rsidR="00560E3D" w:rsidRPr="006D6658" w:rsidRDefault="00560E3D" w:rsidP="00560E3D">
            <w:pPr>
              <w:pStyle w:val="NoSpacing"/>
              <w:jc w:val="both"/>
              <w:rPr>
                <w:rStyle w:val="Hyperlink"/>
                <w:rFonts w:cstheme="minorHAnsi"/>
                <w:sz w:val="22"/>
                <w:szCs w:val="22"/>
              </w:rPr>
            </w:pPr>
            <w:r w:rsidRPr="00B52EC9">
              <w:t>https://vpt.lrv.lt/lt/nuorodos/kiti-duomenys/powerbi/nepatikimi-tiekejai-1/</w:t>
            </w:r>
            <w:r w:rsidRPr="006D6658">
              <w:rPr>
                <w:rStyle w:val="Hyperlink"/>
                <w:rFonts w:cstheme="minorHAnsi"/>
                <w:sz w:val="22"/>
                <w:szCs w:val="22"/>
              </w:rPr>
              <w:t>;</w:t>
            </w:r>
          </w:p>
          <w:p w14:paraId="5A05FC30" w14:textId="77777777" w:rsidR="00560E3D" w:rsidRPr="006D6658" w:rsidRDefault="00560E3D" w:rsidP="00560E3D">
            <w:pPr>
              <w:pStyle w:val="NoSpacing"/>
              <w:jc w:val="both"/>
              <w:rPr>
                <w:rFonts w:cstheme="minorHAnsi"/>
                <w:sz w:val="22"/>
                <w:szCs w:val="22"/>
              </w:rPr>
            </w:pPr>
            <w:r w:rsidRPr="00B52EC9">
              <w:t>https://vpt.lrv.lt/lt/pasalinimo-pagrindai-1/nepatikimu-koncesininku-sarasas-1/nepatikimu-koncesininku-sarasas/</w:t>
            </w:r>
            <w:r>
              <w:t>.</w:t>
            </w:r>
          </w:p>
          <w:p w14:paraId="32A8AF2E" w14:textId="77777777" w:rsidR="00560E3D" w:rsidRPr="00963387" w:rsidRDefault="00560E3D" w:rsidP="00560E3D">
            <w:pPr>
              <w:pStyle w:val="NoSpacing"/>
              <w:jc w:val="both"/>
              <w:rPr>
                <w:rFonts w:cstheme="minorHAnsi"/>
                <w:sz w:val="22"/>
                <w:szCs w:val="22"/>
                <w:lang w:val="en-GB"/>
              </w:rPr>
            </w:pPr>
            <w:r w:rsidRPr="00963387">
              <w:rPr>
                <w:rFonts w:cstheme="minorHAnsi"/>
                <w:sz w:val="22"/>
                <w:szCs w:val="22"/>
                <w:lang w:val="en-GB"/>
              </w:rPr>
              <w:t>as well as the information contained in this information notice:</w:t>
            </w:r>
          </w:p>
          <w:p w14:paraId="382E7E88" w14:textId="0C554737" w:rsidR="00560E3D" w:rsidRPr="00560E3D" w:rsidRDefault="00560E3D" w:rsidP="00560E3D">
            <w:pPr>
              <w:pStyle w:val="NoSpacing"/>
              <w:jc w:val="both"/>
              <w:rPr>
                <w:rFonts w:cstheme="minorHAnsi"/>
                <w:color w:val="FF0000"/>
                <w:sz w:val="22"/>
                <w:szCs w:val="22"/>
                <w:lang w:val="en-GB" w:eastAsia="en-US"/>
              </w:rPr>
            </w:pPr>
            <w:r w:rsidRPr="00E16D78">
              <w:t>https://vpt.lrv.lt/lt/naujienos-3/finansiniu-ataskaitu-nepateikimas-gali-tapti-kliutimi-dalyvauti-viesuosiuose-pirkimuose/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925B0" w14:textId="69C86916" w:rsidR="00560E3D" w:rsidRPr="00560E3D" w:rsidRDefault="00560E3D" w:rsidP="00560E3D">
            <w:pPr>
              <w:pStyle w:val="NoSpacing"/>
              <w:ind w:left="132" w:right="132"/>
              <w:jc w:val="both"/>
              <w:rPr>
                <w:rFonts w:cstheme="minorHAnsi"/>
                <w:color w:val="FF0000"/>
                <w:sz w:val="22"/>
                <w:szCs w:val="22"/>
                <w:lang w:val="en-GB" w:eastAsia="en-US"/>
              </w:rPr>
            </w:pPr>
            <w:r w:rsidRPr="00560E3D">
              <w:rPr>
                <w:rFonts w:cstheme="minorHAnsi"/>
                <w:sz w:val="22"/>
                <w:szCs w:val="22"/>
                <w:lang w:val="en-GB"/>
              </w:rPr>
              <w:lastRenderedPageBreak/>
              <w:t xml:space="preserve">The supplier, each member of a group of economic operators, and any sub-suppliers whose capabilities are relied on by the supplier </w:t>
            </w:r>
            <w:proofErr w:type="gramStart"/>
            <w:r w:rsidRPr="00560E3D">
              <w:rPr>
                <w:rFonts w:cstheme="minorHAnsi"/>
                <w:sz w:val="22"/>
                <w:szCs w:val="22"/>
                <w:lang w:val="en-GB"/>
              </w:rPr>
              <w:t>in order to</w:t>
            </w:r>
            <w:proofErr w:type="gramEnd"/>
            <w:r w:rsidRPr="00560E3D">
              <w:rPr>
                <w:rFonts w:cstheme="minorHAnsi"/>
                <w:sz w:val="22"/>
                <w:szCs w:val="22"/>
                <w:lang w:val="en-GB"/>
              </w:rPr>
              <w:t xml:space="preserve"> meet the qualification requirements set out in the procurement conditions.</w:t>
            </w:r>
          </w:p>
        </w:tc>
      </w:tr>
      <w:tr w:rsidR="00940FB1" w:rsidRPr="00560E3D" w14:paraId="55242F56" w14:textId="77777777" w:rsidTr="008373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2D7077E" w14:textId="458AD3FD" w:rsidR="00940FB1" w:rsidRPr="00560E3D" w:rsidRDefault="00940FB1" w:rsidP="00940FB1">
            <w:pPr>
              <w:pStyle w:val="NoSpacing"/>
              <w:rPr>
                <w:rFonts w:cstheme="minorHAnsi"/>
                <w:sz w:val="22"/>
                <w:szCs w:val="22"/>
                <w:lang w:val="en-GB"/>
              </w:rPr>
            </w:pPr>
            <w:r>
              <w:rPr>
                <w:rFonts w:cstheme="minorHAnsi"/>
                <w:sz w:val="22"/>
                <w:szCs w:val="22"/>
                <w:lang w:val="en-GB"/>
              </w:rPr>
              <w:lastRenderedPageBreak/>
              <w:t>7.4.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7377A" w14:textId="6957DBC3" w:rsidR="00940FB1" w:rsidRPr="00560E3D" w:rsidRDefault="00940FB1" w:rsidP="00940FB1">
            <w:pPr>
              <w:spacing w:after="0" w:line="240" w:lineRule="auto"/>
              <w:jc w:val="both"/>
              <w:rPr>
                <w:rFonts w:cstheme="minorHAnsi"/>
                <w:color w:val="000000"/>
                <w:sz w:val="22"/>
                <w:szCs w:val="22"/>
                <w:shd w:val="clear" w:color="auto" w:fill="FFFFFF"/>
                <w:lang w:val="en-GB"/>
              </w:rPr>
            </w:pPr>
            <w:r w:rsidRPr="00963387">
              <w:rPr>
                <w:rFonts w:cstheme="minorHAnsi"/>
                <w:color w:val="000000"/>
                <w:sz w:val="22"/>
                <w:szCs w:val="22"/>
                <w:lang w:val="en-GB"/>
              </w:rPr>
              <w:t>The supplier has not complied with the punitive measure imposed on it - a ban on a legal entity from participating in public procurement.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820D5" w14:textId="6A96BBAD" w:rsidR="00940FB1" w:rsidRPr="00560E3D" w:rsidRDefault="00940FB1" w:rsidP="00940FB1">
            <w:pPr>
              <w:pStyle w:val="NoSpacing"/>
              <w:jc w:val="both"/>
              <w:rPr>
                <w:rFonts w:cstheme="minorHAnsi"/>
                <w:b/>
                <w:bCs/>
                <w:sz w:val="22"/>
                <w:szCs w:val="22"/>
                <w:lang w:val="en-GB" w:eastAsia="en-US"/>
              </w:rPr>
            </w:pPr>
            <w:r w:rsidRPr="00963387">
              <w:rPr>
                <w:rFonts w:cstheme="minorHAnsi"/>
                <w:b/>
                <w:bCs/>
                <w:sz w:val="22"/>
                <w:szCs w:val="22"/>
                <w:lang w:val="en-GB" w:eastAsia="en-US"/>
              </w:rPr>
              <w:t>Article 34(1)(2</w:t>
            </w:r>
            <w:r>
              <w:rPr>
                <w:rFonts w:cstheme="minorHAnsi"/>
                <w:b/>
                <w:bCs/>
                <w:sz w:val="22"/>
                <w:szCs w:val="22"/>
                <w:vertAlign w:val="superscript"/>
                <w:lang w:val="en-GB" w:eastAsia="en-US"/>
              </w:rPr>
              <w:t>1</w:t>
            </w:r>
            <w:r w:rsidRPr="00963387">
              <w:rPr>
                <w:rFonts w:cstheme="minorHAnsi"/>
                <w:b/>
                <w:bCs/>
                <w:sz w:val="22"/>
                <w:szCs w:val="22"/>
                <w:lang w:val="en-GB" w:eastAsia="en-US"/>
              </w:rPr>
              <w:t>) of the PPDL</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AD502" w14:textId="77777777" w:rsidR="00940FB1" w:rsidRPr="00963387" w:rsidRDefault="00940FB1" w:rsidP="00940FB1">
            <w:pPr>
              <w:pStyle w:val="NoSpacing"/>
              <w:jc w:val="both"/>
              <w:rPr>
                <w:rFonts w:cstheme="minorHAnsi"/>
                <w:sz w:val="22"/>
                <w:szCs w:val="22"/>
                <w:lang w:val="en-GB" w:eastAsia="en-US"/>
              </w:rPr>
            </w:pPr>
            <w:r w:rsidRPr="00963387">
              <w:rPr>
                <w:rFonts w:cstheme="minorHAnsi"/>
                <w:sz w:val="22"/>
                <w:szCs w:val="22"/>
                <w:lang w:val="en-GB" w:eastAsia="en-US"/>
              </w:rPr>
              <w:t xml:space="preserve">The absence of this ground for exclusion shall be declared by the Supplier in the Supplier's Declaration (Annex </w:t>
            </w:r>
            <w:r>
              <w:rPr>
                <w:rFonts w:cstheme="minorHAnsi"/>
                <w:sz w:val="22"/>
                <w:szCs w:val="22"/>
                <w:lang w:val="en-GB" w:eastAsia="en-US"/>
              </w:rPr>
              <w:t>8</w:t>
            </w:r>
            <w:r w:rsidRPr="00963387">
              <w:rPr>
                <w:rFonts w:cstheme="minorHAnsi"/>
                <w:sz w:val="22"/>
                <w:szCs w:val="22"/>
                <w:lang w:val="en-GB" w:eastAsia="en-US"/>
              </w:rPr>
              <w:t xml:space="preserve"> to the Procurement Conditions).</w:t>
            </w:r>
          </w:p>
          <w:p w14:paraId="3BBA7C8D" w14:textId="77777777" w:rsidR="00940FB1" w:rsidRPr="00963387" w:rsidRDefault="00940FB1" w:rsidP="00940FB1">
            <w:pPr>
              <w:pStyle w:val="NoSpacing"/>
              <w:jc w:val="both"/>
              <w:rPr>
                <w:rFonts w:cstheme="minorHAnsi"/>
                <w:sz w:val="22"/>
                <w:szCs w:val="22"/>
                <w:lang w:val="en-GB" w:eastAsia="en-US"/>
              </w:rPr>
            </w:pPr>
          </w:p>
          <w:p w14:paraId="2780593B" w14:textId="7C490A5B" w:rsidR="00940FB1" w:rsidRPr="00560E3D" w:rsidRDefault="00940FB1" w:rsidP="00940FB1">
            <w:pPr>
              <w:pStyle w:val="NoSpacing"/>
              <w:jc w:val="both"/>
              <w:rPr>
                <w:rFonts w:cstheme="minorHAnsi"/>
                <w:sz w:val="22"/>
                <w:szCs w:val="22"/>
                <w:lang w:val="en-GB" w:eastAsia="en-US"/>
              </w:rPr>
            </w:pPr>
            <w:r w:rsidRPr="00963387">
              <w:rPr>
                <w:rFonts w:cstheme="minorHAnsi"/>
                <w:sz w:val="22"/>
                <w:szCs w:val="22"/>
                <w:lang w:val="en-GB" w:eastAsia="en-US"/>
              </w:rPr>
              <w:t>Foreign suppliers shall provide a certificate or other document certifying the absence of this ground for exclusion, if available in their country</w:t>
            </w:r>
            <w:r w:rsidRPr="00963387">
              <w:rPr>
                <w:rStyle w:val="FootnoteReference"/>
                <w:rFonts w:cstheme="minorHAnsi"/>
                <w:sz w:val="22"/>
                <w:szCs w:val="22"/>
                <w:lang w:val="en-GB" w:eastAsia="en-US"/>
              </w:rPr>
              <w:footnoteReference w:id="4"/>
            </w:r>
            <w:r w:rsidRPr="00963387">
              <w:rPr>
                <w:rFonts w:cstheme="minorHAnsi"/>
                <w:sz w:val="22"/>
                <w:szCs w:val="22"/>
                <w:lang w:val="en-GB" w:eastAsia="en-US"/>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BFBB6" w14:textId="63335F2E" w:rsidR="00940FB1" w:rsidRPr="00560E3D" w:rsidRDefault="00940FB1" w:rsidP="00940FB1">
            <w:pPr>
              <w:pStyle w:val="NoSpacing"/>
              <w:ind w:left="132" w:right="132"/>
              <w:jc w:val="both"/>
              <w:rPr>
                <w:rFonts w:cstheme="minorHAnsi"/>
                <w:sz w:val="22"/>
                <w:szCs w:val="22"/>
                <w:lang w:val="en-GB"/>
              </w:rPr>
            </w:pPr>
            <w:r w:rsidRPr="00963387">
              <w:rPr>
                <w:rFonts w:cstheme="minorHAnsi"/>
                <w:sz w:val="22"/>
                <w:szCs w:val="22"/>
                <w:lang w:val="en-GB"/>
              </w:rPr>
              <w:t xml:space="preserve">The supplier, each member of a group of economic operators, and any sub-suppliers whose capabilities are relied on by the supplier </w:t>
            </w:r>
            <w:proofErr w:type="gramStart"/>
            <w:r w:rsidRPr="00963387">
              <w:rPr>
                <w:rFonts w:cstheme="minorHAnsi"/>
                <w:sz w:val="22"/>
                <w:szCs w:val="22"/>
                <w:lang w:val="en-GB"/>
              </w:rPr>
              <w:t>in order to</w:t>
            </w:r>
            <w:proofErr w:type="gramEnd"/>
            <w:r w:rsidRPr="00963387">
              <w:rPr>
                <w:rFonts w:cstheme="minorHAnsi"/>
                <w:sz w:val="22"/>
                <w:szCs w:val="22"/>
                <w:lang w:val="en-GB"/>
              </w:rPr>
              <w:t xml:space="preserve"> meet the qualification requirements set out in the procurement conditions.</w:t>
            </w:r>
          </w:p>
        </w:tc>
      </w:tr>
      <w:tr w:rsidR="00940FB1" w:rsidRPr="00560E3D" w14:paraId="0C5394C7" w14:textId="3288E32D" w:rsidTr="008373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18BDAE56" w14:textId="72C2EE68" w:rsidR="00940FB1" w:rsidRPr="00560E3D" w:rsidRDefault="00940FB1" w:rsidP="00940FB1">
            <w:pPr>
              <w:pStyle w:val="NoSpacing"/>
              <w:rPr>
                <w:rFonts w:cstheme="minorHAnsi"/>
                <w:sz w:val="22"/>
                <w:szCs w:val="22"/>
                <w:lang w:val="en-GB"/>
              </w:rPr>
            </w:pPr>
            <w:r w:rsidRPr="00560E3D">
              <w:rPr>
                <w:rFonts w:cstheme="minorHAnsi"/>
                <w:sz w:val="22"/>
                <w:szCs w:val="22"/>
                <w:lang w:val="en-GB"/>
              </w:rPr>
              <w:t>7.</w:t>
            </w:r>
            <w:r>
              <w:rPr>
                <w:rFonts w:cstheme="minorHAnsi"/>
                <w:sz w:val="22"/>
                <w:szCs w:val="22"/>
                <w:lang w:val="en-GB"/>
              </w:rPr>
              <w:t>5</w:t>
            </w:r>
            <w:r w:rsidRPr="00560E3D">
              <w:rPr>
                <w:rFonts w:cstheme="minorHAnsi"/>
                <w:sz w:val="22"/>
                <w:szCs w:val="22"/>
                <w:lang w:val="en-GB"/>
              </w:rPr>
              <w:t xml:space="preserve">.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9FEBF" w14:textId="5F63C25A" w:rsidR="00940FB1" w:rsidRPr="00560E3D" w:rsidRDefault="00940FB1" w:rsidP="00940FB1">
            <w:pPr>
              <w:spacing w:after="0" w:line="240" w:lineRule="auto"/>
              <w:jc w:val="both"/>
              <w:rPr>
                <w:rFonts w:cstheme="minorHAnsi"/>
                <w:color w:val="000000"/>
                <w:sz w:val="22"/>
                <w:szCs w:val="22"/>
                <w:lang w:val="en-GB"/>
              </w:rPr>
            </w:pPr>
            <w:r w:rsidRPr="00560E3D">
              <w:rPr>
                <w:rFonts w:cstheme="minorHAnsi"/>
                <w:color w:val="000000"/>
                <w:sz w:val="22"/>
                <w:szCs w:val="22"/>
                <w:lang w:val="en-GB"/>
              </w:rPr>
              <w:t xml:space="preserve">The supplier is insolvent, is the subject of restructuring or bankruptcy proceedings, has been declared bankrupt or is the subject of winding-up proceedings, is having its assets administered by a court or an insolvency administrator, has entered into an amicable settlement agreement (an agreement between the supplier and the creditors to continue the supplier's business whereby the supplier undertakes to assume certain obligations and the creditors agree to postpone, reduce or waive their claims) with the </w:t>
            </w:r>
            <w:r w:rsidRPr="00560E3D">
              <w:rPr>
                <w:rFonts w:cstheme="minorHAnsi"/>
                <w:color w:val="000000"/>
                <w:sz w:val="22"/>
                <w:szCs w:val="22"/>
                <w:lang w:val="en-GB"/>
              </w:rPr>
              <w:lastRenderedPageBreak/>
              <w:t>creditors, has had its activities suspended or curtailed, or is in the same or a comparable situation according to the law of the State of its incorporation.</w:t>
            </w:r>
          </w:p>
          <w:p w14:paraId="0B181E1E" w14:textId="2C9897FC" w:rsidR="00940FB1" w:rsidRPr="00560E3D" w:rsidRDefault="00940FB1" w:rsidP="00940FB1">
            <w:pPr>
              <w:spacing w:after="0" w:line="240" w:lineRule="auto"/>
              <w:jc w:val="both"/>
              <w:rPr>
                <w:rFonts w:cstheme="minorHAnsi"/>
                <w:sz w:val="22"/>
                <w:szCs w:val="22"/>
                <w:highlight w:val="lightGray"/>
                <w:lang w:val="en-G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D5121" w14:textId="101B5732" w:rsidR="00940FB1" w:rsidRPr="00560E3D" w:rsidRDefault="00940FB1" w:rsidP="00940FB1">
            <w:pPr>
              <w:pStyle w:val="NoSpacing"/>
              <w:jc w:val="both"/>
              <w:rPr>
                <w:rFonts w:eastAsia="Yu Mincho" w:cstheme="minorHAnsi"/>
                <w:sz w:val="22"/>
                <w:szCs w:val="22"/>
                <w:lang w:val="en-GB"/>
              </w:rPr>
            </w:pPr>
            <w:r w:rsidRPr="00560E3D">
              <w:rPr>
                <w:rFonts w:cstheme="minorHAnsi"/>
                <w:b/>
                <w:bCs/>
                <w:sz w:val="22"/>
                <w:szCs w:val="22"/>
                <w:lang w:val="en-GB"/>
              </w:rPr>
              <w:lastRenderedPageBreak/>
              <w:t>Article 34(2)(1) of the PPDL</w:t>
            </w:r>
          </w:p>
          <w:p w14:paraId="595E4111" w14:textId="4D18A51D" w:rsidR="00940FB1" w:rsidRPr="00560E3D" w:rsidRDefault="00940FB1" w:rsidP="00940FB1">
            <w:pPr>
              <w:pStyle w:val="NoSpacing"/>
              <w:jc w:val="both"/>
              <w:rPr>
                <w:rFonts w:eastAsia="Yu Mincho" w:cstheme="minorHAnsi"/>
                <w:sz w:val="22"/>
                <w:szCs w:val="22"/>
                <w:lang w:val="en-GB"/>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26EA7" w14:textId="2F0F2799" w:rsidR="00940FB1" w:rsidRPr="00560E3D" w:rsidRDefault="00940FB1" w:rsidP="00940FB1">
            <w:pPr>
              <w:pStyle w:val="NoSpacing"/>
              <w:jc w:val="both"/>
              <w:rPr>
                <w:rFonts w:cstheme="minorHAnsi"/>
                <w:sz w:val="22"/>
                <w:szCs w:val="22"/>
                <w:lang w:val="en-GB" w:eastAsia="en-US"/>
              </w:rPr>
            </w:pPr>
            <w:r w:rsidRPr="00560E3D">
              <w:rPr>
                <w:rFonts w:cstheme="minorHAnsi"/>
                <w:sz w:val="22"/>
                <w:szCs w:val="22"/>
                <w:lang w:val="en-GB" w:eastAsia="en-US"/>
              </w:rPr>
              <w:t>The absence of this ground for exclusion shall be declared by the Supplier in the Supplier's Declaration (Annex 8 to the Procurement Conditions).</w:t>
            </w:r>
          </w:p>
          <w:p w14:paraId="7441A67B" w14:textId="77777777" w:rsidR="00940FB1" w:rsidRPr="00560E3D" w:rsidRDefault="00940FB1" w:rsidP="00940FB1">
            <w:pPr>
              <w:spacing w:after="0" w:line="240" w:lineRule="auto"/>
              <w:jc w:val="both"/>
              <w:rPr>
                <w:rFonts w:cstheme="minorHAnsi"/>
                <w:sz w:val="22"/>
                <w:szCs w:val="22"/>
                <w:lang w:val="en-GB"/>
              </w:rPr>
            </w:pPr>
          </w:p>
          <w:p w14:paraId="1F3C8F0A" w14:textId="77777777" w:rsidR="00940FB1" w:rsidRPr="00560E3D" w:rsidRDefault="00940FB1" w:rsidP="00940FB1">
            <w:pPr>
              <w:pStyle w:val="NoSpacing"/>
              <w:jc w:val="both"/>
              <w:rPr>
                <w:rFonts w:cstheme="minorHAnsi"/>
                <w:sz w:val="22"/>
                <w:szCs w:val="22"/>
                <w:lang w:val="en-GB"/>
              </w:rPr>
            </w:pPr>
            <w:bookmarkStart w:id="8" w:name="_Hlk146009616"/>
          </w:p>
          <w:p w14:paraId="7148340B" w14:textId="77777777" w:rsidR="00940FB1" w:rsidRPr="00560E3D" w:rsidRDefault="00940FB1" w:rsidP="00940FB1">
            <w:pPr>
              <w:pStyle w:val="NoSpacing"/>
              <w:jc w:val="both"/>
              <w:rPr>
                <w:rFonts w:cstheme="minorHAnsi"/>
                <w:sz w:val="22"/>
                <w:szCs w:val="22"/>
                <w:lang w:val="en-GB"/>
              </w:rPr>
            </w:pPr>
            <w:r w:rsidRPr="00560E3D">
              <w:rPr>
                <w:rFonts w:cstheme="minorHAnsi"/>
                <w:sz w:val="22"/>
                <w:szCs w:val="22"/>
                <w:lang w:val="en-GB"/>
              </w:rPr>
              <w:t>The contracting authority shall independently verify the data in the national database at:</w:t>
            </w:r>
          </w:p>
          <w:p w14:paraId="773218A4" w14:textId="536F3705" w:rsidR="00940FB1" w:rsidRPr="00560E3D" w:rsidRDefault="00940FB1" w:rsidP="00940FB1">
            <w:pPr>
              <w:spacing w:after="0" w:line="240" w:lineRule="auto"/>
              <w:jc w:val="both"/>
              <w:rPr>
                <w:rFonts w:cstheme="minorHAnsi"/>
                <w:bCs/>
                <w:sz w:val="22"/>
                <w:szCs w:val="22"/>
                <w:lang w:val="en-GB"/>
              </w:rPr>
            </w:pPr>
            <w:hyperlink r:id="rId8" w:history="1">
              <w:r w:rsidRPr="00560E3D">
                <w:rPr>
                  <w:rStyle w:val="Hyperlink"/>
                  <w:rFonts w:cstheme="minorHAnsi"/>
                  <w:sz w:val="22"/>
                  <w:szCs w:val="22"/>
                  <w:lang w:val="en-GB"/>
                </w:rPr>
                <w:t>https://www.registrucentras.lt/jar/p/</w:t>
              </w:r>
            </w:hyperlink>
            <w:r w:rsidRPr="00560E3D">
              <w:rPr>
                <w:rFonts w:cstheme="minorHAnsi"/>
                <w:sz w:val="22"/>
                <w:szCs w:val="22"/>
                <w:lang w:val="en-GB"/>
              </w:rPr>
              <w:t>.</w:t>
            </w:r>
          </w:p>
          <w:bookmarkEnd w:id="8"/>
          <w:p w14:paraId="0D924457" w14:textId="77777777" w:rsidR="00940FB1" w:rsidRPr="00560E3D" w:rsidRDefault="00940FB1" w:rsidP="00940FB1">
            <w:pPr>
              <w:spacing w:after="0" w:line="240" w:lineRule="auto"/>
              <w:jc w:val="both"/>
              <w:rPr>
                <w:rFonts w:cstheme="minorHAnsi"/>
                <w:bCs/>
                <w:sz w:val="22"/>
                <w:szCs w:val="22"/>
                <w:lang w:val="en-GB"/>
              </w:rPr>
            </w:pPr>
          </w:p>
          <w:p w14:paraId="25664599" w14:textId="27D77DF3" w:rsidR="00940FB1" w:rsidRPr="00560E3D" w:rsidRDefault="00940FB1" w:rsidP="00940FB1">
            <w:pPr>
              <w:spacing w:after="0" w:line="240" w:lineRule="auto"/>
              <w:jc w:val="both"/>
              <w:rPr>
                <w:rFonts w:cstheme="minorHAnsi"/>
                <w:bCs/>
                <w:sz w:val="22"/>
                <w:szCs w:val="22"/>
                <w:lang w:val="en-GB"/>
              </w:rPr>
            </w:pPr>
            <w:bookmarkStart w:id="9" w:name="_Hlk146009636"/>
            <w:r w:rsidRPr="00560E3D">
              <w:rPr>
                <w:rFonts w:cstheme="minorHAnsi"/>
                <w:sz w:val="22"/>
                <w:szCs w:val="22"/>
                <w:lang w:val="en-GB"/>
              </w:rPr>
              <w:lastRenderedPageBreak/>
              <w:t>If necessary, the contracting authority shall have the right to request an extract from a court decision, if any, except in cases where the supplier has entered into a settlement agreement with creditors or has suspended or restricted its activities, if the said information cannot be provided by the State Enterprise Centre of Registers, taking into account the nature and extent of the information requested, or by a document confirming the joint data processed by the competent authorities, issued in accordance with the procedure laid down by the Government of the Republic of Lithuania.</w:t>
            </w:r>
          </w:p>
          <w:bookmarkEnd w:id="9"/>
          <w:p w14:paraId="47FEA0FC" w14:textId="77777777" w:rsidR="00940FB1" w:rsidRPr="00560E3D" w:rsidRDefault="00940FB1" w:rsidP="00940FB1">
            <w:pPr>
              <w:spacing w:after="0" w:line="240" w:lineRule="auto"/>
              <w:jc w:val="both"/>
              <w:rPr>
                <w:rFonts w:cstheme="minorHAnsi"/>
                <w:sz w:val="22"/>
                <w:szCs w:val="22"/>
                <w:lang w:val="en-GB"/>
              </w:rPr>
            </w:pPr>
          </w:p>
          <w:p w14:paraId="5076B523" w14:textId="7B62BAE3" w:rsidR="00940FB1" w:rsidRPr="00560E3D" w:rsidRDefault="00940FB1" w:rsidP="00940FB1">
            <w:pPr>
              <w:pStyle w:val="NoSpacing"/>
              <w:jc w:val="both"/>
              <w:rPr>
                <w:rFonts w:cstheme="minorHAnsi"/>
                <w:bCs/>
                <w:iCs/>
                <w:sz w:val="22"/>
                <w:szCs w:val="22"/>
                <w:lang w:val="en-GB" w:eastAsia="en-US"/>
              </w:rPr>
            </w:pPr>
            <w:r w:rsidRPr="00560E3D">
              <w:rPr>
                <w:rFonts w:cstheme="minorHAnsi"/>
                <w:sz w:val="22"/>
                <w:szCs w:val="22"/>
                <w:lang w:val="en-GB" w:eastAsia="en-US"/>
              </w:rPr>
              <w:t>Entities established outside Lithuania are required to provide a certificate or other document confirming the absence of this ground for exclusion, if available in their country</w:t>
            </w:r>
            <w:r w:rsidRPr="00560E3D">
              <w:rPr>
                <w:rStyle w:val="FootnoteReference"/>
                <w:rFonts w:cstheme="minorHAnsi"/>
                <w:sz w:val="22"/>
                <w:szCs w:val="22"/>
                <w:lang w:val="en-GB" w:eastAsia="en-US"/>
              </w:rPr>
              <w:footnoteReference w:id="5"/>
            </w:r>
            <w:r w:rsidRPr="00560E3D">
              <w:rPr>
                <w:rFonts w:cstheme="minorHAnsi"/>
                <w:sz w:val="22"/>
                <w:szCs w:val="22"/>
                <w:lang w:val="en-GB" w:eastAsia="en-US"/>
              </w:rPr>
              <w:t>.</w:t>
            </w:r>
          </w:p>
          <w:p w14:paraId="67219814" w14:textId="750FD967" w:rsidR="00940FB1" w:rsidRPr="00560E3D" w:rsidRDefault="00940FB1" w:rsidP="00940FB1">
            <w:pPr>
              <w:spacing w:after="0" w:line="240" w:lineRule="auto"/>
              <w:jc w:val="both"/>
              <w:rPr>
                <w:rFonts w:cstheme="minorHAnsi"/>
                <w:sz w:val="22"/>
                <w:szCs w:val="22"/>
                <w:lang w:val="en-GB"/>
              </w:rPr>
            </w:pPr>
          </w:p>
          <w:p w14:paraId="4B26471B" w14:textId="01C60EAC" w:rsidR="00940FB1" w:rsidRPr="00560E3D" w:rsidRDefault="00940FB1" w:rsidP="00940FB1">
            <w:pPr>
              <w:spacing w:after="0" w:line="240" w:lineRule="auto"/>
              <w:jc w:val="both"/>
              <w:rPr>
                <w:rFonts w:cstheme="minorHAnsi"/>
                <w:sz w:val="22"/>
                <w:szCs w:val="22"/>
                <w:lang w:val="en-GB"/>
              </w:rPr>
            </w:pPr>
            <w:r w:rsidRPr="00560E3D">
              <w:rPr>
                <w:rFonts w:cstheme="minorHAnsi"/>
                <w:sz w:val="22"/>
                <w:szCs w:val="22"/>
                <w:lang w:val="en-GB"/>
              </w:rPr>
              <w:t xml:space="preserve">The documents must be issued no earlier than 120 days before the deadline for receipt of applications. </w:t>
            </w:r>
          </w:p>
          <w:p w14:paraId="0038564E" w14:textId="1682A663" w:rsidR="00940FB1" w:rsidRPr="00560E3D" w:rsidRDefault="00940FB1" w:rsidP="00940FB1">
            <w:pPr>
              <w:spacing w:after="0" w:line="240" w:lineRule="auto"/>
              <w:jc w:val="both"/>
              <w:rPr>
                <w:rFonts w:cstheme="minorHAnsi"/>
                <w:sz w:val="22"/>
                <w:szCs w:val="22"/>
                <w:lang w:val="en-GB"/>
              </w:rPr>
            </w:pPr>
            <w:r w:rsidRPr="00560E3D">
              <w:rPr>
                <w:rFonts w:cstheme="minorHAnsi"/>
                <w:sz w:val="22"/>
                <w:szCs w:val="22"/>
                <w:lang w:val="en-GB"/>
              </w:rPr>
              <w:t>If the document is issued earlier but has a validity period longer than the deadline for receipt of applications, it shall be acceptable during its validity period.</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FFD94" w14:textId="573A4A53" w:rsidR="00940FB1" w:rsidRPr="00560E3D" w:rsidRDefault="00940FB1" w:rsidP="00940FB1">
            <w:pPr>
              <w:pStyle w:val="NoSpacing"/>
              <w:ind w:left="132" w:right="132"/>
              <w:jc w:val="both"/>
              <w:rPr>
                <w:rFonts w:cstheme="minorHAnsi"/>
                <w:sz w:val="22"/>
                <w:szCs w:val="22"/>
                <w:lang w:val="en-GB" w:eastAsia="en-US"/>
              </w:rPr>
            </w:pPr>
            <w:r w:rsidRPr="00560E3D">
              <w:rPr>
                <w:rFonts w:cstheme="minorHAnsi"/>
                <w:sz w:val="22"/>
                <w:szCs w:val="22"/>
                <w:lang w:val="en-GB"/>
              </w:rPr>
              <w:lastRenderedPageBreak/>
              <w:t xml:space="preserve">The supplier, each member of a group of economic operators, and any sub-suppliers whose capabilities are relied on by the supplier </w:t>
            </w:r>
            <w:proofErr w:type="gramStart"/>
            <w:r w:rsidRPr="00560E3D">
              <w:rPr>
                <w:rFonts w:cstheme="minorHAnsi"/>
                <w:sz w:val="22"/>
                <w:szCs w:val="22"/>
                <w:lang w:val="en-GB"/>
              </w:rPr>
              <w:t>in order to</w:t>
            </w:r>
            <w:proofErr w:type="gramEnd"/>
            <w:r w:rsidRPr="00560E3D">
              <w:rPr>
                <w:rFonts w:cstheme="minorHAnsi"/>
                <w:sz w:val="22"/>
                <w:szCs w:val="22"/>
                <w:lang w:val="en-GB"/>
              </w:rPr>
              <w:t xml:space="preserve"> meet the qualification </w:t>
            </w:r>
            <w:r w:rsidRPr="00560E3D">
              <w:rPr>
                <w:rFonts w:cstheme="minorHAnsi"/>
                <w:sz w:val="22"/>
                <w:szCs w:val="22"/>
                <w:lang w:val="en-GB"/>
              </w:rPr>
              <w:lastRenderedPageBreak/>
              <w:t>requirements set out in the procurement conditions.</w:t>
            </w:r>
          </w:p>
        </w:tc>
      </w:tr>
    </w:tbl>
    <w:p w14:paraId="49A9F278" w14:textId="77777777" w:rsidR="00A4676E" w:rsidRPr="00560E3D" w:rsidRDefault="00A4676E" w:rsidP="000323A6">
      <w:pPr>
        <w:spacing w:after="0"/>
        <w:rPr>
          <w:rFonts w:cstheme="minorHAnsi"/>
          <w:sz w:val="22"/>
          <w:szCs w:val="22"/>
          <w:lang w:val="en-GB"/>
        </w:rPr>
      </w:pPr>
    </w:p>
    <w:p w14:paraId="45196359" w14:textId="303AEF51" w:rsidR="00A4676E" w:rsidRPr="00560E3D" w:rsidRDefault="008B714C" w:rsidP="008179BA">
      <w:pPr>
        <w:pStyle w:val="ListParagraph"/>
        <w:numPr>
          <w:ilvl w:val="0"/>
          <w:numId w:val="10"/>
        </w:numPr>
        <w:spacing w:after="0"/>
        <w:ind w:left="0" w:firstLine="851"/>
        <w:rPr>
          <w:rFonts w:cstheme="minorHAnsi"/>
          <w:b/>
          <w:bCs/>
          <w:sz w:val="22"/>
          <w:szCs w:val="22"/>
          <w:lang w:val="en-GB"/>
        </w:rPr>
      </w:pPr>
      <w:r w:rsidRPr="00560E3D">
        <w:rPr>
          <w:rFonts w:cstheme="minorHAnsi"/>
          <w:b/>
          <w:bCs/>
          <w:color w:val="000000"/>
          <w:sz w:val="22"/>
          <w:szCs w:val="22"/>
          <w:lang w:val="en-GB"/>
        </w:rPr>
        <w:t>Fitness to conduct business:</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F76FB4" w:rsidRPr="00560E3D" w14:paraId="674A7AF3" w14:textId="77777777" w:rsidTr="00560E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1CBCB254" w14:textId="3214C766" w:rsidR="00F76FB4" w:rsidRPr="00560E3D" w:rsidRDefault="008B714C" w:rsidP="000323A6">
            <w:pPr>
              <w:pStyle w:val="NoSpacing"/>
              <w:spacing w:line="276" w:lineRule="auto"/>
              <w:jc w:val="center"/>
              <w:rPr>
                <w:rFonts w:cstheme="minorHAnsi"/>
                <w:sz w:val="22"/>
                <w:szCs w:val="22"/>
                <w:lang w:val="en-GB"/>
              </w:rPr>
            </w:pPr>
            <w:r w:rsidRPr="00560E3D">
              <w:rPr>
                <w:rFonts w:cstheme="minorHAnsi"/>
                <w:sz w:val="22"/>
                <w:szCs w:val="22"/>
                <w:lang w:val="en-GB"/>
              </w:rPr>
              <w:t>No.</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E120408" w14:textId="5E078E07" w:rsidR="00F76FB4" w:rsidRPr="00560E3D" w:rsidRDefault="008B714C" w:rsidP="000323A6">
            <w:pPr>
              <w:pStyle w:val="NoSpacing"/>
              <w:spacing w:line="276" w:lineRule="auto"/>
              <w:jc w:val="center"/>
              <w:rPr>
                <w:rFonts w:cstheme="minorHAnsi"/>
                <w:sz w:val="22"/>
                <w:szCs w:val="22"/>
                <w:lang w:val="en-GB"/>
              </w:rPr>
            </w:pPr>
            <w:r w:rsidRPr="00560E3D">
              <w:rPr>
                <w:rFonts w:cstheme="minorHAnsi"/>
                <w:sz w:val="22"/>
                <w:szCs w:val="22"/>
                <w:lang w:val="en-GB"/>
              </w:rPr>
              <w:t>Qualification requirement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4314D45" w14:textId="4E530FF2" w:rsidR="00F76FB4" w:rsidRPr="00560E3D" w:rsidRDefault="008B714C" w:rsidP="000323A6">
            <w:pPr>
              <w:pStyle w:val="NoSpacing"/>
              <w:spacing w:line="276" w:lineRule="auto"/>
              <w:jc w:val="center"/>
              <w:rPr>
                <w:rFonts w:eastAsia="Yu Mincho" w:cstheme="minorHAnsi"/>
                <w:b/>
                <w:bCs/>
                <w:sz w:val="22"/>
                <w:szCs w:val="22"/>
                <w:lang w:val="en-GB"/>
              </w:rPr>
            </w:pPr>
            <w:r w:rsidRPr="00560E3D">
              <w:rPr>
                <w:rFonts w:eastAsia="Yu Mincho" w:cstheme="minorHAnsi"/>
                <w:b/>
                <w:bCs/>
                <w:sz w:val="22"/>
                <w:szCs w:val="22"/>
                <w:lang w:val="en-GB"/>
              </w:rPr>
              <w:t>Article, paragraph, clause of the PPDL</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26E29E8" w14:textId="1A376153" w:rsidR="00F76FB4" w:rsidRPr="00560E3D" w:rsidRDefault="009C514D" w:rsidP="000323A6">
            <w:pPr>
              <w:pStyle w:val="NoSpacing"/>
              <w:spacing w:line="276" w:lineRule="auto"/>
              <w:jc w:val="center"/>
              <w:rPr>
                <w:rFonts w:cstheme="minorHAnsi"/>
                <w:sz w:val="22"/>
                <w:szCs w:val="22"/>
                <w:lang w:val="en-GB" w:eastAsia="en-US"/>
              </w:rPr>
            </w:pPr>
            <w:r w:rsidRPr="00560E3D">
              <w:rPr>
                <w:rFonts w:cstheme="minorHAnsi"/>
                <w:sz w:val="22"/>
                <w:szCs w:val="22"/>
                <w:lang w:val="en-GB" w:eastAsia="en-US"/>
              </w:rPr>
              <w:t>Supporting documents</w:t>
            </w:r>
          </w:p>
        </w:tc>
      </w:tr>
      <w:tr w:rsidR="00940FB1" w:rsidRPr="00560E3D" w14:paraId="09428635" w14:textId="77777777" w:rsidTr="00560E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p w14:paraId="3020DD1B" w14:textId="5DCF8F4B" w:rsidR="00940FB1" w:rsidRPr="00560E3D" w:rsidRDefault="00940FB1" w:rsidP="00940FB1">
            <w:pPr>
              <w:pStyle w:val="NoSpacing"/>
              <w:rPr>
                <w:rFonts w:cstheme="minorHAnsi"/>
                <w:sz w:val="22"/>
                <w:szCs w:val="22"/>
                <w:lang w:val="en-GB"/>
              </w:rPr>
            </w:pPr>
            <w:r w:rsidRPr="00560E3D">
              <w:rPr>
                <w:rFonts w:cstheme="minorHAnsi"/>
                <w:sz w:val="22"/>
                <w:szCs w:val="22"/>
                <w:lang w:val="en-GB"/>
              </w:rPr>
              <w:t xml:space="preserve">8.1.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D8054" w14:textId="59A72C95" w:rsidR="00940FB1" w:rsidRPr="00560E3D" w:rsidRDefault="00940FB1" w:rsidP="00940FB1">
            <w:pPr>
              <w:spacing w:after="0" w:line="240" w:lineRule="auto"/>
              <w:jc w:val="both"/>
              <w:rPr>
                <w:rFonts w:cstheme="minorHAnsi"/>
                <w:color w:val="000000"/>
                <w:sz w:val="22"/>
                <w:szCs w:val="22"/>
                <w:lang w:val="en-GB"/>
              </w:rPr>
            </w:pPr>
            <w:r w:rsidRPr="00963387">
              <w:rPr>
                <w:rFonts w:cstheme="minorHAnsi"/>
                <w:color w:val="000000"/>
                <w:sz w:val="22"/>
                <w:szCs w:val="22"/>
                <w:lang w:val="en-GB"/>
              </w:rPr>
              <w:t>The supplier has the right to carry out the activities necessary for the performance of the contract</w:t>
            </w:r>
            <w:r>
              <w:rPr>
                <w:rFonts w:cstheme="minorHAnsi"/>
                <w:color w:val="000000"/>
                <w:sz w:val="22"/>
                <w:szCs w:val="22"/>
                <w:lang w:val="en-GB"/>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6D164" w14:textId="53DABB76" w:rsidR="00940FB1" w:rsidRPr="00560E3D" w:rsidRDefault="00940FB1" w:rsidP="00940FB1">
            <w:pPr>
              <w:pStyle w:val="NoSpacing"/>
              <w:jc w:val="both"/>
              <w:rPr>
                <w:rFonts w:eastAsia="Yu Mincho" w:cstheme="minorHAnsi"/>
                <w:sz w:val="22"/>
                <w:szCs w:val="22"/>
                <w:lang w:val="en-GB" w:eastAsia="en-US"/>
              </w:rPr>
            </w:pPr>
            <w:r w:rsidRPr="00963387">
              <w:rPr>
                <w:rFonts w:cstheme="minorHAnsi"/>
                <w:b/>
                <w:bCs/>
                <w:sz w:val="22"/>
                <w:szCs w:val="22"/>
                <w:lang w:val="en-GB" w:eastAsia="en-US"/>
              </w:rPr>
              <w:t>Article 33(1)(2) of the PPDL</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7A6B1" w14:textId="589985A0" w:rsidR="00940FB1" w:rsidRPr="00560E3D" w:rsidRDefault="00940FB1" w:rsidP="00940FB1">
            <w:pPr>
              <w:pStyle w:val="NoSpacing"/>
              <w:jc w:val="both"/>
              <w:rPr>
                <w:rFonts w:cstheme="minorHAnsi"/>
                <w:sz w:val="22"/>
                <w:szCs w:val="22"/>
                <w:lang w:val="en-GB"/>
              </w:rPr>
            </w:pPr>
            <w:r w:rsidRPr="00963387">
              <w:rPr>
                <w:rFonts w:cstheme="minorHAnsi"/>
                <w:color w:val="000000"/>
                <w:sz w:val="22"/>
                <w:szCs w:val="22"/>
                <w:lang w:val="en-GB"/>
              </w:rPr>
              <w:t>The supplier's qualification as regards the right to pursue the activity in question is not verified and the supplier undertakes to the contracting authority that the contract will be performed only by persons who are so qualified</w:t>
            </w:r>
          </w:p>
        </w:tc>
      </w:tr>
    </w:tbl>
    <w:p w14:paraId="7D315CC5" w14:textId="77777777" w:rsidR="00F76FB4" w:rsidRPr="00560E3D" w:rsidRDefault="00F76FB4" w:rsidP="000323A6">
      <w:pPr>
        <w:spacing w:after="0"/>
        <w:rPr>
          <w:rFonts w:cstheme="minorHAnsi"/>
          <w:sz w:val="22"/>
          <w:szCs w:val="22"/>
          <w:lang w:val="en-GB"/>
        </w:rPr>
      </w:pPr>
    </w:p>
    <w:p w14:paraId="3285F71D" w14:textId="77777777" w:rsidR="00A4676E" w:rsidRPr="00560E3D" w:rsidRDefault="00A4676E" w:rsidP="000323A6">
      <w:pPr>
        <w:spacing w:after="0"/>
        <w:rPr>
          <w:rFonts w:cstheme="minorHAnsi"/>
          <w:sz w:val="22"/>
          <w:szCs w:val="22"/>
          <w:lang w:val="en-GB"/>
        </w:rPr>
      </w:pPr>
    </w:p>
    <w:p w14:paraId="3BAACEB9" w14:textId="3B5E903B" w:rsidR="00A4676E" w:rsidRPr="00560E3D" w:rsidRDefault="007E2B7F" w:rsidP="008179BA">
      <w:pPr>
        <w:pStyle w:val="ListParagraph"/>
        <w:numPr>
          <w:ilvl w:val="0"/>
          <w:numId w:val="10"/>
        </w:numPr>
        <w:tabs>
          <w:tab w:val="left" w:pos="0"/>
        </w:tabs>
        <w:spacing w:after="0"/>
        <w:ind w:left="0" w:firstLine="851"/>
        <w:jc w:val="both"/>
        <w:rPr>
          <w:rFonts w:eastAsia="Times New Roman" w:cstheme="minorHAnsi"/>
          <w:b/>
          <w:bCs/>
          <w:color w:val="000000" w:themeColor="text1"/>
          <w:spacing w:val="-8"/>
          <w:sz w:val="22"/>
          <w:szCs w:val="22"/>
          <w:lang w:val="en-GB" w:eastAsia="en-US"/>
        </w:rPr>
      </w:pPr>
      <w:r w:rsidRPr="00560E3D">
        <w:rPr>
          <w:rFonts w:cstheme="minorHAnsi"/>
          <w:b/>
          <w:bCs/>
          <w:color w:val="000000"/>
          <w:sz w:val="22"/>
          <w:szCs w:val="22"/>
          <w:lang w:val="en-GB"/>
        </w:rPr>
        <w:t>The supplier must meet the minimum technical and professional capacity requirements of the candidates/participants and provide evidence of their qualifications with the application</w:t>
      </w:r>
      <w:r w:rsidR="00A4676E" w:rsidRPr="00560E3D">
        <w:rPr>
          <w:rFonts w:eastAsia="Times New Roman" w:cstheme="minorHAnsi"/>
          <w:b/>
          <w:bCs/>
          <w:color w:val="000000" w:themeColor="text1"/>
          <w:spacing w:val="-8"/>
          <w:sz w:val="22"/>
          <w:szCs w:val="22"/>
          <w:lang w:val="en-GB" w:eastAsia="en-US"/>
        </w:rPr>
        <w:t>:</w:t>
      </w:r>
    </w:p>
    <w:p w14:paraId="22C965D4" w14:textId="77777777" w:rsidR="00A4676E" w:rsidRPr="00560E3D" w:rsidRDefault="00A4676E" w:rsidP="000323A6">
      <w:pPr>
        <w:tabs>
          <w:tab w:val="left" w:pos="0"/>
        </w:tabs>
        <w:spacing w:after="0"/>
        <w:contextualSpacing/>
        <w:jc w:val="both"/>
        <w:rPr>
          <w:rFonts w:eastAsia="Times New Roman" w:cstheme="minorHAnsi"/>
          <w:color w:val="000000" w:themeColor="text1"/>
          <w:spacing w:val="-8"/>
          <w:sz w:val="22"/>
          <w:szCs w:val="22"/>
          <w:lang w:val="en-GB" w:eastAsia="en-US"/>
        </w:rPr>
      </w:pPr>
    </w:p>
    <w:tbl>
      <w:tblPr>
        <w:tblW w:w="5230"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706"/>
        <w:gridCol w:w="5828"/>
        <w:gridCol w:w="4369"/>
      </w:tblGrid>
      <w:tr w:rsidR="00A4676E" w:rsidRPr="00560E3D" w14:paraId="43F4A815" w14:textId="77777777" w:rsidTr="00560E3D">
        <w:trPr>
          <w:trHeight w:val="241"/>
        </w:trPr>
        <w:tc>
          <w:tcPr>
            <w:tcW w:w="243" w:type="pct"/>
            <w:shd w:val="clear" w:color="auto" w:fill="F2F2F2"/>
            <w:vAlign w:val="center"/>
          </w:tcPr>
          <w:p w14:paraId="23542898" w14:textId="550D629A" w:rsidR="00A4676E" w:rsidRPr="00560E3D" w:rsidRDefault="007E2B7F" w:rsidP="000323A6">
            <w:pPr>
              <w:spacing w:after="0"/>
              <w:jc w:val="both"/>
              <w:rPr>
                <w:rFonts w:eastAsia="Calibri" w:cstheme="minorHAnsi"/>
                <w:b/>
                <w:color w:val="000000" w:themeColor="text1"/>
                <w:spacing w:val="-8"/>
                <w:sz w:val="22"/>
                <w:szCs w:val="22"/>
                <w:lang w:val="en-GB" w:eastAsia="en-US"/>
              </w:rPr>
            </w:pPr>
            <w:r w:rsidRPr="00560E3D">
              <w:rPr>
                <w:rFonts w:eastAsia="Calibri" w:cstheme="minorHAnsi"/>
                <w:b/>
                <w:color w:val="000000" w:themeColor="text1"/>
                <w:spacing w:val="-8"/>
                <w:sz w:val="22"/>
                <w:szCs w:val="22"/>
                <w:lang w:val="en-GB" w:eastAsia="en-US"/>
              </w:rPr>
              <w:t>No.</w:t>
            </w:r>
          </w:p>
        </w:tc>
        <w:tc>
          <w:tcPr>
            <w:tcW w:w="1268" w:type="pct"/>
            <w:shd w:val="clear" w:color="auto" w:fill="F2F2F2"/>
            <w:vAlign w:val="center"/>
          </w:tcPr>
          <w:p w14:paraId="6EA619FF" w14:textId="0F62F879" w:rsidR="00A4676E" w:rsidRPr="00560E3D" w:rsidRDefault="007E2B7F" w:rsidP="000323A6">
            <w:pPr>
              <w:spacing w:after="0"/>
              <w:jc w:val="center"/>
              <w:rPr>
                <w:rFonts w:eastAsia="Calibri" w:cstheme="minorHAnsi"/>
                <w:b/>
                <w:color w:val="000000" w:themeColor="text1"/>
                <w:spacing w:val="-8"/>
                <w:sz w:val="22"/>
                <w:szCs w:val="22"/>
                <w:lang w:val="en-GB" w:eastAsia="en-US"/>
              </w:rPr>
            </w:pPr>
            <w:r w:rsidRPr="00560E3D">
              <w:rPr>
                <w:rFonts w:eastAsia="Calibri" w:cstheme="minorHAnsi"/>
                <w:b/>
                <w:color w:val="000000" w:themeColor="text1"/>
                <w:spacing w:val="-8"/>
                <w:sz w:val="22"/>
                <w:szCs w:val="22"/>
                <w:lang w:val="en-GB" w:eastAsia="en-US"/>
              </w:rPr>
              <w:t>Qualification requirement</w:t>
            </w:r>
          </w:p>
        </w:tc>
        <w:tc>
          <w:tcPr>
            <w:tcW w:w="1994" w:type="pct"/>
            <w:shd w:val="clear" w:color="auto" w:fill="F2F2F2"/>
            <w:vAlign w:val="center"/>
          </w:tcPr>
          <w:p w14:paraId="7540301D" w14:textId="3CC00A98" w:rsidR="00A4676E" w:rsidRPr="00560E3D" w:rsidRDefault="009825B5" w:rsidP="000323A6">
            <w:pPr>
              <w:spacing w:after="0"/>
              <w:jc w:val="center"/>
              <w:rPr>
                <w:rFonts w:eastAsia="Calibri" w:cstheme="minorHAnsi"/>
                <w:b/>
                <w:color w:val="000000" w:themeColor="text1"/>
                <w:spacing w:val="-8"/>
                <w:sz w:val="22"/>
                <w:szCs w:val="22"/>
                <w:lang w:val="en-GB" w:eastAsia="en-US"/>
              </w:rPr>
            </w:pPr>
            <w:r w:rsidRPr="00560E3D">
              <w:rPr>
                <w:rFonts w:eastAsia="Calibri" w:cstheme="minorHAnsi"/>
                <w:b/>
                <w:color w:val="000000" w:themeColor="text1"/>
                <w:spacing w:val="-8"/>
                <w:sz w:val="22"/>
                <w:szCs w:val="22"/>
                <w:lang w:val="en-GB" w:eastAsia="en-US"/>
              </w:rPr>
              <w:t>Documents proving compliance</w:t>
            </w:r>
          </w:p>
        </w:tc>
        <w:tc>
          <w:tcPr>
            <w:tcW w:w="1495" w:type="pct"/>
            <w:shd w:val="clear" w:color="auto" w:fill="F2F2F2"/>
          </w:tcPr>
          <w:p w14:paraId="3A82B8B4" w14:textId="4CBF9788" w:rsidR="00A4676E" w:rsidRPr="00560E3D" w:rsidRDefault="009825B5" w:rsidP="000323A6">
            <w:pPr>
              <w:spacing w:after="0"/>
              <w:jc w:val="center"/>
              <w:rPr>
                <w:rFonts w:eastAsia="Calibri" w:cstheme="minorHAnsi"/>
                <w:b/>
                <w:color w:val="000000" w:themeColor="text1"/>
                <w:spacing w:val="-8"/>
                <w:sz w:val="22"/>
                <w:szCs w:val="22"/>
                <w:highlight w:val="yellow"/>
                <w:lang w:val="en-GB" w:eastAsia="en-US"/>
              </w:rPr>
            </w:pPr>
            <w:r w:rsidRPr="00560E3D">
              <w:rPr>
                <w:rFonts w:eastAsia="Calibri" w:cstheme="minorHAnsi"/>
                <w:b/>
                <w:color w:val="000000" w:themeColor="text1"/>
                <w:spacing w:val="-8"/>
                <w:sz w:val="22"/>
                <w:szCs w:val="22"/>
                <w:lang w:val="en-GB" w:eastAsia="en-US"/>
              </w:rPr>
              <w:t>Entity that must meet the qualification requirement</w:t>
            </w:r>
          </w:p>
        </w:tc>
      </w:tr>
      <w:tr w:rsidR="00940FB1" w:rsidRPr="00560E3D" w14:paraId="473B1212" w14:textId="77777777" w:rsidTr="00560E3D">
        <w:trPr>
          <w:trHeight w:val="257"/>
        </w:trPr>
        <w:tc>
          <w:tcPr>
            <w:tcW w:w="243" w:type="pct"/>
            <w:shd w:val="clear" w:color="auto" w:fill="F2F2F2"/>
            <w:vAlign w:val="center"/>
          </w:tcPr>
          <w:p w14:paraId="1BE10D8A" w14:textId="20B586C3" w:rsidR="00940FB1" w:rsidRPr="00560E3D" w:rsidRDefault="00940FB1" w:rsidP="00940FB1">
            <w:pPr>
              <w:tabs>
                <w:tab w:val="left" w:pos="284"/>
                <w:tab w:val="left" w:pos="459"/>
              </w:tabs>
              <w:spacing w:after="0"/>
              <w:rPr>
                <w:rFonts w:eastAsia="Calibri" w:cstheme="minorHAnsi"/>
                <w:color w:val="000000" w:themeColor="text1"/>
                <w:spacing w:val="-8"/>
                <w:sz w:val="22"/>
                <w:szCs w:val="22"/>
                <w:lang w:val="en-GB" w:eastAsia="en-US"/>
              </w:rPr>
            </w:pPr>
            <w:r w:rsidRPr="00560E3D">
              <w:rPr>
                <w:rFonts w:eastAsia="Calibri" w:cstheme="minorHAnsi"/>
                <w:color w:val="000000" w:themeColor="text1"/>
                <w:spacing w:val="-8"/>
                <w:sz w:val="22"/>
                <w:szCs w:val="22"/>
                <w:lang w:val="en-GB" w:eastAsia="en-US"/>
              </w:rPr>
              <w:t>9.1.</w:t>
            </w:r>
          </w:p>
        </w:tc>
        <w:tc>
          <w:tcPr>
            <w:tcW w:w="1268" w:type="pct"/>
          </w:tcPr>
          <w:p w14:paraId="100B5B38" w14:textId="31C277A5" w:rsidR="00940FB1" w:rsidRPr="00EC1FDE" w:rsidRDefault="00940FB1" w:rsidP="00940FB1">
            <w:pPr>
              <w:widowControl w:val="0"/>
              <w:tabs>
                <w:tab w:val="left" w:pos="1276"/>
              </w:tabs>
              <w:spacing w:after="0" w:line="240" w:lineRule="auto"/>
              <w:jc w:val="both"/>
              <w:outlineLvl w:val="1"/>
              <w:rPr>
                <w:rFonts w:cstheme="minorHAnsi"/>
                <w:sz w:val="22"/>
                <w:szCs w:val="22"/>
                <w:lang w:val="en-GB"/>
              </w:rPr>
            </w:pPr>
            <w:r w:rsidRPr="00EC1FDE">
              <w:rPr>
                <w:rFonts w:cstheme="minorHAnsi"/>
                <w:sz w:val="22"/>
                <w:szCs w:val="22"/>
                <w:lang w:val="en-GB"/>
              </w:rPr>
              <w:t xml:space="preserve">The Supplier has, within the last 5 years or within the period from the date of registration of the Supplier (if the Supplier has been in business for less than 5 years) until the deadline for submission of tenders, manufactured and/or sold the ballistic protection equipment on its own account, under one or more contracts, for a value of at least </w:t>
            </w:r>
            <w:r w:rsidR="003B58E8">
              <w:rPr>
                <w:rFonts w:cstheme="minorHAnsi"/>
                <w:sz w:val="22"/>
                <w:szCs w:val="22"/>
                <w:lang w:val="en-GB"/>
              </w:rPr>
              <w:t>1,0</w:t>
            </w:r>
            <w:r w:rsidRPr="00EC1FDE">
              <w:rPr>
                <w:rFonts w:cstheme="minorHAnsi"/>
                <w:sz w:val="22"/>
                <w:szCs w:val="22"/>
                <w:lang w:val="en-GB"/>
              </w:rPr>
              <w:t>00,000.00 EUR, exclusive of VAT (for ongoing contracts, the completed part).</w:t>
            </w:r>
          </w:p>
          <w:p w14:paraId="1EB730CA" w14:textId="77777777" w:rsidR="00940FB1" w:rsidRPr="00EC1FDE" w:rsidRDefault="00940FB1" w:rsidP="00940FB1">
            <w:pPr>
              <w:widowControl w:val="0"/>
              <w:tabs>
                <w:tab w:val="left" w:pos="1276"/>
              </w:tabs>
              <w:spacing w:after="0" w:line="240" w:lineRule="auto"/>
              <w:jc w:val="both"/>
              <w:outlineLvl w:val="1"/>
              <w:rPr>
                <w:rFonts w:cstheme="minorHAnsi"/>
                <w:sz w:val="22"/>
                <w:szCs w:val="22"/>
                <w:lang w:val="en-GB"/>
              </w:rPr>
            </w:pPr>
          </w:p>
          <w:p w14:paraId="74D766C2" w14:textId="77777777" w:rsidR="00940FB1" w:rsidRPr="00EC1FDE" w:rsidRDefault="00940FB1" w:rsidP="00940FB1">
            <w:pPr>
              <w:widowControl w:val="0"/>
              <w:tabs>
                <w:tab w:val="left" w:pos="1276"/>
              </w:tabs>
              <w:spacing w:after="0" w:line="240" w:lineRule="auto"/>
              <w:jc w:val="both"/>
              <w:outlineLvl w:val="1"/>
              <w:rPr>
                <w:rFonts w:cstheme="minorHAnsi"/>
                <w:sz w:val="22"/>
                <w:szCs w:val="22"/>
                <w:lang w:val="en-GB"/>
              </w:rPr>
            </w:pPr>
            <w:r w:rsidRPr="00EC1FDE">
              <w:rPr>
                <w:rFonts w:cstheme="minorHAnsi"/>
                <w:sz w:val="22"/>
                <w:szCs w:val="22"/>
                <w:lang w:val="en-GB"/>
              </w:rPr>
              <w:t xml:space="preserve">A sale is understood as the fulfilment by one party (the seller) of its contractual obligations under a sale </w:t>
            </w:r>
            <w:r w:rsidRPr="00EC1FDE">
              <w:rPr>
                <w:rFonts w:cstheme="minorHAnsi"/>
                <w:sz w:val="22"/>
                <w:szCs w:val="22"/>
                <w:lang w:val="en-GB"/>
              </w:rPr>
              <w:lastRenderedPageBreak/>
              <w:t>and purchase agreement, as defined in Article 6.305(1) of the Civil Code of the Republic of Lithuania (CC).  If the seller's obligations under a particular sales contract include the delivery and/or installation of goods, the value of these services shall be included in the total value.</w:t>
            </w:r>
          </w:p>
          <w:p w14:paraId="068E1538" w14:textId="77777777" w:rsidR="00940FB1" w:rsidRPr="00EC1FDE" w:rsidRDefault="00940FB1" w:rsidP="00940FB1">
            <w:pPr>
              <w:spacing w:after="0" w:line="240" w:lineRule="auto"/>
              <w:contextualSpacing/>
              <w:jc w:val="both"/>
              <w:rPr>
                <w:rFonts w:cstheme="minorHAnsi"/>
                <w:sz w:val="22"/>
                <w:szCs w:val="22"/>
                <w:lang w:val="en-GB"/>
              </w:rPr>
            </w:pPr>
          </w:p>
          <w:p w14:paraId="2DC7267B" w14:textId="77777777" w:rsidR="00940FB1" w:rsidRPr="00560E3D" w:rsidRDefault="00940FB1" w:rsidP="00940FB1">
            <w:pPr>
              <w:spacing w:after="0" w:line="240" w:lineRule="auto"/>
              <w:contextualSpacing/>
              <w:jc w:val="both"/>
              <w:rPr>
                <w:rFonts w:eastAsia="Calibri" w:cstheme="minorHAnsi"/>
                <w:color w:val="000000" w:themeColor="text1"/>
                <w:spacing w:val="-8"/>
                <w:sz w:val="22"/>
                <w:szCs w:val="22"/>
                <w:lang w:val="en-GB" w:eastAsia="en-US"/>
              </w:rPr>
            </w:pPr>
          </w:p>
        </w:tc>
        <w:tc>
          <w:tcPr>
            <w:tcW w:w="1994" w:type="pct"/>
          </w:tcPr>
          <w:p w14:paraId="494F21F6" w14:textId="77777777" w:rsidR="00940FB1" w:rsidRPr="00EC1FDE" w:rsidRDefault="00940FB1" w:rsidP="00940FB1">
            <w:pPr>
              <w:spacing w:after="0" w:line="240" w:lineRule="auto"/>
              <w:jc w:val="both"/>
              <w:rPr>
                <w:rFonts w:cstheme="minorHAnsi"/>
                <w:sz w:val="22"/>
                <w:szCs w:val="22"/>
                <w:lang w:val="en-GB"/>
              </w:rPr>
            </w:pPr>
            <w:r w:rsidRPr="00EC1FDE">
              <w:rPr>
                <w:rFonts w:cstheme="minorHAnsi"/>
                <w:sz w:val="22"/>
                <w:szCs w:val="22"/>
                <w:lang w:val="en-GB"/>
              </w:rPr>
              <w:lastRenderedPageBreak/>
              <w:t>1) A list of goods manufactured and/or sold by the supplier during the last 5 years or during the period from the date of registration of the supplier (if the supplier has been in business for less than 5 (three) years), in accordance with the form set out in Annex 5 to the Procurement Conditions, "Supplier's list of goods".</w:t>
            </w:r>
          </w:p>
          <w:p w14:paraId="7BD6B3C1" w14:textId="77777777" w:rsidR="00940FB1" w:rsidRPr="00EC1FDE" w:rsidRDefault="00940FB1" w:rsidP="00940FB1">
            <w:pPr>
              <w:spacing w:after="0" w:line="240" w:lineRule="auto"/>
              <w:jc w:val="both"/>
              <w:rPr>
                <w:rFonts w:cstheme="minorHAnsi"/>
                <w:sz w:val="22"/>
                <w:szCs w:val="22"/>
                <w:lang w:val="en-GB"/>
              </w:rPr>
            </w:pPr>
            <w:r w:rsidRPr="00EC1FDE">
              <w:rPr>
                <w:rFonts w:cstheme="minorHAnsi"/>
                <w:sz w:val="22"/>
                <w:szCs w:val="22"/>
                <w:lang w:val="en-GB"/>
              </w:rPr>
              <w:t xml:space="preserve">2) certificates from the customers of the contracts in the supplier's list on the proper performance of the contract or other documents of the customer and/or supplier proving the proper performance of the contract. </w:t>
            </w:r>
            <w:proofErr w:type="gramStart"/>
            <w:r w:rsidRPr="00EC1FDE">
              <w:rPr>
                <w:rFonts w:cstheme="minorHAnsi"/>
                <w:sz w:val="22"/>
                <w:szCs w:val="22"/>
                <w:lang w:val="en-GB"/>
              </w:rPr>
              <w:t>In the event that</w:t>
            </w:r>
            <w:proofErr w:type="gramEnd"/>
            <w:r w:rsidRPr="00EC1FDE">
              <w:rPr>
                <w:rFonts w:cstheme="minorHAnsi"/>
                <w:sz w:val="22"/>
                <w:szCs w:val="22"/>
                <w:lang w:val="en-GB"/>
              </w:rPr>
              <w:t xml:space="preserve"> the supplier does not provide the customer's documents in support of the proper performance of the contract, he must at the same time provide an explanation of how those documents prove the proper performance of the contract. </w:t>
            </w:r>
          </w:p>
          <w:p w14:paraId="76BAE7B3" w14:textId="77777777" w:rsidR="00940FB1" w:rsidRPr="00EC1FDE" w:rsidRDefault="00940FB1" w:rsidP="00940FB1">
            <w:pPr>
              <w:widowControl w:val="0"/>
              <w:tabs>
                <w:tab w:val="left" w:pos="1276"/>
              </w:tabs>
              <w:spacing w:after="0" w:line="240" w:lineRule="auto"/>
              <w:jc w:val="both"/>
              <w:outlineLvl w:val="1"/>
              <w:rPr>
                <w:rFonts w:cstheme="minorHAnsi"/>
                <w:sz w:val="22"/>
                <w:szCs w:val="22"/>
                <w:lang w:val="en-GB"/>
              </w:rPr>
            </w:pPr>
            <w:r w:rsidRPr="00EC1FDE">
              <w:rPr>
                <w:rFonts w:cstheme="minorHAnsi"/>
                <w:sz w:val="22"/>
                <w:szCs w:val="22"/>
                <w:lang w:val="en-GB"/>
              </w:rPr>
              <w:t xml:space="preserve">It is considered that the proper performance of the contract is justified if the supporting documents (certificates, etc.) indicate </w:t>
            </w:r>
            <w:r w:rsidRPr="00EC1FDE">
              <w:rPr>
                <w:rFonts w:cstheme="minorHAnsi"/>
                <w:sz w:val="22"/>
                <w:szCs w:val="22"/>
                <w:lang w:val="en-GB"/>
              </w:rPr>
              <w:lastRenderedPageBreak/>
              <w:t>the properly performed contractual obligations.</w:t>
            </w:r>
          </w:p>
          <w:p w14:paraId="7B57B024" w14:textId="77777777" w:rsidR="00940FB1" w:rsidRPr="00EC1FDE" w:rsidRDefault="00940FB1" w:rsidP="00940FB1">
            <w:pPr>
              <w:widowControl w:val="0"/>
              <w:tabs>
                <w:tab w:val="left" w:pos="1276"/>
              </w:tabs>
              <w:spacing w:after="0" w:line="240" w:lineRule="auto"/>
              <w:jc w:val="both"/>
              <w:outlineLvl w:val="1"/>
              <w:rPr>
                <w:rFonts w:cstheme="minorHAnsi"/>
                <w:sz w:val="22"/>
                <w:szCs w:val="22"/>
                <w:lang w:val="en-GB"/>
              </w:rPr>
            </w:pPr>
          </w:p>
          <w:p w14:paraId="6E0D477E" w14:textId="77777777" w:rsidR="00940FB1" w:rsidRPr="00EC1FDE" w:rsidRDefault="00940FB1" w:rsidP="00940FB1">
            <w:pPr>
              <w:widowControl w:val="0"/>
              <w:tabs>
                <w:tab w:val="left" w:pos="1276"/>
              </w:tabs>
              <w:spacing w:after="0" w:line="240" w:lineRule="auto"/>
              <w:jc w:val="both"/>
              <w:outlineLvl w:val="1"/>
              <w:rPr>
                <w:rFonts w:cstheme="minorHAnsi"/>
                <w:sz w:val="22"/>
                <w:szCs w:val="22"/>
                <w:lang w:val="en-GB"/>
              </w:rPr>
            </w:pPr>
            <w:r w:rsidRPr="00EC1FDE">
              <w:rPr>
                <w:rFonts w:cstheme="minorHAnsi"/>
                <w:sz w:val="22"/>
                <w:szCs w:val="22"/>
                <w:lang w:val="en-GB"/>
              </w:rPr>
              <w:t xml:space="preserve">The contracting authority may, on a separate request, ask for copies or extracts of executed contracts and documents describing the subject-matter of the project (e.g. terms of reference, handover certificates) </w:t>
            </w:r>
            <w:proofErr w:type="gramStart"/>
            <w:r w:rsidRPr="00EC1FDE">
              <w:rPr>
                <w:rFonts w:cstheme="minorHAnsi"/>
                <w:sz w:val="22"/>
                <w:szCs w:val="22"/>
                <w:lang w:val="en-GB"/>
              </w:rPr>
              <w:t>in order to</w:t>
            </w:r>
            <w:proofErr w:type="gramEnd"/>
            <w:r w:rsidRPr="00EC1FDE">
              <w:rPr>
                <w:rFonts w:cstheme="minorHAnsi"/>
                <w:sz w:val="22"/>
                <w:szCs w:val="22"/>
                <w:lang w:val="en-GB"/>
              </w:rPr>
              <w:t xml:space="preserve"> verify or to clarify the information provided.</w:t>
            </w:r>
          </w:p>
          <w:p w14:paraId="0E7C94B4" w14:textId="77777777" w:rsidR="00940FB1" w:rsidRPr="00EC1FDE" w:rsidRDefault="00940FB1" w:rsidP="00940FB1">
            <w:pPr>
              <w:widowControl w:val="0"/>
              <w:tabs>
                <w:tab w:val="left" w:pos="1276"/>
              </w:tabs>
              <w:spacing w:after="0" w:line="240" w:lineRule="auto"/>
              <w:jc w:val="both"/>
              <w:outlineLvl w:val="1"/>
              <w:rPr>
                <w:rFonts w:cstheme="minorHAnsi"/>
                <w:sz w:val="22"/>
                <w:szCs w:val="22"/>
                <w:lang w:val="en-GB"/>
              </w:rPr>
            </w:pPr>
            <w:r w:rsidRPr="00EC1FDE">
              <w:rPr>
                <w:rFonts w:cstheme="minorHAnsi"/>
                <w:sz w:val="22"/>
                <w:szCs w:val="22"/>
                <w:lang w:val="en-GB"/>
              </w:rPr>
              <w:t xml:space="preserve">The contracting authority reserves the right to contact the customer's contact person indicated by the supplier without prior notice </w:t>
            </w:r>
            <w:proofErr w:type="gramStart"/>
            <w:r w:rsidRPr="00EC1FDE">
              <w:rPr>
                <w:rFonts w:cstheme="minorHAnsi"/>
                <w:sz w:val="22"/>
                <w:szCs w:val="22"/>
                <w:lang w:val="en-GB"/>
              </w:rPr>
              <w:t>in order to</w:t>
            </w:r>
            <w:proofErr w:type="gramEnd"/>
            <w:r w:rsidRPr="00EC1FDE">
              <w:rPr>
                <w:rFonts w:cstheme="minorHAnsi"/>
                <w:sz w:val="22"/>
                <w:szCs w:val="22"/>
                <w:lang w:val="en-GB"/>
              </w:rPr>
              <w:t xml:space="preserve"> clarify the information on the goods produced and/or sold.</w:t>
            </w:r>
          </w:p>
          <w:p w14:paraId="5C616E78" w14:textId="77777777" w:rsidR="00940FB1" w:rsidRPr="00EC1FDE" w:rsidRDefault="00940FB1" w:rsidP="00940FB1">
            <w:pPr>
              <w:widowControl w:val="0"/>
              <w:tabs>
                <w:tab w:val="left" w:pos="1276"/>
              </w:tabs>
              <w:spacing w:after="0" w:line="240" w:lineRule="auto"/>
              <w:jc w:val="both"/>
              <w:outlineLvl w:val="1"/>
              <w:rPr>
                <w:rFonts w:cstheme="minorHAnsi"/>
                <w:sz w:val="22"/>
                <w:szCs w:val="22"/>
                <w:lang w:val="en-GB"/>
              </w:rPr>
            </w:pPr>
          </w:p>
          <w:p w14:paraId="01DD372A" w14:textId="20D7CA76" w:rsidR="00940FB1" w:rsidRPr="00560E3D" w:rsidRDefault="00940FB1" w:rsidP="00940FB1">
            <w:pPr>
              <w:widowControl w:val="0"/>
              <w:tabs>
                <w:tab w:val="left" w:pos="1276"/>
              </w:tabs>
              <w:spacing w:after="0" w:line="240" w:lineRule="auto"/>
              <w:jc w:val="both"/>
              <w:outlineLvl w:val="1"/>
              <w:rPr>
                <w:rFonts w:eastAsia="Calibri" w:cstheme="minorHAnsi"/>
                <w:color w:val="000000" w:themeColor="text1"/>
                <w:spacing w:val="-8"/>
                <w:sz w:val="22"/>
                <w:szCs w:val="22"/>
                <w:u w:val="single"/>
                <w:lang w:val="en-GB" w:eastAsia="en-US"/>
              </w:rPr>
            </w:pPr>
            <w:r w:rsidRPr="00EC1FDE">
              <w:rPr>
                <w:rFonts w:cstheme="minorHAnsi"/>
                <w:sz w:val="22"/>
                <w:szCs w:val="22"/>
                <w:lang w:val="en-GB"/>
              </w:rPr>
              <w:t>Digital copies of documents are provided.</w:t>
            </w:r>
          </w:p>
        </w:tc>
        <w:tc>
          <w:tcPr>
            <w:tcW w:w="1495" w:type="pct"/>
          </w:tcPr>
          <w:p w14:paraId="49B1D973" w14:textId="77777777" w:rsidR="00940FB1" w:rsidRPr="00EC1FDE" w:rsidRDefault="00940FB1" w:rsidP="00940FB1">
            <w:pPr>
              <w:widowControl w:val="0"/>
              <w:tabs>
                <w:tab w:val="left" w:pos="1276"/>
              </w:tabs>
              <w:spacing w:after="0" w:line="240" w:lineRule="auto"/>
              <w:jc w:val="both"/>
              <w:outlineLvl w:val="1"/>
              <w:rPr>
                <w:rFonts w:cstheme="minorHAnsi"/>
                <w:sz w:val="22"/>
                <w:szCs w:val="22"/>
                <w:lang w:val="en-GB"/>
              </w:rPr>
            </w:pPr>
            <w:r w:rsidRPr="00EC1FDE">
              <w:rPr>
                <w:rFonts w:cstheme="minorHAnsi"/>
                <w:sz w:val="22"/>
                <w:szCs w:val="22"/>
                <w:lang w:val="en-GB"/>
              </w:rPr>
              <w:lastRenderedPageBreak/>
              <w:t xml:space="preserve">In the case of a group of economic operators, the requirement must be met by all the members of the group of economic operators jointly (the experience of the members of the group of economic operators is aggregated), </w:t>
            </w:r>
            <w:proofErr w:type="gramStart"/>
            <w:r w:rsidRPr="00EC1FDE">
              <w:rPr>
                <w:rFonts w:cstheme="minorHAnsi"/>
                <w:sz w:val="22"/>
                <w:szCs w:val="22"/>
                <w:lang w:val="en-GB"/>
              </w:rPr>
              <w:t>taking into account</w:t>
            </w:r>
            <w:proofErr w:type="gramEnd"/>
            <w:r w:rsidRPr="00EC1FDE">
              <w:rPr>
                <w:rFonts w:cstheme="minorHAnsi"/>
                <w:sz w:val="22"/>
                <w:szCs w:val="22"/>
                <w:lang w:val="en-GB"/>
              </w:rPr>
              <w:t xml:space="preserve"> the commitments they have made. </w:t>
            </w:r>
          </w:p>
          <w:p w14:paraId="46EFDA22" w14:textId="77777777" w:rsidR="00940FB1" w:rsidRPr="00EC1FDE" w:rsidRDefault="00940FB1" w:rsidP="00940FB1">
            <w:pPr>
              <w:widowControl w:val="0"/>
              <w:tabs>
                <w:tab w:val="left" w:pos="1276"/>
              </w:tabs>
              <w:spacing w:after="0" w:line="240" w:lineRule="auto"/>
              <w:jc w:val="both"/>
              <w:outlineLvl w:val="1"/>
              <w:rPr>
                <w:rFonts w:cstheme="minorHAnsi"/>
                <w:sz w:val="22"/>
                <w:szCs w:val="22"/>
                <w:lang w:val="en-GB"/>
              </w:rPr>
            </w:pPr>
            <w:r w:rsidRPr="00EC1FDE">
              <w:rPr>
                <w:rFonts w:cstheme="minorHAnsi"/>
                <w:sz w:val="22"/>
                <w:szCs w:val="22"/>
                <w:lang w:val="en-GB"/>
              </w:rPr>
              <w:t xml:space="preserve">The supplier may rely on the capacities of other economic operators only if those other economic operators will themselves perform the part of the contract for which their capacities are required. </w:t>
            </w:r>
          </w:p>
          <w:p w14:paraId="7A901D85" w14:textId="77777777" w:rsidR="00940FB1" w:rsidRPr="00EC1FDE" w:rsidRDefault="00940FB1" w:rsidP="00940FB1">
            <w:pPr>
              <w:widowControl w:val="0"/>
              <w:tabs>
                <w:tab w:val="left" w:pos="1276"/>
              </w:tabs>
              <w:spacing w:after="0" w:line="240" w:lineRule="auto"/>
              <w:jc w:val="both"/>
              <w:outlineLvl w:val="1"/>
              <w:rPr>
                <w:rFonts w:cstheme="minorHAnsi"/>
                <w:sz w:val="22"/>
                <w:szCs w:val="22"/>
                <w:lang w:val="en-GB"/>
              </w:rPr>
            </w:pPr>
            <w:r w:rsidRPr="00EC1FDE">
              <w:rPr>
                <w:rFonts w:cstheme="minorHAnsi"/>
                <w:sz w:val="22"/>
                <w:szCs w:val="22"/>
                <w:lang w:val="en-GB"/>
              </w:rPr>
              <w:t>Subcontractors are not subject to this requirement.</w:t>
            </w:r>
          </w:p>
          <w:p w14:paraId="3169E9CC" w14:textId="05C968FD" w:rsidR="00940FB1" w:rsidRPr="00560E3D" w:rsidRDefault="00940FB1" w:rsidP="00940FB1">
            <w:pPr>
              <w:spacing w:after="0" w:line="240" w:lineRule="auto"/>
              <w:jc w:val="both"/>
              <w:rPr>
                <w:rFonts w:eastAsia="Calibri" w:cstheme="minorHAnsi"/>
                <w:color w:val="000000" w:themeColor="text1"/>
                <w:spacing w:val="-8"/>
                <w:sz w:val="22"/>
                <w:szCs w:val="22"/>
                <w:lang w:val="en-GB" w:eastAsia="en-US"/>
              </w:rPr>
            </w:pPr>
            <w:r w:rsidRPr="00EC1FDE">
              <w:rPr>
                <w:rFonts w:cstheme="minorHAnsi"/>
                <w:sz w:val="22"/>
                <w:szCs w:val="22"/>
                <w:lang w:val="en-GB"/>
              </w:rPr>
              <w:t xml:space="preserve">The supplier shall not be precluded from relying on a contract which the supplier has </w:t>
            </w:r>
            <w:r w:rsidRPr="00EC1FDE">
              <w:rPr>
                <w:rFonts w:cstheme="minorHAnsi"/>
                <w:sz w:val="22"/>
                <w:szCs w:val="22"/>
                <w:lang w:val="en-GB"/>
              </w:rPr>
              <w:lastRenderedPageBreak/>
              <w:t xml:space="preserve">performed not alone but jointly with other economic operators. However, in such a case, it is the goods produced and/or sold by the </w:t>
            </w:r>
            <w:proofErr w:type="gramStart"/>
            <w:r w:rsidRPr="00EC1FDE">
              <w:rPr>
                <w:rFonts w:cstheme="minorHAnsi"/>
                <w:sz w:val="22"/>
                <w:szCs w:val="22"/>
                <w:lang w:val="en-GB"/>
              </w:rPr>
              <w:t>particular supplier</w:t>
            </w:r>
            <w:proofErr w:type="gramEnd"/>
            <w:r w:rsidRPr="00EC1FDE">
              <w:rPr>
                <w:rFonts w:cstheme="minorHAnsi"/>
                <w:sz w:val="22"/>
                <w:szCs w:val="22"/>
                <w:lang w:val="en-GB"/>
              </w:rPr>
              <w:t xml:space="preserve"> participating in the procurement, their volume and value, which are assessed, and not the entire subject-matter of the contract.</w:t>
            </w:r>
          </w:p>
        </w:tc>
      </w:tr>
    </w:tbl>
    <w:p w14:paraId="741D6E03" w14:textId="3C9BE6AC" w:rsidR="007E7761" w:rsidRPr="00560E3D" w:rsidRDefault="00837327" w:rsidP="000323A6">
      <w:pPr>
        <w:spacing w:after="0"/>
        <w:rPr>
          <w:rFonts w:cstheme="minorHAnsi"/>
          <w:sz w:val="22"/>
          <w:szCs w:val="22"/>
          <w:lang w:val="en-GB"/>
        </w:rPr>
      </w:pPr>
      <w:r w:rsidRPr="00560E3D">
        <w:rPr>
          <w:rFonts w:cstheme="minorHAnsi"/>
          <w:sz w:val="22"/>
          <w:szCs w:val="22"/>
          <w:lang w:val="en-GB"/>
        </w:rPr>
        <w:lastRenderedPageBreak/>
        <w:tab/>
      </w:r>
    </w:p>
    <w:p w14:paraId="50509730" w14:textId="0A59853A" w:rsidR="00837327" w:rsidRPr="00560E3D" w:rsidRDefault="007C5DD8" w:rsidP="00837327">
      <w:pPr>
        <w:pStyle w:val="ListParagraph"/>
        <w:numPr>
          <w:ilvl w:val="0"/>
          <w:numId w:val="10"/>
        </w:numPr>
        <w:tabs>
          <w:tab w:val="left" w:pos="0"/>
        </w:tabs>
        <w:spacing w:after="0"/>
        <w:jc w:val="both"/>
        <w:rPr>
          <w:rFonts w:eastAsia="Times New Roman" w:cstheme="minorHAnsi"/>
          <w:b/>
          <w:bCs/>
          <w:color w:val="000000" w:themeColor="text1"/>
          <w:spacing w:val="-8"/>
          <w:sz w:val="22"/>
          <w:szCs w:val="22"/>
          <w:lang w:val="en-GB" w:eastAsia="en-US"/>
        </w:rPr>
      </w:pPr>
      <w:r w:rsidRPr="00560E3D">
        <w:rPr>
          <w:rFonts w:cstheme="minorHAnsi"/>
          <w:b/>
          <w:bCs/>
          <w:color w:val="000000"/>
          <w:sz w:val="22"/>
          <w:szCs w:val="22"/>
          <w:lang w:val="en-GB"/>
        </w:rPr>
        <w:t>The Supplier must comply with national security requirements and provide documentary evidence of this with the application:</w:t>
      </w:r>
    </w:p>
    <w:tbl>
      <w:tblPr>
        <w:tblW w:w="14596" w:type="dxa"/>
        <w:tblLayout w:type="fixed"/>
        <w:tblCellMar>
          <w:left w:w="10" w:type="dxa"/>
          <w:right w:w="10" w:type="dxa"/>
        </w:tblCellMar>
        <w:tblLook w:val="04A0" w:firstRow="1" w:lastRow="0" w:firstColumn="1" w:lastColumn="0" w:noHBand="0" w:noVBand="1"/>
      </w:tblPr>
      <w:tblGrid>
        <w:gridCol w:w="900"/>
        <w:gridCol w:w="5049"/>
        <w:gridCol w:w="1984"/>
        <w:gridCol w:w="4678"/>
        <w:gridCol w:w="1985"/>
      </w:tblGrid>
      <w:tr w:rsidR="009C4A17" w:rsidRPr="00560E3D" w14:paraId="18500DF4" w14:textId="77777777" w:rsidTr="001C438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6C2E59A" w14:textId="7DC795C9" w:rsidR="009C4A17" w:rsidRPr="00560E3D" w:rsidRDefault="007C5DD8" w:rsidP="009C4A17">
            <w:pPr>
              <w:pStyle w:val="NoSpacing"/>
              <w:spacing w:line="276" w:lineRule="auto"/>
              <w:jc w:val="center"/>
              <w:rPr>
                <w:rFonts w:cstheme="minorHAnsi"/>
                <w:sz w:val="22"/>
                <w:szCs w:val="22"/>
                <w:lang w:val="en-GB"/>
              </w:rPr>
            </w:pPr>
            <w:r w:rsidRPr="00560E3D">
              <w:rPr>
                <w:rFonts w:eastAsia="Calibri" w:cstheme="minorHAnsi"/>
                <w:b/>
                <w:color w:val="000000" w:themeColor="text1"/>
                <w:spacing w:val="-8"/>
                <w:sz w:val="22"/>
                <w:szCs w:val="22"/>
                <w:lang w:val="en-GB" w:eastAsia="en-US"/>
              </w:rPr>
              <w:t>No.</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DEF0A53" w14:textId="179E0A00" w:rsidR="009C4A17" w:rsidRPr="00560E3D" w:rsidRDefault="00217F69" w:rsidP="009C4A17">
            <w:pPr>
              <w:pStyle w:val="NoSpacing"/>
              <w:spacing w:line="276" w:lineRule="auto"/>
              <w:jc w:val="center"/>
              <w:rPr>
                <w:rFonts w:cstheme="minorHAnsi"/>
                <w:sz w:val="22"/>
                <w:szCs w:val="22"/>
                <w:lang w:val="en-GB"/>
              </w:rPr>
            </w:pPr>
            <w:r w:rsidRPr="00560E3D">
              <w:rPr>
                <w:rFonts w:eastAsia="Calibri" w:cstheme="minorHAnsi"/>
                <w:b/>
                <w:color w:val="000000" w:themeColor="text1"/>
                <w:spacing w:val="-8"/>
                <w:sz w:val="22"/>
                <w:szCs w:val="22"/>
                <w:lang w:val="en-GB" w:eastAsia="en-US"/>
              </w:rPr>
              <w:t>National security requirements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66C19FF" w14:textId="4BEEF53C" w:rsidR="009C4A17" w:rsidRPr="00560E3D" w:rsidRDefault="00217F69" w:rsidP="009C4A17">
            <w:pPr>
              <w:pStyle w:val="NoSpacing"/>
              <w:spacing w:line="276" w:lineRule="auto"/>
              <w:jc w:val="center"/>
              <w:rPr>
                <w:rFonts w:eastAsia="Yu Mincho" w:cstheme="minorHAnsi"/>
                <w:sz w:val="22"/>
                <w:szCs w:val="22"/>
                <w:lang w:val="en-GB"/>
              </w:rPr>
            </w:pPr>
            <w:r w:rsidRPr="00560E3D">
              <w:rPr>
                <w:rFonts w:eastAsia="Yu Mincho" w:cstheme="minorHAnsi"/>
                <w:b/>
                <w:bCs/>
                <w:sz w:val="22"/>
                <w:szCs w:val="22"/>
                <w:lang w:val="en-GB"/>
              </w:rPr>
              <w:t>Article, paragraph, clause of the PPDL</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C2E319E" w14:textId="40F40E88" w:rsidR="009C4A17" w:rsidRPr="00560E3D" w:rsidRDefault="00217F69" w:rsidP="009C4A17">
            <w:pPr>
              <w:pStyle w:val="NoSpacing"/>
              <w:spacing w:line="276" w:lineRule="auto"/>
              <w:jc w:val="center"/>
              <w:rPr>
                <w:rFonts w:cstheme="minorHAnsi"/>
                <w:sz w:val="22"/>
                <w:szCs w:val="22"/>
                <w:lang w:val="en-GB" w:eastAsia="en-US"/>
              </w:rPr>
            </w:pPr>
            <w:r w:rsidRPr="00560E3D">
              <w:rPr>
                <w:rFonts w:eastAsia="Calibri" w:cstheme="minorHAnsi"/>
                <w:b/>
                <w:color w:val="000000" w:themeColor="text1"/>
                <w:spacing w:val="-8"/>
                <w:sz w:val="22"/>
                <w:szCs w:val="22"/>
                <w:lang w:val="en-GB" w:eastAsia="en-US"/>
              </w:rPr>
              <w:t>Documents proving compliance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332360A" w14:textId="11AFD71D" w:rsidR="009C4A17" w:rsidRPr="00560E3D" w:rsidRDefault="00217F69" w:rsidP="009C4A17">
            <w:pPr>
              <w:pStyle w:val="NoSpacing"/>
              <w:spacing w:line="276" w:lineRule="auto"/>
              <w:jc w:val="center"/>
              <w:rPr>
                <w:rFonts w:cstheme="minorHAnsi"/>
                <w:sz w:val="22"/>
                <w:szCs w:val="22"/>
                <w:lang w:val="en-GB" w:eastAsia="en-US"/>
              </w:rPr>
            </w:pPr>
            <w:r w:rsidRPr="00560E3D">
              <w:rPr>
                <w:rFonts w:eastAsia="Calibri" w:cstheme="minorHAnsi"/>
                <w:b/>
                <w:color w:val="000000" w:themeColor="text1"/>
                <w:spacing w:val="-8"/>
                <w:sz w:val="22"/>
                <w:szCs w:val="22"/>
                <w:lang w:val="en-GB" w:eastAsia="en-US"/>
              </w:rPr>
              <w:t>Entity that has the qualification requirement</w:t>
            </w:r>
          </w:p>
        </w:tc>
      </w:tr>
      <w:tr w:rsidR="009C4A17" w:rsidRPr="00560E3D" w14:paraId="11E22521" w14:textId="77777777" w:rsidTr="00F97A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p w14:paraId="6E4B6A2E" w14:textId="31F31F3E" w:rsidR="009C4A17" w:rsidRPr="00560E3D" w:rsidRDefault="009C4A17" w:rsidP="00F97A4E">
            <w:pPr>
              <w:pStyle w:val="NoSpacing"/>
              <w:spacing w:line="276" w:lineRule="auto"/>
              <w:rPr>
                <w:rFonts w:cstheme="minorHAnsi"/>
                <w:sz w:val="22"/>
                <w:szCs w:val="22"/>
                <w:lang w:val="en-GB"/>
              </w:rPr>
            </w:pPr>
            <w:r w:rsidRPr="00560E3D">
              <w:rPr>
                <w:rFonts w:cstheme="minorHAnsi"/>
                <w:sz w:val="22"/>
                <w:szCs w:val="22"/>
                <w:lang w:val="en-GB"/>
              </w:rPr>
              <w:t xml:space="preserve">10.1.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882B6" w14:textId="1DA6C490" w:rsidR="009C4A17" w:rsidRPr="00560E3D" w:rsidRDefault="005D546B" w:rsidP="00560E3D">
            <w:pPr>
              <w:spacing w:after="0" w:line="240" w:lineRule="auto"/>
              <w:jc w:val="both"/>
              <w:rPr>
                <w:rFonts w:eastAsia="Times New Roman" w:cstheme="minorHAnsi"/>
                <w:color w:val="000000"/>
                <w:sz w:val="22"/>
                <w:szCs w:val="22"/>
                <w:lang w:val="en-GB"/>
              </w:rPr>
            </w:pPr>
            <w:r w:rsidRPr="00560E3D">
              <w:rPr>
                <w:rFonts w:eastAsia="Times New Roman" w:cstheme="minorHAnsi"/>
                <w:color w:val="000000"/>
                <w:sz w:val="22"/>
                <w:szCs w:val="22"/>
                <w:lang w:val="en-GB"/>
              </w:rPr>
              <w:t>In the event of mobilisation, war, a state of emergency, or where the Government, having assessed the risk that the factors which have led to the declaration of mobilisation, the imposition of martial law or a state of emergency are endangering national security, has taken a decision on the applicability of this clause, the contracting authority may reject a tender or proposal if at least one of the following conditions or sub-conditions of a condition chosen by the contracting authority is present:</w:t>
            </w:r>
          </w:p>
          <w:p w14:paraId="1F5B59BC" w14:textId="77777777" w:rsidR="009C4A17" w:rsidRPr="00560E3D" w:rsidRDefault="009C4A17" w:rsidP="00560E3D">
            <w:pPr>
              <w:spacing w:after="0" w:line="240" w:lineRule="auto"/>
              <w:jc w:val="both"/>
              <w:rPr>
                <w:rFonts w:eastAsia="Times New Roman" w:cstheme="minorHAnsi"/>
                <w:color w:val="000000"/>
                <w:sz w:val="22"/>
                <w:szCs w:val="22"/>
                <w:lang w:val="en-GB"/>
              </w:rPr>
            </w:pPr>
            <w:r w:rsidRPr="00560E3D">
              <w:rPr>
                <w:rFonts w:eastAsia="Times New Roman" w:cstheme="minorHAnsi"/>
                <w:color w:val="000000"/>
                <w:sz w:val="22"/>
                <w:szCs w:val="22"/>
                <w:lang w:val="en-GB"/>
              </w:rPr>
              <w:lastRenderedPageBreak/>
              <w:t xml:space="preserve">1) </w:t>
            </w:r>
            <w:r w:rsidR="00E32E54" w:rsidRPr="00560E3D">
              <w:rPr>
                <w:rFonts w:eastAsia="Times New Roman" w:cstheme="minorHAnsi"/>
                <w:color w:val="000000"/>
                <w:sz w:val="22"/>
                <w:szCs w:val="22"/>
                <w:lang w:val="en-GB"/>
              </w:rPr>
              <w:t>the supplier, its subcontractor, the economic operators whose capacities are relied upon, the manufacturer of the goods (including their components, packaging) proposed by the supplier, or the persons controlling them, are legal persons registered in the countries or territories referred to in the list referred to in Article 92(15) of the Public Procurement Law;</w:t>
            </w:r>
          </w:p>
          <w:p w14:paraId="003A5222" w14:textId="77777777" w:rsidR="000B72AF" w:rsidRPr="00560E3D" w:rsidRDefault="009C4A17" w:rsidP="00560E3D">
            <w:pPr>
              <w:spacing w:after="0" w:line="240" w:lineRule="auto"/>
              <w:jc w:val="both"/>
              <w:rPr>
                <w:rFonts w:eastAsia="Times New Roman" w:cstheme="minorHAnsi"/>
                <w:color w:val="000000"/>
                <w:sz w:val="22"/>
                <w:szCs w:val="22"/>
                <w:lang w:val="en-GB"/>
              </w:rPr>
            </w:pPr>
            <w:r w:rsidRPr="00560E3D">
              <w:rPr>
                <w:rFonts w:eastAsia="Times New Roman" w:cstheme="minorHAnsi"/>
                <w:color w:val="000000"/>
                <w:sz w:val="22"/>
                <w:szCs w:val="22"/>
                <w:lang w:val="en-GB"/>
              </w:rPr>
              <w:t xml:space="preserve">2) </w:t>
            </w:r>
            <w:r w:rsidR="000B72AF" w:rsidRPr="00560E3D">
              <w:rPr>
                <w:rFonts w:eastAsia="Times New Roman" w:cstheme="minorHAnsi"/>
                <w:color w:val="000000"/>
                <w:sz w:val="22"/>
                <w:szCs w:val="22"/>
                <w:lang w:val="en-GB"/>
              </w:rPr>
              <w:t>the supplier, his subcontractor, the entity whose capacities are relied upon, the manufacturer of the goods (including their components, packaging) offered by the supplier, or the persons controlling them, are natural persons residing permanently in the countries or territories referred to in the list referred to in Article 92, paragraph 15 of the Public Procurement Law, or are nationals of those countries;</w:t>
            </w:r>
          </w:p>
          <w:p w14:paraId="01EFD192" w14:textId="7F181785" w:rsidR="009C4A17" w:rsidRPr="00560E3D" w:rsidRDefault="009C4A17" w:rsidP="00560E3D">
            <w:pPr>
              <w:spacing w:after="0" w:line="240" w:lineRule="auto"/>
              <w:jc w:val="both"/>
              <w:rPr>
                <w:rFonts w:eastAsia="Times New Roman" w:cstheme="minorHAnsi"/>
                <w:color w:val="000000"/>
                <w:sz w:val="22"/>
                <w:szCs w:val="22"/>
                <w:lang w:val="en-GB"/>
              </w:rPr>
            </w:pPr>
            <w:r w:rsidRPr="00560E3D">
              <w:rPr>
                <w:rFonts w:eastAsia="Times New Roman" w:cstheme="minorHAnsi"/>
                <w:color w:val="000000"/>
                <w:sz w:val="22"/>
                <w:szCs w:val="22"/>
                <w:lang w:val="en-GB"/>
              </w:rPr>
              <w:t xml:space="preserve">3) </w:t>
            </w:r>
            <w:r w:rsidR="00D70515" w:rsidRPr="00560E3D">
              <w:rPr>
                <w:rFonts w:eastAsia="Times New Roman" w:cstheme="minorHAnsi"/>
                <w:color w:val="000000"/>
                <w:sz w:val="22"/>
                <w:szCs w:val="22"/>
                <w:lang w:val="en-GB"/>
              </w:rPr>
              <w:t>the origin of the goods (including their components, packaging) or the provision of the services is from the countries or territories referred to in the list provided for in Article 92(15) of the Public Procurement Law;</w:t>
            </w:r>
          </w:p>
          <w:p w14:paraId="684774C6" w14:textId="5C3B4CAC" w:rsidR="009C4A17" w:rsidRPr="00560E3D" w:rsidRDefault="009C4A17" w:rsidP="00560E3D">
            <w:pPr>
              <w:spacing w:after="0" w:line="240" w:lineRule="auto"/>
              <w:jc w:val="both"/>
              <w:rPr>
                <w:rFonts w:eastAsia="Times New Roman" w:cstheme="minorHAnsi"/>
                <w:color w:val="000000"/>
                <w:sz w:val="22"/>
                <w:szCs w:val="22"/>
                <w:lang w:val="en-GB"/>
              </w:rPr>
            </w:pPr>
            <w:r w:rsidRPr="00560E3D">
              <w:rPr>
                <w:rFonts w:eastAsia="Times New Roman" w:cstheme="minorHAnsi"/>
                <w:color w:val="000000"/>
                <w:sz w:val="22"/>
                <w:szCs w:val="22"/>
                <w:lang w:val="en-GB"/>
              </w:rPr>
              <w:t xml:space="preserve">4) </w:t>
            </w:r>
            <w:r w:rsidR="00A852DD" w:rsidRPr="00560E3D">
              <w:rPr>
                <w:rFonts w:eastAsia="Times New Roman" w:cstheme="minorHAnsi"/>
                <w:color w:val="000000"/>
                <w:sz w:val="22"/>
                <w:szCs w:val="22"/>
                <w:lang w:val="en-GB"/>
              </w:rPr>
              <w:t>the Government, in accordance with the criteria laid down in the Law on Protection of Objects of Importance for National Security, has adopted a decision confirming that the entities referred to in points 1 and 2 of this paragraph or the transaction to be concluded with them are not in the interests of national security;</w:t>
            </w:r>
          </w:p>
          <w:p w14:paraId="247C8975" w14:textId="77777777" w:rsidR="009C4A17" w:rsidRDefault="009C4A17" w:rsidP="00560E3D">
            <w:pPr>
              <w:spacing w:after="0" w:line="240" w:lineRule="auto"/>
              <w:jc w:val="both"/>
              <w:rPr>
                <w:rFonts w:eastAsia="Times New Roman" w:cstheme="minorHAnsi"/>
                <w:color w:val="000000"/>
                <w:sz w:val="22"/>
                <w:szCs w:val="22"/>
                <w:lang w:val="en-GB"/>
              </w:rPr>
            </w:pPr>
            <w:r w:rsidRPr="00560E3D">
              <w:rPr>
                <w:rFonts w:eastAsia="Times New Roman" w:cstheme="minorHAnsi"/>
                <w:color w:val="000000"/>
                <w:sz w:val="22"/>
                <w:szCs w:val="22"/>
                <w:lang w:val="en-GB"/>
              </w:rPr>
              <w:lastRenderedPageBreak/>
              <w:t xml:space="preserve">5) </w:t>
            </w:r>
            <w:r w:rsidR="00A852DD" w:rsidRPr="00560E3D">
              <w:rPr>
                <w:rFonts w:eastAsia="Times New Roman" w:cstheme="minorHAnsi"/>
                <w:color w:val="000000"/>
                <w:sz w:val="22"/>
                <w:szCs w:val="22"/>
                <w:lang w:val="en-GB"/>
              </w:rPr>
              <w:t>the contracting authority has information from the competent authorities that the entities referred to in points (1) and (2) of this paragraph have an interest which may be considered a threat to national security.</w:t>
            </w:r>
          </w:p>
          <w:p w14:paraId="45BF6F5D" w14:textId="42DF6C43" w:rsidR="00560E3D" w:rsidRPr="00560E3D" w:rsidRDefault="00560E3D" w:rsidP="00560E3D">
            <w:pPr>
              <w:spacing w:after="0" w:line="240" w:lineRule="auto"/>
              <w:jc w:val="both"/>
              <w:rPr>
                <w:rFonts w:cstheme="minorHAnsi"/>
                <w:color w:val="000000"/>
                <w:sz w:val="22"/>
                <w:szCs w:val="22"/>
                <w:lang w:val="en-GB"/>
              </w:rPr>
            </w:pPr>
            <w:r w:rsidRPr="00560E3D">
              <w:rPr>
                <w:rFonts w:cstheme="minorHAnsi"/>
                <w:color w:val="000000"/>
                <w:sz w:val="22"/>
                <w:szCs w:val="22"/>
                <w:lang w:val="en-GB"/>
              </w:rPr>
              <w:t>6) the supplier, its subcontractor, the economic operator whose capacities are relied upon, is operating in the countries or territories referred to in the list referred to in Article 92(15) of the LPP, or is a member of, or the head of, a group of economic operators, any member of which is operating in the countries or territories referred to in the list referred to in Article 92(15) of the LPP, another member of a management or supervisory body or any other person(s) having the right to represent or control the supplier, subcontractor, economic operator whose capabilities are relied upon, to take a decision on its behalf or to conclude a contract, and thus participates in the activities of such groups of economic operators and/or economic operators.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B3C40" w14:textId="5359F5A3" w:rsidR="009C4A17" w:rsidRPr="00560E3D" w:rsidRDefault="00940FB1" w:rsidP="00560E3D">
            <w:pPr>
              <w:pStyle w:val="NoSpacing"/>
              <w:jc w:val="both"/>
              <w:rPr>
                <w:rFonts w:eastAsia="Yu Mincho" w:cstheme="minorHAnsi"/>
                <w:sz w:val="22"/>
                <w:szCs w:val="22"/>
                <w:lang w:val="en-GB" w:eastAsia="en-US"/>
              </w:rPr>
            </w:pPr>
            <w:r w:rsidRPr="00EC1FDE">
              <w:rPr>
                <w:rFonts w:cstheme="minorHAnsi"/>
                <w:b/>
                <w:bCs/>
                <w:sz w:val="22"/>
                <w:szCs w:val="22"/>
                <w:lang w:val="en-GB"/>
              </w:rPr>
              <w:lastRenderedPageBreak/>
              <w:t>Article 33 (9) of the PPDL</w:t>
            </w:r>
            <w:r w:rsidRPr="00560E3D">
              <w:rPr>
                <w:rFonts w:eastAsia="Yu Mincho" w:cstheme="minorHAnsi"/>
                <w:sz w:val="22"/>
                <w:szCs w:val="22"/>
                <w:lang w:val="en-GB" w:eastAsia="en-US"/>
              </w:rPr>
              <w:t xml:space="preserve">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4F1D8" w14:textId="42D23095" w:rsidR="009C4A17" w:rsidRPr="00560E3D" w:rsidRDefault="005D4B7B" w:rsidP="00560E3D">
            <w:pPr>
              <w:pStyle w:val="NoSpacing"/>
              <w:jc w:val="both"/>
              <w:rPr>
                <w:rFonts w:cstheme="minorHAnsi"/>
                <w:sz w:val="22"/>
                <w:szCs w:val="22"/>
                <w:lang w:val="en-GB"/>
              </w:rPr>
            </w:pPr>
            <w:r w:rsidRPr="00560E3D">
              <w:rPr>
                <w:rFonts w:cstheme="minorHAnsi"/>
                <w:sz w:val="22"/>
                <w:szCs w:val="22"/>
                <w:lang w:val="en-GB"/>
              </w:rPr>
              <w:t>The Supplier shall declare compliance in the Application (Annex 3 to the Procurement Conditions).</w:t>
            </w:r>
          </w:p>
          <w:p w14:paraId="7E6C32FE" w14:textId="77777777" w:rsidR="009C4A17" w:rsidRPr="00560E3D" w:rsidRDefault="009C4A17" w:rsidP="00560E3D">
            <w:pPr>
              <w:pStyle w:val="NoSpacing"/>
              <w:jc w:val="both"/>
              <w:rPr>
                <w:rFonts w:cstheme="minorHAnsi"/>
                <w:sz w:val="22"/>
                <w:szCs w:val="22"/>
                <w:lang w:val="en-GB"/>
              </w:rPr>
            </w:pPr>
          </w:p>
          <w:p w14:paraId="01AFDA3E" w14:textId="77777777" w:rsidR="009C4A17" w:rsidRPr="00560E3D" w:rsidRDefault="009C4A17" w:rsidP="00560E3D">
            <w:pPr>
              <w:pStyle w:val="NoSpacing"/>
              <w:jc w:val="both"/>
              <w:rPr>
                <w:rFonts w:cstheme="minorHAnsi"/>
                <w:sz w:val="22"/>
                <w:szCs w:val="22"/>
                <w:lang w:val="en-GB"/>
              </w:rPr>
            </w:pPr>
          </w:p>
          <w:p w14:paraId="0B299553" w14:textId="1987A25E" w:rsidR="00743D7D" w:rsidRPr="00560E3D" w:rsidRDefault="0023059B" w:rsidP="00560E3D">
            <w:pPr>
              <w:pStyle w:val="NoSpacing"/>
              <w:jc w:val="both"/>
              <w:rPr>
                <w:rFonts w:cstheme="minorHAnsi"/>
                <w:color w:val="000000"/>
                <w:sz w:val="22"/>
                <w:szCs w:val="22"/>
                <w:lang w:val="en-GB"/>
              </w:rPr>
            </w:pPr>
            <w:r w:rsidRPr="00560E3D">
              <w:rPr>
                <w:rFonts w:cstheme="minorHAnsi"/>
                <w:color w:val="000000"/>
                <w:sz w:val="22"/>
                <w:szCs w:val="22"/>
                <w:lang w:val="en-GB"/>
              </w:rPr>
              <w:t>f the contracting authority has doubts as to the correctness of the information provided by the supplier in support of the requirements set out in paragraphs 1 to 3 of this point, it must, before declaring the tender successful, ask the supplier whose tender is first in line to provide</w:t>
            </w:r>
            <w:r w:rsidR="00743D7D" w:rsidRPr="00560E3D">
              <w:rPr>
                <w:rStyle w:val="FootnoteReference"/>
                <w:rFonts w:eastAsia="Times New Roman" w:cstheme="minorHAnsi"/>
                <w:bCs/>
                <w:color w:val="000000" w:themeColor="text1"/>
                <w:spacing w:val="-8"/>
                <w:sz w:val="22"/>
                <w:szCs w:val="22"/>
                <w:lang w:val="en-GB"/>
              </w:rPr>
              <w:footnoteReference w:id="6"/>
            </w:r>
            <w:r w:rsidR="00743D7D" w:rsidRPr="00560E3D">
              <w:rPr>
                <w:rFonts w:cstheme="minorHAnsi"/>
                <w:color w:val="000000"/>
                <w:sz w:val="22"/>
                <w:szCs w:val="22"/>
                <w:lang w:val="en-GB"/>
              </w:rPr>
              <w:t xml:space="preserve"> </w:t>
            </w:r>
            <w:r w:rsidR="0052684E" w:rsidRPr="00560E3D">
              <w:rPr>
                <w:rFonts w:cstheme="minorHAnsi"/>
                <w:color w:val="000000"/>
                <w:sz w:val="22"/>
                <w:szCs w:val="22"/>
                <w:lang w:val="en-GB"/>
              </w:rPr>
              <w:t xml:space="preserve">at least one </w:t>
            </w:r>
            <w:r w:rsidR="0052684E" w:rsidRPr="00560E3D">
              <w:rPr>
                <w:rFonts w:cstheme="minorHAnsi"/>
                <w:color w:val="000000"/>
                <w:sz w:val="22"/>
                <w:szCs w:val="22"/>
                <w:lang w:val="en-GB"/>
              </w:rPr>
              <w:lastRenderedPageBreak/>
              <w:t>of the following documents: a copy of the instruments of incorporation of the legal person, certified by the head of the legal person, a copy of the extended extract from the Register of Legal Persons with a history, a copy of the extract from the information system for members of the legal persons, a copy of the identity document (identity card or passport), a copy of the authorisation to engage in the economic activity in question (e.g. a copy of the certificate of establishment of the business licence, a copy of the certificate of self-employed persons, a copy of the document of residence, or the relevant documents of the Member State or of the third country, or any other documents acceptable to the contracting authority.</w:t>
            </w:r>
          </w:p>
          <w:p w14:paraId="713E082C" w14:textId="77777777" w:rsidR="0052684E" w:rsidRPr="00560E3D" w:rsidRDefault="0052684E" w:rsidP="00560E3D">
            <w:pPr>
              <w:pStyle w:val="NoSpacing"/>
              <w:jc w:val="both"/>
              <w:rPr>
                <w:rFonts w:eastAsia="Times New Roman" w:cstheme="minorHAnsi"/>
                <w:bCs/>
                <w:iCs/>
                <w:color w:val="000000" w:themeColor="text1"/>
                <w:spacing w:val="-8"/>
                <w:sz w:val="22"/>
                <w:szCs w:val="22"/>
                <w:lang w:val="en-GB"/>
              </w:rPr>
            </w:pPr>
          </w:p>
          <w:p w14:paraId="37CC456F" w14:textId="22D4867F" w:rsidR="00743D7D" w:rsidRPr="00560E3D" w:rsidRDefault="000E6569" w:rsidP="00560E3D">
            <w:pPr>
              <w:spacing w:after="0" w:line="240" w:lineRule="auto"/>
              <w:jc w:val="both"/>
              <w:rPr>
                <w:rFonts w:eastAsia="Times New Roman" w:cstheme="minorHAnsi"/>
                <w:bCs/>
                <w:iCs/>
                <w:color w:val="000000" w:themeColor="text1"/>
                <w:spacing w:val="-8"/>
                <w:sz w:val="22"/>
                <w:szCs w:val="22"/>
                <w:lang w:val="en-GB"/>
              </w:rPr>
            </w:pPr>
            <w:r w:rsidRPr="00560E3D">
              <w:rPr>
                <w:rFonts w:eastAsia="Times New Roman" w:cstheme="minorHAnsi"/>
                <w:bCs/>
                <w:iCs/>
                <w:color w:val="000000" w:themeColor="text1"/>
                <w:spacing w:val="-8"/>
                <w:sz w:val="22"/>
                <w:szCs w:val="22"/>
                <w:lang w:val="en-GB"/>
              </w:rPr>
              <w:t>Documents which do not specify a period of validity must be issued or printed from the information system not earlier than 3 months before the date on which the supplier is requested by the contracting authority to submit the documents.</w:t>
            </w:r>
          </w:p>
          <w:p w14:paraId="16F70F36" w14:textId="77777777" w:rsidR="00743D7D" w:rsidRPr="00560E3D" w:rsidRDefault="00743D7D" w:rsidP="00560E3D">
            <w:pPr>
              <w:pStyle w:val="NoSpacing"/>
              <w:jc w:val="both"/>
              <w:rPr>
                <w:rFonts w:cstheme="minorHAnsi"/>
                <w:color w:val="000000"/>
                <w:sz w:val="22"/>
                <w:szCs w:val="22"/>
                <w:lang w:val="en-GB"/>
              </w:rPr>
            </w:pPr>
          </w:p>
          <w:p w14:paraId="12639C2E" w14:textId="3B34E6C7" w:rsidR="009C4A17" w:rsidRPr="00560E3D" w:rsidRDefault="000E6569" w:rsidP="00560E3D">
            <w:pPr>
              <w:pStyle w:val="NoSpacing"/>
              <w:jc w:val="both"/>
              <w:rPr>
                <w:rFonts w:cstheme="minorHAnsi"/>
                <w:color w:val="000000"/>
                <w:sz w:val="22"/>
                <w:szCs w:val="22"/>
                <w:lang w:val="en-GB"/>
              </w:rPr>
            </w:pPr>
            <w:r w:rsidRPr="00560E3D">
              <w:rPr>
                <w:rFonts w:cstheme="minorHAnsi"/>
                <w:color w:val="000000"/>
                <w:sz w:val="22"/>
                <w:szCs w:val="22"/>
                <w:lang w:val="en-GB"/>
              </w:rPr>
              <w:t xml:space="preserve">The contracting authority may also request these documents from candidates or tenderers at any time during the procurement procedure, </w:t>
            </w:r>
            <w:proofErr w:type="gramStart"/>
            <w:r w:rsidRPr="00560E3D">
              <w:rPr>
                <w:rFonts w:cstheme="minorHAnsi"/>
                <w:color w:val="000000"/>
                <w:sz w:val="22"/>
                <w:szCs w:val="22"/>
                <w:lang w:val="en-GB"/>
              </w:rPr>
              <w:t>provided that</w:t>
            </w:r>
            <w:proofErr w:type="gramEnd"/>
            <w:r w:rsidRPr="00560E3D">
              <w:rPr>
                <w:rFonts w:cstheme="minorHAnsi"/>
                <w:color w:val="000000"/>
                <w:sz w:val="22"/>
                <w:szCs w:val="22"/>
                <w:lang w:val="en-GB"/>
              </w:rPr>
              <w:t xml:space="preserve"> this is necessary to ensure the proper conduct of the procurement procedure.</w:t>
            </w:r>
          </w:p>
          <w:p w14:paraId="42A18B60" w14:textId="77777777" w:rsidR="00743D7D" w:rsidRPr="00560E3D" w:rsidRDefault="00743D7D" w:rsidP="00560E3D">
            <w:pPr>
              <w:pStyle w:val="NoSpacing"/>
              <w:jc w:val="both"/>
              <w:rPr>
                <w:rFonts w:cstheme="minorHAnsi"/>
                <w:color w:val="000000"/>
                <w:sz w:val="22"/>
                <w:szCs w:val="22"/>
                <w:lang w:val="en-GB"/>
              </w:rPr>
            </w:pPr>
          </w:p>
          <w:p w14:paraId="1C0EBF0E" w14:textId="432C0E0B" w:rsidR="00743D7D" w:rsidRPr="00560E3D" w:rsidRDefault="000E6569" w:rsidP="00560E3D">
            <w:pPr>
              <w:spacing w:after="0" w:line="240" w:lineRule="auto"/>
              <w:jc w:val="both"/>
              <w:rPr>
                <w:rFonts w:eastAsia="Times New Roman" w:cstheme="minorHAnsi"/>
                <w:bCs/>
                <w:iCs/>
                <w:color w:val="000000" w:themeColor="text1"/>
                <w:spacing w:val="-8"/>
                <w:sz w:val="22"/>
                <w:szCs w:val="22"/>
                <w:lang w:val="en-GB"/>
              </w:rPr>
            </w:pPr>
            <w:r w:rsidRPr="00560E3D">
              <w:rPr>
                <w:rFonts w:eastAsia="Times New Roman" w:cstheme="minorHAnsi"/>
                <w:bCs/>
                <w:iCs/>
                <w:color w:val="000000" w:themeColor="text1"/>
                <w:spacing w:val="-8"/>
                <w:sz w:val="22"/>
                <w:szCs w:val="22"/>
                <w:lang w:val="en-GB"/>
              </w:rPr>
              <w:t xml:space="preserve">The contracting authority may, </w:t>
            </w:r>
            <w:proofErr w:type="gramStart"/>
            <w:r w:rsidRPr="00560E3D">
              <w:rPr>
                <w:rFonts w:eastAsia="Times New Roman" w:cstheme="minorHAnsi"/>
                <w:bCs/>
                <w:iCs/>
                <w:color w:val="000000" w:themeColor="text1"/>
                <w:spacing w:val="-8"/>
                <w:sz w:val="22"/>
                <w:szCs w:val="22"/>
                <w:lang w:val="en-GB"/>
              </w:rPr>
              <w:t>in order to</w:t>
            </w:r>
            <w:proofErr w:type="gramEnd"/>
            <w:r w:rsidRPr="00560E3D">
              <w:rPr>
                <w:rFonts w:eastAsia="Times New Roman" w:cstheme="minorHAnsi"/>
                <w:bCs/>
                <w:iCs/>
                <w:color w:val="000000" w:themeColor="text1"/>
                <w:spacing w:val="-8"/>
                <w:sz w:val="22"/>
                <w:szCs w:val="22"/>
                <w:lang w:val="en-GB"/>
              </w:rPr>
              <w:t xml:space="preserve"> assess the conformity of the supplier, its subcontractor, the economic operator whose capacities are relied upon, the manufacturers of the goods (including their components and packaging) proposed by the supplier or the persons controlling them, request the competent authorities to provide information concerning these entities.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44D9B" w14:textId="733B2862" w:rsidR="009C4A17" w:rsidRPr="00560E3D" w:rsidRDefault="00E6207B" w:rsidP="00560E3D">
            <w:pPr>
              <w:pStyle w:val="NoSpacing"/>
              <w:jc w:val="both"/>
              <w:rPr>
                <w:rFonts w:cstheme="minorHAnsi"/>
                <w:sz w:val="22"/>
                <w:szCs w:val="22"/>
                <w:lang w:val="en-GB" w:eastAsia="en-US"/>
              </w:rPr>
            </w:pPr>
            <w:r w:rsidRPr="00560E3D">
              <w:rPr>
                <w:rFonts w:cstheme="minorHAnsi"/>
                <w:sz w:val="22"/>
                <w:szCs w:val="22"/>
                <w:lang w:val="en-GB"/>
              </w:rPr>
              <w:lastRenderedPageBreak/>
              <w:t xml:space="preserve">The supplier, each member of a group of economic operators, and any sub-suppliers whose capabilities are relied on by the supplier </w:t>
            </w:r>
            <w:proofErr w:type="gramStart"/>
            <w:r w:rsidRPr="00560E3D">
              <w:rPr>
                <w:rFonts w:cstheme="minorHAnsi"/>
                <w:sz w:val="22"/>
                <w:szCs w:val="22"/>
                <w:lang w:val="en-GB"/>
              </w:rPr>
              <w:t>in order to</w:t>
            </w:r>
            <w:proofErr w:type="gramEnd"/>
            <w:r w:rsidRPr="00560E3D">
              <w:rPr>
                <w:rFonts w:cstheme="minorHAnsi"/>
                <w:sz w:val="22"/>
                <w:szCs w:val="22"/>
                <w:lang w:val="en-GB"/>
              </w:rPr>
              <w:t xml:space="preserve"> meet the qualification requirements set out in the procurement conditions.</w:t>
            </w:r>
          </w:p>
        </w:tc>
      </w:tr>
    </w:tbl>
    <w:p w14:paraId="79C9DDD8" w14:textId="77777777" w:rsidR="00837327" w:rsidRPr="00560E3D" w:rsidRDefault="00837327" w:rsidP="0052684E">
      <w:pPr>
        <w:spacing w:after="0"/>
        <w:rPr>
          <w:rFonts w:cstheme="minorHAnsi"/>
          <w:sz w:val="22"/>
          <w:szCs w:val="22"/>
          <w:lang w:val="en-GB"/>
        </w:rPr>
      </w:pPr>
    </w:p>
    <w:sectPr w:rsidR="00837327" w:rsidRPr="00560E3D" w:rsidSect="00874A8E">
      <w:pgSz w:w="16838" w:h="11906" w:orient="landscape"/>
      <w:pgMar w:top="1440" w:right="1440" w:bottom="144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75152" w14:textId="77777777" w:rsidR="00840502" w:rsidRDefault="00840502" w:rsidP="00A4676E">
      <w:pPr>
        <w:spacing w:after="0" w:line="240" w:lineRule="auto"/>
      </w:pPr>
      <w:r>
        <w:separator/>
      </w:r>
    </w:p>
  </w:endnote>
  <w:endnote w:type="continuationSeparator" w:id="0">
    <w:p w14:paraId="75E01CFC" w14:textId="77777777" w:rsidR="00840502" w:rsidRDefault="00840502" w:rsidP="00A46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45FF0" w14:textId="77777777" w:rsidR="00840502" w:rsidRDefault="00840502" w:rsidP="00A4676E">
      <w:pPr>
        <w:spacing w:after="0" w:line="240" w:lineRule="auto"/>
      </w:pPr>
      <w:r>
        <w:separator/>
      </w:r>
    </w:p>
  </w:footnote>
  <w:footnote w:type="continuationSeparator" w:id="0">
    <w:p w14:paraId="2B91BD7D" w14:textId="77777777" w:rsidR="00840502" w:rsidRDefault="00840502" w:rsidP="00A4676E">
      <w:pPr>
        <w:spacing w:after="0" w:line="240" w:lineRule="auto"/>
      </w:pPr>
      <w:r>
        <w:continuationSeparator/>
      </w:r>
    </w:p>
  </w:footnote>
  <w:footnote w:id="1">
    <w:p w14:paraId="2874CC13" w14:textId="77777777" w:rsidR="001C7F0B" w:rsidRPr="00560E3D" w:rsidRDefault="00E67DBB" w:rsidP="001C7F0B">
      <w:pPr>
        <w:pStyle w:val="NoSpacing"/>
        <w:jc w:val="both"/>
        <w:rPr>
          <w:rFonts w:cstheme="minorHAnsi"/>
          <w:i/>
          <w:iCs/>
          <w:sz w:val="20"/>
          <w:szCs w:val="20"/>
          <w:lang w:val="en-GB"/>
        </w:rPr>
      </w:pPr>
      <w:r w:rsidRPr="00560E3D">
        <w:rPr>
          <w:rStyle w:val="FootnoteReference"/>
          <w:i/>
          <w:iCs/>
          <w:sz w:val="20"/>
          <w:szCs w:val="20"/>
          <w:lang w:val="en-GB"/>
        </w:rPr>
        <w:footnoteRef/>
      </w:r>
      <w:r w:rsidRPr="00560E3D">
        <w:rPr>
          <w:i/>
          <w:iCs/>
          <w:sz w:val="20"/>
          <w:szCs w:val="20"/>
          <w:lang w:val="en-GB"/>
        </w:rPr>
        <w:t xml:space="preserve"> </w:t>
      </w:r>
      <w:r w:rsidR="001C7F0B" w:rsidRPr="00560E3D">
        <w:rPr>
          <w:rFonts w:cstheme="minorHAnsi"/>
          <w:i/>
          <w:iCs/>
          <w:sz w:val="20"/>
          <w:szCs w:val="20"/>
          <w:lang w:val="en-GB"/>
        </w:rPr>
        <w:t>If the supplier is unable to provide the documents referred to because the State does not issue such documents or because the documents issued in that State do not cover all the circumstances referred to in Article 34(1) of the PPDL, they may be replaced:</w:t>
      </w:r>
    </w:p>
    <w:p w14:paraId="23C5C634" w14:textId="77777777" w:rsidR="001C7F0B" w:rsidRPr="00560E3D" w:rsidRDefault="001C7F0B" w:rsidP="001C7F0B">
      <w:pPr>
        <w:pStyle w:val="NoSpacing"/>
        <w:jc w:val="both"/>
        <w:rPr>
          <w:rFonts w:cstheme="minorHAnsi"/>
          <w:i/>
          <w:iCs/>
          <w:sz w:val="20"/>
          <w:szCs w:val="20"/>
          <w:lang w:val="en-GB"/>
        </w:rPr>
      </w:pPr>
      <w:r w:rsidRPr="00560E3D">
        <w:rPr>
          <w:rFonts w:cstheme="minorHAnsi"/>
          <w:i/>
          <w:iCs/>
          <w:sz w:val="20"/>
          <w:szCs w:val="20"/>
          <w:lang w:val="en-GB"/>
        </w:rPr>
        <w:t>(a) a declaration on oath;</w:t>
      </w:r>
    </w:p>
    <w:p w14:paraId="3AB385B3" w14:textId="75516F6F" w:rsidR="00E67DBB" w:rsidRDefault="001C7F0B" w:rsidP="001C7F0B">
      <w:pPr>
        <w:pStyle w:val="NoSpacing"/>
        <w:jc w:val="both"/>
      </w:pPr>
      <w:r w:rsidRPr="00560E3D">
        <w:rPr>
          <w:rFonts w:cstheme="minorHAnsi"/>
          <w:i/>
          <w:iCs/>
          <w:sz w:val="20"/>
          <w:szCs w:val="20"/>
          <w:lang w:val="en-GB"/>
        </w:rPr>
        <w:t>(b) in countries where it does not apply, an official declaration by the supplier to the competent legal or administrative authority, notary or competent professional or trade organisation in his country of origin or in the country from which he came.</w:t>
      </w:r>
    </w:p>
  </w:footnote>
  <w:footnote w:id="2">
    <w:p w14:paraId="108ABAD3" w14:textId="77777777" w:rsidR="00C10649" w:rsidRPr="00560E3D" w:rsidRDefault="00C10649" w:rsidP="00C73B69">
      <w:pPr>
        <w:pStyle w:val="NoSpacing"/>
        <w:jc w:val="both"/>
        <w:rPr>
          <w:rFonts w:cstheme="minorHAnsi"/>
          <w:i/>
          <w:iCs/>
          <w:sz w:val="20"/>
          <w:szCs w:val="20"/>
          <w:lang w:val="en-GB"/>
        </w:rPr>
      </w:pPr>
      <w:r w:rsidRPr="00560E3D">
        <w:rPr>
          <w:rStyle w:val="FootnoteReference"/>
          <w:lang w:val="en-GB"/>
        </w:rPr>
        <w:footnoteRef/>
      </w:r>
      <w:r w:rsidRPr="00560E3D">
        <w:rPr>
          <w:lang w:val="en-GB"/>
        </w:rPr>
        <w:t xml:space="preserve"> </w:t>
      </w:r>
      <w:r w:rsidRPr="00560E3D">
        <w:rPr>
          <w:rFonts w:cstheme="minorHAnsi"/>
          <w:i/>
          <w:iCs/>
          <w:sz w:val="20"/>
          <w:szCs w:val="20"/>
          <w:lang w:val="en-GB"/>
        </w:rPr>
        <w:t>If the supplier is unable to provide the documents referred to because the State does not issue such documents or because the documents issued in that State do not cover all the circumstances referred to in Article 34(1) of the PPDL, they may be replaced:</w:t>
      </w:r>
    </w:p>
    <w:p w14:paraId="352DEDF2" w14:textId="77777777" w:rsidR="00C10649" w:rsidRPr="00560E3D" w:rsidRDefault="00C10649" w:rsidP="00C73B69">
      <w:pPr>
        <w:pStyle w:val="NoSpacing"/>
        <w:jc w:val="both"/>
        <w:rPr>
          <w:rFonts w:cstheme="minorHAnsi"/>
          <w:i/>
          <w:iCs/>
          <w:sz w:val="20"/>
          <w:szCs w:val="20"/>
          <w:lang w:val="en-GB"/>
        </w:rPr>
      </w:pPr>
      <w:r w:rsidRPr="00560E3D">
        <w:rPr>
          <w:rFonts w:cstheme="minorHAnsi"/>
          <w:i/>
          <w:iCs/>
          <w:sz w:val="20"/>
          <w:szCs w:val="20"/>
          <w:lang w:val="en-GB"/>
        </w:rPr>
        <w:t>(a) a declaration on oath;</w:t>
      </w:r>
    </w:p>
    <w:p w14:paraId="4765756F" w14:textId="23268633" w:rsidR="00C10649" w:rsidRPr="00560E3D" w:rsidRDefault="00C10649" w:rsidP="00560E3D">
      <w:pPr>
        <w:pStyle w:val="NoSpacing"/>
        <w:jc w:val="both"/>
        <w:rPr>
          <w:rFonts w:cstheme="minorHAnsi"/>
          <w:i/>
          <w:iCs/>
          <w:sz w:val="20"/>
          <w:szCs w:val="20"/>
          <w:lang w:val="en-GB"/>
        </w:rPr>
      </w:pPr>
      <w:r w:rsidRPr="00560E3D">
        <w:rPr>
          <w:rFonts w:cstheme="minorHAnsi"/>
          <w:i/>
          <w:iCs/>
          <w:sz w:val="20"/>
          <w:szCs w:val="20"/>
          <w:lang w:val="en-GB"/>
        </w:rPr>
        <w:t>(b) in countries where it does not apply, an official declaration by the supplier to the competent legal or administrative authority, notary or competent professional or trade organisation in his country of origin or in the country from which he came.</w:t>
      </w:r>
    </w:p>
  </w:footnote>
  <w:footnote w:id="3">
    <w:p w14:paraId="3E99B1BE" w14:textId="77777777" w:rsidR="00560E3D" w:rsidRPr="00963387" w:rsidRDefault="00560E3D" w:rsidP="00560E3D">
      <w:pPr>
        <w:pStyle w:val="NoSpacing"/>
        <w:jc w:val="both"/>
        <w:rPr>
          <w:rFonts w:cstheme="minorHAnsi"/>
          <w:i/>
          <w:iCs/>
          <w:sz w:val="20"/>
          <w:szCs w:val="20"/>
          <w:lang w:val="en-GB"/>
        </w:rPr>
      </w:pPr>
      <w:r w:rsidRPr="00963387">
        <w:rPr>
          <w:rStyle w:val="FootnoteReference"/>
          <w:lang w:val="en-GB"/>
        </w:rPr>
        <w:footnoteRef/>
      </w:r>
      <w:r w:rsidRPr="00963387">
        <w:rPr>
          <w:lang w:val="en-GB"/>
        </w:rPr>
        <w:t xml:space="preserve"> </w:t>
      </w:r>
      <w:r w:rsidRPr="00963387">
        <w:rPr>
          <w:rFonts w:cstheme="minorHAnsi"/>
          <w:i/>
          <w:iCs/>
          <w:sz w:val="20"/>
          <w:szCs w:val="20"/>
          <w:lang w:val="en-GB"/>
        </w:rPr>
        <w:t>If the supplier is unable to provide the documents referred to because the State does not issue such documents or because the documents issued in that State do not cover all the circumstances referred to in Article 34(1) of the PPDL, they may be replaced:</w:t>
      </w:r>
    </w:p>
    <w:p w14:paraId="294498AC" w14:textId="77777777" w:rsidR="00560E3D" w:rsidRPr="00963387" w:rsidRDefault="00560E3D" w:rsidP="00560E3D">
      <w:pPr>
        <w:pStyle w:val="NoSpacing"/>
        <w:jc w:val="both"/>
        <w:rPr>
          <w:rFonts w:cstheme="minorHAnsi"/>
          <w:i/>
          <w:iCs/>
          <w:sz w:val="20"/>
          <w:szCs w:val="20"/>
          <w:lang w:val="en-GB"/>
        </w:rPr>
      </w:pPr>
      <w:r w:rsidRPr="00963387">
        <w:rPr>
          <w:rFonts w:cstheme="minorHAnsi"/>
          <w:i/>
          <w:iCs/>
          <w:sz w:val="20"/>
          <w:szCs w:val="20"/>
          <w:lang w:val="en-GB"/>
        </w:rPr>
        <w:t>(a) a declaration on oath;</w:t>
      </w:r>
    </w:p>
    <w:p w14:paraId="47A1BF5F" w14:textId="77777777" w:rsidR="00560E3D" w:rsidRPr="00963387" w:rsidRDefault="00560E3D" w:rsidP="00560E3D">
      <w:pPr>
        <w:pStyle w:val="NoSpacing"/>
        <w:jc w:val="both"/>
        <w:rPr>
          <w:rFonts w:cstheme="minorHAnsi"/>
          <w:i/>
          <w:iCs/>
          <w:sz w:val="20"/>
          <w:szCs w:val="20"/>
          <w:lang w:val="en-GB"/>
        </w:rPr>
      </w:pPr>
      <w:r w:rsidRPr="00963387">
        <w:rPr>
          <w:rFonts w:cstheme="minorHAnsi"/>
          <w:i/>
          <w:iCs/>
          <w:sz w:val="20"/>
          <w:szCs w:val="20"/>
          <w:lang w:val="en-GB"/>
        </w:rPr>
        <w:t>(b) in countries where it does not apply, an official declaration by the supplier to the competent legal or administrative authority, notary or competent professional or trade organisation in his country of origin or in the country from which he came.</w:t>
      </w:r>
    </w:p>
    <w:p w14:paraId="233784E4" w14:textId="77777777" w:rsidR="00560E3D" w:rsidRDefault="00560E3D" w:rsidP="00560E3D">
      <w:pPr>
        <w:pStyle w:val="NoSpacing"/>
        <w:jc w:val="both"/>
      </w:pPr>
    </w:p>
  </w:footnote>
  <w:footnote w:id="4">
    <w:p w14:paraId="191F3CCC" w14:textId="77777777" w:rsidR="00940FB1" w:rsidRPr="00963387" w:rsidRDefault="00940FB1" w:rsidP="00963387">
      <w:pPr>
        <w:pStyle w:val="NoSpacing"/>
        <w:jc w:val="both"/>
        <w:rPr>
          <w:rFonts w:cstheme="minorHAnsi"/>
          <w:i/>
          <w:iCs/>
          <w:sz w:val="20"/>
          <w:szCs w:val="20"/>
          <w:lang w:val="en-GB"/>
        </w:rPr>
      </w:pPr>
      <w:r w:rsidRPr="00963387">
        <w:rPr>
          <w:rStyle w:val="FootnoteReference"/>
          <w:lang w:val="en-GB"/>
        </w:rPr>
        <w:footnoteRef/>
      </w:r>
      <w:r w:rsidRPr="00963387">
        <w:rPr>
          <w:lang w:val="en-GB"/>
        </w:rPr>
        <w:t xml:space="preserve"> </w:t>
      </w:r>
      <w:r w:rsidRPr="00963387">
        <w:rPr>
          <w:rFonts w:cstheme="minorHAnsi"/>
          <w:i/>
          <w:iCs/>
          <w:sz w:val="20"/>
          <w:szCs w:val="20"/>
          <w:lang w:val="en-GB"/>
        </w:rPr>
        <w:t>If the supplier is unable to provide the documents referred to because the State does not issue such documents or because the documents issued in that State do not cover all the circumstances referred to in Article 34(1) of the PPDL, they may be replaced:</w:t>
      </w:r>
    </w:p>
    <w:p w14:paraId="5E6C1BC6" w14:textId="77777777" w:rsidR="00940FB1" w:rsidRPr="00963387" w:rsidRDefault="00940FB1" w:rsidP="00963387">
      <w:pPr>
        <w:pStyle w:val="NoSpacing"/>
        <w:jc w:val="both"/>
        <w:rPr>
          <w:rFonts w:cstheme="minorHAnsi"/>
          <w:i/>
          <w:iCs/>
          <w:sz w:val="20"/>
          <w:szCs w:val="20"/>
          <w:lang w:val="en-GB"/>
        </w:rPr>
      </w:pPr>
      <w:r w:rsidRPr="00963387">
        <w:rPr>
          <w:rFonts w:cstheme="minorHAnsi"/>
          <w:i/>
          <w:iCs/>
          <w:sz w:val="20"/>
          <w:szCs w:val="20"/>
          <w:lang w:val="en-GB"/>
        </w:rPr>
        <w:t>(a) a declaration on oath;</w:t>
      </w:r>
    </w:p>
    <w:p w14:paraId="74726793" w14:textId="77777777" w:rsidR="00940FB1" w:rsidRPr="00963387" w:rsidRDefault="00940FB1" w:rsidP="00963387">
      <w:pPr>
        <w:pStyle w:val="NoSpacing"/>
        <w:jc w:val="both"/>
        <w:rPr>
          <w:rFonts w:cstheme="minorHAnsi"/>
          <w:i/>
          <w:iCs/>
          <w:sz w:val="20"/>
          <w:szCs w:val="20"/>
          <w:lang w:val="en-GB"/>
        </w:rPr>
      </w:pPr>
      <w:r w:rsidRPr="00963387">
        <w:rPr>
          <w:rFonts w:cstheme="minorHAnsi"/>
          <w:i/>
          <w:iCs/>
          <w:sz w:val="20"/>
          <w:szCs w:val="20"/>
          <w:lang w:val="en-GB"/>
        </w:rPr>
        <w:t>(b) in countries where it does not apply, an official declaration by the supplier to the competent legal or administrative authority, notary or competent professional or trade organisation in his country of origin or in the country from which he came.</w:t>
      </w:r>
    </w:p>
    <w:p w14:paraId="63FC5AC7" w14:textId="77777777" w:rsidR="00940FB1" w:rsidRDefault="00940FB1" w:rsidP="00963387">
      <w:pPr>
        <w:pStyle w:val="NoSpacing"/>
        <w:jc w:val="both"/>
      </w:pPr>
    </w:p>
  </w:footnote>
  <w:footnote w:id="5">
    <w:p w14:paraId="15C56307" w14:textId="36C17E78" w:rsidR="00940FB1" w:rsidRPr="00560E3D" w:rsidRDefault="00940FB1" w:rsidP="00DE3064">
      <w:pPr>
        <w:pStyle w:val="NoSpacing"/>
        <w:jc w:val="both"/>
        <w:rPr>
          <w:rFonts w:cstheme="minorHAnsi"/>
          <w:i/>
          <w:iCs/>
          <w:sz w:val="20"/>
          <w:szCs w:val="20"/>
          <w:lang w:val="en-GB"/>
        </w:rPr>
      </w:pPr>
      <w:r w:rsidRPr="00560E3D">
        <w:rPr>
          <w:rStyle w:val="FootnoteReference"/>
          <w:lang w:val="en-GB"/>
        </w:rPr>
        <w:footnoteRef/>
      </w:r>
      <w:r w:rsidRPr="00560E3D">
        <w:rPr>
          <w:lang w:val="en-GB"/>
        </w:rPr>
        <w:t xml:space="preserve"> </w:t>
      </w:r>
      <w:r w:rsidRPr="00560E3D">
        <w:rPr>
          <w:rFonts w:cstheme="minorHAnsi"/>
          <w:i/>
          <w:iCs/>
          <w:sz w:val="20"/>
          <w:szCs w:val="20"/>
          <w:lang w:val="en-GB"/>
        </w:rPr>
        <w:t>If the supplier is unable to provide the documents referred to because the State does not issue such documents or because the documents issued in that State do not cover all the circumstances referred to in Article 34(2) of the PPDL, they may be replaced:</w:t>
      </w:r>
    </w:p>
    <w:p w14:paraId="5074C927" w14:textId="77777777" w:rsidR="00940FB1" w:rsidRPr="00560E3D" w:rsidRDefault="00940FB1" w:rsidP="00DE3064">
      <w:pPr>
        <w:pStyle w:val="NoSpacing"/>
        <w:jc w:val="both"/>
        <w:rPr>
          <w:rFonts w:cstheme="minorHAnsi"/>
          <w:i/>
          <w:iCs/>
          <w:sz w:val="20"/>
          <w:szCs w:val="20"/>
          <w:lang w:val="en-GB"/>
        </w:rPr>
      </w:pPr>
      <w:r w:rsidRPr="00560E3D">
        <w:rPr>
          <w:rFonts w:cstheme="minorHAnsi"/>
          <w:i/>
          <w:iCs/>
          <w:sz w:val="20"/>
          <w:szCs w:val="20"/>
          <w:lang w:val="en-GB"/>
        </w:rPr>
        <w:t>(a) a declaration on oath;</w:t>
      </w:r>
    </w:p>
    <w:p w14:paraId="2B55AD31" w14:textId="77777777" w:rsidR="00940FB1" w:rsidRPr="00560E3D" w:rsidRDefault="00940FB1" w:rsidP="00DE3064">
      <w:pPr>
        <w:pStyle w:val="NoSpacing"/>
        <w:jc w:val="both"/>
        <w:rPr>
          <w:rFonts w:cstheme="minorHAnsi"/>
          <w:i/>
          <w:iCs/>
          <w:sz w:val="20"/>
          <w:szCs w:val="20"/>
          <w:lang w:val="en-GB"/>
        </w:rPr>
      </w:pPr>
      <w:r w:rsidRPr="00560E3D">
        <w:rPr>
          <w:rFonts w:cstheme="minorHAnsi"/>
          <w:i/>
          <w:iCs/>
          <w:sz w:val="20"/>
          <w:szCs w:val="20"/>
          <w:lang w:val="en-GB"/>
        </w:rPr>
        <w:t>(b) in countries where it does not apply, an official declaration by the supplier to the competent legal or administrative authority, notary or competent professional or trade organisation in his country of origin or in the country from which he came.</w:t>
      </w:r>
    </w:p>
    <w:p w14:paraId="2F492884" w14:textId="10E20A58" w:rsidR="00940FB1" w:rsidRDefault="00940FB1" w:rsidP="00DE3064">
      <w:pPr>
        <w:pStyle w:val="NoSpacing"/>
        <w:jc w:val="both"/>
      </w:pPr>
    </w:p>
  </w:footnote>
  <w:footnote w:id="6">
    <w:p w14:paraId="277F1426" w14:textId="77777777" w:rsidR="00D70515" w:rsidRPr="00560E3D" w:rsidRDefault="00743D7D" w:rsidP="00D70515">
      <w:pPr>
        <w:pStyle w:val="FootnoteText"/>
        <w:spacing w:after="0" w:line="240" w:lineRule="auto"/>
        <w:jc w:val="both"/>
        <w:rPr>
          <w:bCs/>
          <w:lang w:val="en-GB"/>
        </w:rPr>
      </w:pPr>
      <w:r w:rsidRPr="00560E3D">
        <w:rPr>
          <w:rStyle w:val="FootnoteReference"/>
          <w:lang w:val="en-GB"/>
        </w:rPr>
        <w:footnoteRef/>
      </w:r>
      <w:r w:rsidRPr="00560E3D">
        <w:rPr>
          <w:lang w:val="en-GB"/>
        </w:rPr>
        <w:t xml:space="preserve"> </w:t>
      </w:r>
      <w:r w:rsidR="00D70515" w:rsidRPr="00560E3D">
        <w:rPr>
          <w:bCs/>
          <w:lang w:val="en-GB"/>
        </w:rPr>
        <w:t>The contracting authority does not require the above documents where:</w:t>
      </w:r>
    </w:p>
    <w:p w14:paraId="5134CE38" w14:textId="3D4EAAC3" w:rsidR="00D70515" w:rsidRPr="00560E3D" w:rsidRDefault="00D70515" w:rsidP="00D70515">
      <w:pPr>
        <w:pStyle w:val="FootnoteText"/>
        <w:spacing w:after="0" w:line="240" w:lineRule="auto"/>
        <w:jc w:val="both"/>
        <w:rPr>
          <w:bCs/>
          <w:lang w:val="en-GB"/>
        </w:rPr>
      </w:pPr>
      <w:r w:rsidRPr="00560E3D">
        <w:rPr>
          <w:bCs/>
          <w:lang w:val="en-GB"/>
        </w:rPr>
        <w:t>1) the contracting authority has access to those documents or information directly and free of charge through a national database in any Member State or through the Central Procurement Information System;</w:t>
      </w:r>
    </w:p>
    <w:p w14:paraId="71D82111" w14:textId="0DF9CA6B" w:rsidR="00D70515" w:rsidRPr="00560E3D" w:rsidRDefault="00D70515" w:rsidP="00D70515">
      <w:pPr>
        <w:pStyle w:val="FootnoteText"/>
        <w:spacing w:after="0" w:line="240" w:lineRule="auto"/>
        <w:jc w:val="both"/>
        <w:rPr>
          <w:bCs/>
          <w:lang w:val="en-GB"/>
        </w:rPr>
      </w:pPr>
      <w:r w:rsidRPr="00560E3D">
        <w:rPr>
          <w:bCs/>
          <w:lang w:val="en-GB"/>
        </w:rPr>
        <w:t>2) the contracting authority already has these documents in its possession from previous procurement procedures.</w:t>
      </w:r>
    </w:p>
    <w:p w14:paraId="3B84386C" w14:textId="0B798A81" w:rsidR="00743D7D" w:rsidRPr="00AB1316" w:rsidRDefault="00D70515" w:rsidP="00D70515">
      <w:pPr>
        <w:pStyle w:val="FootnoteText"/>
        <w:spacing w:after="0" w:line="240" w:lineRule="auto"/>
        <w:jc w:val="both"/>
        <w:rPr>
          <w:bCs/>
        </w:rPr>
      </w:pPr>
      <w:r w:rsidRPr="00560E3D">
        <w:rPr>
          <w:bCs/>
          <w:lang w:val="en-GB"/>
        </w:rPr>
        <w:t xml:space="preserve">    The contracting authority may also waive the requirement for the documents referred to if it can establish the conformity of the tender with the requirements from other sources.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C28BD"/>
    <w:multiLevelType w:val="hybridMultilevel"/>
    <w:tmpl w:val="A0DA72CC"/>
    <w:lvl w:ilvl="0" w:tplc="A2CABFDA">
      <w:start w:val="2"/>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E86F6B"/>
    <w:multiLevelType w:val="hybridMultilevel"/>
    <w:tmpl w:val="475E58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E73457"/>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 w15:restartNumberingAfterBreak="0">
    <w:nsid w:val="33D832BC"/>
    <w:multiLevelType w:val="hybridMultilevel"/>
    <w:tmpl w:val="3F3070C2"/>
    <w:lvl w:ilvl="0" w:tplc="D8561EC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885684394">
    <w:abstractNumId w:val="12"/>
  </w:num>
  <w:num w:numId="2" w16cid:durableId="1806581758">
    <w:abstractNumId w:val="5"/>
  </w:num>
  <w:num w:numId="3" w16cid:durableId="332268354">
    <w:abstractNumId w:val="9"/>
  </w:num>
  <w:num w:numId="4" w16cid:durableId="1465268442">
    <w:abstractNumId w:val="7"/>
  </w:num>
  <w:num w:numId="5" w16cid:durableId="914631381">
    <w:abstractNumId w:val="11"/>
  </w:num>
  <w:num w:numId="6" w16cid:durableId="1970817792">
    <w:abstractNumId w:val="8"/>
  </w:num>
  <w:num w:numId="7" w16cid:durableId="2145272697">
    <w:abstractNumId w:val="10"/>
  </w:num>
  <w:num w:numId="8" w16cid:durableId="420416495">
    <w:abstractNumId w:val="0"/>
  </w:num>
  <w:num w:numId="9" w16cid:durableId="630597114">
    <w:abstractNumId w:val="4"/>
  </w:num>
  <w:num w:numId="10" w16cid:durableId="18892985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7750717">
    <w:abstractNumId w:val="1"/>
  </w:num>
  <w:num w:numId="12" w16cid:durableId="879820926">
    <w:abstractNumId w:val="3"/>
  </w:num>
  <w:num w:numId="13" w16cid:durableId="78648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76E"/>
    <w:rsid w:val="00010A15"/>
    <w:rsid w:val="00017CAA"/>
    <w:rsid w:val="000323A6"/>
    <w:rsid w:val="00035ACC"/>
    <w:rsid w:val="00040D98"/>
    <w:rsid w:val="0004739E"/>
    <w:rsid w:val="0006031B"/>
    <w:rsid w:val="00077156"/>
    <w:rsid w:val="00086B4F"/>
    <w:rsid w:val="000B72AF"/>
    <w:rsid w:val="000E0BD9"/>
    <w:rsid w:val="000E6569"/>
    <w:rsid w:val="000E7166"/>
    <w:rsid w:val="000F02AB"/>
    <w:rsid w:val="000F6B67"/>
    <w:rsid w:val="00121BC2"/>
    <w:rsid w:val="0013619B"/>
    <w:rsid w:val="00140B44"/>
    <w:rsid w:val="00162122"/>
    <w:rsid w:val="00171B4A"/>
    <w:rsid w:val="0019794B"/>
    <w:rsid w:val="001B3CEF"/>
    <w:rsid w:val="001C7BD5"/>
    <w:rsid w:val="001C7F0B"/>
    <w:rsid w:val="001E0591"/>
    <w:rsid w:val="001F0DF3"/>
    <w:rsid w:val="002152A4"/>
    <w:rsid w:val="00216900"/>
    <w:rsid w:val="00217F69"/>
    <w:rsid w:val="0023059B"/>
    <w:rsid w:val="00243452"/>
    <w:rsid w:val="002644C8"/>
    <w:rsid w:val="00264A08"/>
    <w:rsid w:val="00264A80"/>
    <w:rsid w:val="00276813"/>
    <w:rsid w:val="00281D8D"/>
    <w:rsid w:val="00296569"/>
    <w:rsid w:val="002A10C8"/>
    <w:rsid w:val="002A3337"/>
    <w:rsid w:val="002F15CE"/>
    <w:rsid w:val="002F3F2D"/>
    <w:rsid w:val="002F7BE7"/>
    <w:rsid w:val="0030170E"/>
    <w:rsid w:val="00323E3E"/>
    <w:rsid w:val="00324986"/>
    <w:rsid w:val="003472B6"/>
    <w:rsid w:val="00396D28"/>
    <w:rsid w:val="003A1705"/>
    <w:rsid w:val="003A77E4"/>
    <w:rsid w:val="003B58E8"/>
    <w:rsid w:val="003F0A7D"/>
    <w:rsid w:val="003F4D10"/>
    <w:rsid w:val="003F57E3"/>
    <w:rsid w:val="00407B91"/>
    <w:rsid w:val="00462C63"/>
    <w:rsid w:val="00472EFB"/>
    <w:rsid w:val="00474589"/>
    <w:rsid w:val="004751EB"/>
    <w:rsid w:val="0047571A"/>
    <w:rsid w:val="004857A3"/>
    <w:rsid w:val="004B0D87"/>
    <w:rsid w:val="004D789D"/>
    <w:rsid w:val="004F3B4D"/>
    <w:rsid w:val="00512B2A"/>
    <w:rsid w:val="0052684E"/>
    <w:rsid w:val="00531D3B"/>
    <w:rsid w:val="00534B3E"/>
    <w:rsid w:val="00542E54"/>
    <w:rsid w:val="00557E82"/>
    <w:rsid w:val="00560E3D"/>
    <w:rsid w:val="00575EFA"/>
    <w:rsid w:val="005A29CD"/>
    <w:rsid w:val="005B0950"/>
    <w:rsid w:val="005C6EC7"/>
    <w:rsid w:val="005D4B7B"/>
    <w:rsid w:val="005D546B"/>
    <w:rsid w:val="005D5953"/>
    <w:rsid w:val="005E7C6C"/>
    <w:rsid w:val="005F2B8E"/>
    <w:rsid w:val="00604C4C"/>
    <w:rsid w:val="00613AE8"/>
    <w:rsid w:val="00647B12"/>
    <w:rsid w:val="00647C81"/>
    <w:rsid w:val="00652CF5"/>
    <w:rsid w:val="006832BC"/>
    <w:rsid w:val="00685C2F"/>
    <w:rsid w:val="00687D71"/>
    <w:rsid w:val="006A6CD1"/>
    <w:rsid w:val="006B6015"/>
    <w:rsid w:val="006D507C"/>
    <w:rsid w:val="006D6658"/>
    <w:rsid w:val="006E57B8"/>
    <w:rsid w:val="00700222"/>
    <w:rsid w:val="00743D7D"/>
    <w:rsid w:val="00744EF4"/>
    <w:rsid w:val="00776223"/>
    <w:rsid w:val="0078792E"/>
    <w:rsid w:val="00790D70"/>
    <w:rsid w:val="007A1205"/>
    <w:rsid w:val="007A3EBF"/>
    <w:rsid w:val="007A4F1C"/>
    <w:rsid w:val="007B2BEB"/>
    <w:rsid w:val="007B5ED1"/>
    <w:rsid w:val="007C45A3"/>
    <w:rsid w:val="007C5DD8"/>
    <w:rsid w:val="007D2A2F"/>
    <w:rsid w:val="007D4191"/>
    <w:rsid w:val="007D71D1"/>
    <w:rsid w:val="007E2B7F"/>
    <w:rsid w:val="007E2F3E"/>
    <w:rsid w:val="007E7761"/>
    <w:rsid w:val="008179BA"/>
    <w:rsid w:val="00823042"/>
    <w:rsid w:val="00832441"/>
    <w:rsid w:val="00837327"/>
    <w:rsid w:val="00837E61"/>
    <w:rsid w:val="00840502"/>
    <w:rsid w:val="00874A8E"/>
    <w:rsid w:val="0087650E"/>
    <w:rsid w:val="008B593C"/>
    <w:rsid w:val="008B714C"/>
    <w:rsid w:val="008C6443"/>
    <w:rsid w:val="00931CF3"/>
    <w:rsid w:val="00936262"/>
    <w:rsid w:val="00940FB1"/>
    <w:rsid w:val="00943D3D"/>
    <w:rsid w:val="00950D60"/>
    <w:rsid w:val="009549BC"/>
    <w:rsid w:val="009778BB"/>
    <w:rsid w:val="009825B5"/>
    <w:rsid w:val="009C4A17"/>
    <w:rsid w:val="009C514D"/>
    <w:rsid w:val="00A031BE"/>
    <w:rsid w:val="00A2274A"/>
    <w:rsid w:val="00A34643"/>
    <w:rsid w:val="00A4676E"/>
    <w:rsid w:val="00A6402C"/>
    <w:rsid w:val="00A7057A"/>
    <w:rsid w:val="00A852DD"/>
    <w:rsid w:val="00A95609"/>
    <w:rsid w:val="00AC3137"/>
    <w:rsid w:val="00AD04FA"/>
    <w:rsid w:val="00B07BB8"/>
    <w:rsid w:val="00B17D02"/>
    <w:rsid w:val="00B27B6E"/>
    <w:rsid w:val="00B54559"/>
    <w:rsid w:val="00B65FA1"/>
    <w:rsid w:val="00B80A09"/>
    <w:rsid w:val="00B82C9F"/>
    <w:rsid w:val="00B92523"/>
    <w:rsid w:val="00BD1EF3"/>
    <w:rsid w:val="00BF2E9E"/>
    <w:rsid w:val="00BF7D81"/>
    <w:rsid w:val="00C0252A"/>
    <w:rsid w:val="00C02EEB"/>
    <w:rsid w:val="00C04F48"/>
    <w:rsid w:val="00C10649"/>
    <w:rsid w:val="00C113D3"/>
    <w:rsid w:val="00C44DB6"/>
    <w:rsid w:val="00C5135C"/>
    <w:rsid w:val="00C715B4"/>
    <w:rsid w:val="00C73B69"/>
    <w:rsid w:val="00C91F2F"/>
    <w:rsid w:val="00CA032B"/>
    <w:rsid w:val="00CC32E5"/>
    <w:rsid w:val="00CE6EE3"/>
    <w:rsid w:val="00D0453B"/>
    <w:rsid w:val="00D1115E"/>
    <w:rsid w:val="00D14671"/>
    <w:rsid w:val="00D23475"/>
    <w:rsid w:val="00D255F1"/>
    <w:rsid w:val="00D37ECF"/>
    <w:rsid w:val="00D70515"/>
    <w:rsid w:val="00D73C4F"/>
    <w:rsid w:val="00D9024A"/>
    <w:rsid w:val="00DA06EA"/>
    <w:rsid w:val="00DA1783"/>
    <w:rsid w:val="00DB21CE"/>
    <w:rsid w:val="00DC050D"/>
    <w:rsid w:val="00DC23EC"/>
    <w:rsid w:val="00DD5773"/>
    <w:rsid w:val="00DE3064"/>
    <w:rsid w:val="00E1134D"/>
    <w:rsid w:val="00E32E54"/>
    <w:rsid w:val="00E43B42"/>
    <w:rsid w:val="00E6207B"/>
    <w:rsid w:val="00E67DBB"/>
    <w:rsid w:val="00EA0480"/>
    <w:rsid w:val="00EA74CE"/>
    <w:rsid w:val="00EC5C48"/>
    <w:rsid w:val="00ED469B"/>
    <w:rsid w:val="00F131A1"/>
    <w:rsid w:val="00F205AC"/>
    <w:rsid w:val="00F359D9"/>
    <w:rsid w:val="00F76FB4"/>
    <w:rsid w:val="00FA578D"/>
    <w:rsid w:val="00FB2924"/>
    <w:rsid w:val="00FE60B1"/>
    <w:rsid w:val="00FF5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E9557"/>
  <w15:chartTrackingRefBased/>
  <w15:docId w15:val="{8303D92B-003E-414D-BC8C-43C5991E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76E"/>
    <w:pPr>
      <w:spacing w:line="276" w:lineRule="auto"/>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4676E"/>
    <w:rPr>
      <w:sz w:val="20"/>
      <w:szCs w:val="20"/>
    </w:rPr>
  </w:style>
  <w:style w:type="character" w:customStyle="1" w:styleId="FootnoteTextChar">
    <w:name w:val="Footnote Text Char"/>
    <w:basedOn w:val="DefaultParagraphFont"/>
    <w:link w:val="FootnoteText"/>
    <w:uiPriority w:val="99"/>
    <w:rsid w:val="00A4676E"/>
    <w:rPr>
      <w:rFonts w:eastAsiaTheme="minorEastAsia"/>
      <w:kern w:val="0"/>
      <w:sz w:val="20"/>
      <w:szCs w:val="20"/>
      <w:lang w:eastAsia="lt-LT"/>
      <w14:ligatures w14:val="none"/>
    </w:rPr>
  </w:style>
  <w:style w:type="character" w:styleId="FootnoteReference">
    <w:name w:val="footnote reference"/>
    <w:basedOn w:val="DefaultParagraphFont"/>
    <w:uiPriority w:val="99"/>
    <w:unhideWhenUsed/>
    <w:rsid w:val="00A4676E"/>
    <w:rPr>
      <w:vertAlign w:val="superscript"/>
    </w:rPr>
  </w:style>
  <w:style w:type="character" w:styleId="Hyperlink">
    <w:name w:val="Hyperlink"/>
    <w:basedOn w:val="DefaultParagraphFont"/>
    <w:uiPriority w:val="99"/>
    <w:unhideWhenUsed/>
    <w:rsid w:val="00A4676E"/>
    <w:rPr>
      <w:strike w:val="0"/>
      <w:dstrike w:val="0"/>
      <w:color w:val="auto"/>
      <w:u w:val="none"/>
      <w:effect w:val="none"/>
    </w:rPr>
  </w:style>
  <w:style w:type="paragraph" w:styleId="NoSpacing">
    <w:name w:val="No Spacing"/>
    <w:link w:val="NoSpacingChar"/>
    <w:uiPriority w:val="1"/>
    <w:qFormat/>
    <w:rsid w:val="00A4676E"/>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A4676E"/>
    <w:rPr>
      <w:rFonts w:eastAsiaTheme="minorEastAsia"/>
      <w:kern w:val="0"/>
      <w:sz w:val="21"/>
      <w:szCs w:val="21"/>
      <w:lang w:eastAsia="lt-LT"/>
      <w14:ligatures w14:val="none"/>
    </w:rPr>
  </w:style>
  <w:style w:type="paragraph" w:styleId="Header">
    <w:name w:val="header"/>
    <w:basedOn w:val="Normal"/>
    <w:link w:val="HeaderChar"/>
    <w:uiPriority w:val="99"/>
    <w:unhideWhenUsed/>
    <w:rsid w:val="00A467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76E"/>
    <w:rPr>
      <w:rFonts w:eastAsiaTheme="minorEastAsia"/>
      <w:kern w:val="0"/>
      <w:sz w:val="21"/>
      <w:szCs w:val="21"/>
      <w:lang w:eastAsia="lt-LT"/>
      <w14:ligatures w14:val="none"/>
    </w:rPr>
  </w:style>
  <w:style w:type="paragraph" w:styleId="Footer">
    <w:name w:val="footer"/>
    <w:basedOn w:val="Normal"/>
    <w:link w:val="FooterChar"/>
    <w:uiPriority w:val="99"/>
    <w:unhideWhenUsed/>
    <w:rsid w:val="00A467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76E"/>
    <w:rPr>
      <w:rFonts w:eastAsiaTheme="minorEastAsia"/>
      <w:kern w:val="0"/>
      <w:sz w:val="21"/>
      <w:szCs w:val="21"/>
      <w:lang w:eastAsia="lt-LT"/>
      <w14:ligatures w14:val="none"/>
    </w:rPr>
  </w:style>
  <w:style w:type="paragraph" w:styleId="ListParagraph">
    <w:name w:val="List Paragraph"/>
    <w:basedOn w:val="Normal"/>
    <w:uiPriority w:val="34"/>
    <w:qFormat/>
    <w:rsid w:val="00874A8E"/>
    <w:pPr>
      <w:ind w:left="720"/>
      <w:contextualSpacing/>
    </w:pPr>
  </w:style>
  <w:style w:type="character" w:styleId="CommentReference">
    <w:name w:val="annotation reference"/>
    <w:basedOn w:val="DefaultParagraphFont"/>
    <w:uiPriority w:val="99"/>
    <w:semiHidden/>
    <w:unhideWhenUsed/>
    <w:rsid w:val="00296569"/>
    <w:rPr>
      <w:sz w:val="16"/>
      <w:szCs w:val="16"/>
    </w:rPr>
  </w:style>
  <w:style w:type="paragraph" w:styleId="CommentText">
    <w:name w:val="annotation text"/>
    <w:basedOn w:val="Normal"/>
    <w:link w:val="CommentTextChar"/>
    <w:uiPriority w:val="99"/>
    <w:unhideWhenUsed/>
    <w:rsid w:val="00296569"/>
    <w:pPr>
      <w:spacing w:line="240" w:lineRule="auto"/>
    </w:pPr>
    <w:rPr>
      <w:sz w:val="20"/>
      <w:szCs w:val="20"/>
    </w:rPr>
  </w:style>
  <w:style w:type="character" w:customStyle="1" w:styleId="CommentTextChar">
    <w:name w:val="Comment Text Char"/>
    <w:basedOn w:val="DefaultParagraphFont"/>
    <w:link w:val="CommentText"/>
    <w:uiPriority w:val="99"/>
    <w:rsid w:val="00296569"/>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296569"/>
    <w:rPr>
      <w:b/>
      <w:bCs/>
    </w:rPr>
  </w:style>
  <w:style w:type="character" w:customStyle="1" w:styleId="CommentSubjectChar">
    <w:name w:val="Comment Subject Char"/>
    <w:basedOn w:val="CommentTextChar"/>
    <w:link w:val="CommentSubject"/>
    <w:uiPriority w:val="99"/>
    <w:semiHidden/>
    <w:rsid w:val="00296569"/>
    <w:rPr>
      <w:rFonts w:eastAsiaTheme="minorEastAsia"/>
      <w:b/>
      <w:bCs/>
      <w:kern w:val="0"/>
      <w:sz w:val="20"/>
      <w:szCs w:val="20"/>
      <w:lang w:eastAsia="lt-LT"/>
      <w14:ligatures w14:val="none"/>
    </w:rPr>
  </w:style>
  <w:style w:type="character" w:customStyle="1" w:styleId="UnresolvedMention1">
    <w:name w:val="Unresolved Mention1"/>
    <w:basedOn w:val="DefaultParagraphFont"/>
    <w:uiPriority w:val="99"/>
    <w:semiHidden/>
    <w:unhideWhenUsed/>
    <w:rsid w:val="005C6EC7"/>
    <w:rPr>
      <w:color w:val="605E5C"/>
      <w:shd w:val="clear" w:color="auto" w:fill="E1DFDD"/>
    </w:rPr>
  </w:style>
  <w:style w:type="character" w:styleId="FollowedHyperlink">
    <w:name w:val="FollowedHyperlink"/>
    <w:basedOn w:val="DefaultParagraphFont"/>
    <w:uiPriority w:val="99"/>
    <w:semiHidden/>
    <w:unhideWhenUsed/>
    <w:rsid w:val="005C6EC7"/>
    <w:rPr>
      <w:color w:val="954F72" w:themeColor="followedHyperlink"/>
      <w:u w:val="single"/>
    </w:rPr>
  </w:style>
  <w:style w:type="paragraph" w:customStyle="1" w:styleId="Body2">
    <w:name w:val="Body 2"/>
    <w:rsid w:val="00CC32E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paragraph" w:styleId="BalloonText">
    <w:name w:val="Balloon Text"/>
    <w:basedOn w:val="Normal"/>
    <w:link w:val="BalloonTextChar"/>
    <w:uiPriority w:val="99"/>
    <w:semiHidden/>
    <w:unhideWhenUsed/>
    <w:rsid w:val="00264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A08"/>
    <w:rPr>
      <w:rFonts w:ascii="Segoe UI" w:eastAsiaTheme="minorEastAsia" w:hAnsi="Segoe UI" w:cs="Segoe UI"/>
      <w:kern w:val="0"/>
      <w:sz w:val="18"/>
      <w:szCs w:val="18"/>
      <w:lang w:eastAsia="lt-LT"/>
      <w14:ligatures w14:val="none"/>
    </w:rPr>
  </w:style>
  <w:style w:type="paragraph" w:styleId="Revision">
    <w:name w:val="Revision"/>
    <w:hidden/>
    <w:uiPriority w:val="99"/>
    <w:semiHidden/>
    <w:rsid w:val="007B2BEB"/>
    <w:pPr>
      <w:spacing w:after="0" w:line="240" w:lineRule="auto"/>
    </w:pPr>
    <w:rPr>
      <w:rFonts w:eastAsiaTheme="minorEastAsia"/>
      <w:kern w:val="0"/>
      <w:sz w:val="21"/>
      <w:szCs w:val="21"/>
      <w:lang w:eastAsia="lt-LT"/>
      <w14:ligatures w14:val="none"/>
    </w:rPr>
  </w:style>
  <w:style w:type="character" w:styleId="UnresolvedMention">
    <w:name w:val="Unresolved Mention"/>
    <w:basedOn w:val="DefaultParagraphFont"/>
    <w:uiPriority w:val="99"/>
    <w:semiHidden/>
    <w:unhideWhenUsed/>
    <w:rsid w:val="00B54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4663">
      <w:bodyDiv w:val="1"/>
      <w:marLeft w:val="0"/>
      <w:marRight w:val="0"/>
      <w:marTop w:val="0"/>
      <w:marBottom w:val="0"/>
      <w:divBdr>
        <w:top w:val="none" w:sz="0" w:space="0" w:color="auto"/>
        <w:left w:val="none" w:sz="0" w:space="0" w:color="auto"/>
        <w:bottom w:val="none" w:sz="0" w:space="0" w:color="auto"/>
        <w:right w:val="none" w:sz="0" w:space="0" w:color="auto"/>
      </w:divBdr>
    </w:div>
    <w:div w:id="489640467">
      <w:bodyDiv w:val="1"/>
      <w:marLeft w:val="0"/>
      <w:marRight w:val="0"/>
      <w:marTop w:val="0"/>
      <w:marBottom w:val="0"/>
      <w:divBdr>
        <w:top w:val="none" w:sz="0" w:space="0" w:color="auto"/>
        <w:left w:val="none" w:sz="0" w:space="0" w:color="auto"/>
        <w:bottom w:val="none" w:sz="0" w:space="0" w:color="auto"/>
        <w:right w:val="none" w:sz="0" w:space="0" w:color="auto"/>
      </w:divBdr>
      <w:divsChild>
        <w:div w:id="783884724">
          <w:marLeft w:val="0"/>
          <w:marRight w:val="0"/>
          <w:marTop w:val="0"/>
          <w:marBottom w:val="0"/>
          <w:divBdr>
            <w:top w:val="none" w:sz="0" w:space="0" w:color="auto"/>
            <w:left w:val="none" w:sz="0" w:space="0" w:color="auto"/>
            <w:bottom w:val="none" w:sz="0" w:space="0" w:color="auto"/>
            <w:right w:val="none" w:sz="0" w:space="0" w:color="auto"/>
          </w:divBdr>
        </w:div>
        <w:div w:id="266085154">
          <w:marLeft w:val="0"/>
          <w:marRight w:val="0"/>
          <w:marTop w:val="0"/>
          <w:marBottom w:val="0"/>
          <w:divBdr>
            <w:top w:val="none" w:sz="0" w:space="0" w:color="auto"/>
            <w:left w:val="none" w:sz="0" w:space="0" w:color="auto"/>
            <w:bottom w:val="none" w:sz="0" w:space="0" w:color="auto"/>
            <w:right w:val="none" w:sz="0" w:space="0" w:color="auto"/>
          </w:divBdr>
        </w:div>
        <w:div w:id="1433744514">
          <w:marLeft w:val="0"/>
          <w:marRight w:val="0"/>
          <w:marTop w:val="0"/>
          <w:marBottom w:val="0"/>
          <w:divBdr>
            <w:top w:val="none" w:sz="0" w:space="0" w:color="auto"/>
            <w:left w:val="none" w:sz="0" w:space="0" w:color="auto"/>
            <w:bottom w:val="none" w:sz="0" w:space="0" w:color="auto"/>
            <w:right w:val="none" w:sz="0" w:space="0" w:color="auto"/>
          </w:divBdr>
        </w:div>
        <w:div w:id="2126919391">
          <w:marLeft w:val="0"/>
          <w:marRight w:val="0"/>
          <w:marTop w:val="0"/>
          <w:marBottom w:val="0"/>
          <w:divBdr>
            <w:top w:val="none" w:sz="0" w:space="0" w:color="auto"/>
            <w:left w:val="none" w:sz="0" w:space="0" w:color="auto"/>
            <w:bottom w:val="none" w:sz="0" w:space="0" w:color="auto"/>
            <w:right w:val="none" w:sz="0" w:space="0" w:color="auto"/>
          </w:divBdr>
        </w:div>
        <w:div w:id="432937091">
          <w:marLeft w:val="0"/>
          <w:marRight w:val="0"/>
          <w:marTop w:val="0"/>
          <w:marBottom w:val="0"/>
          <w:divBdr>
            <w:top w:val="none" w:sz="0" w:space="0" w:color="auto"/>
            <w:left w:val="none" w:sz="0" w:space="0" w:color="auto"/>
            <w:bottom w:val="none" w:sz="0" w:space="0" w:color="auto"/>
            <w:right w:val="none" w:sz="0" w:space="0" w:color="auto"/>
          </w:divBdr>
        </w:div>
        <w:div w:id="1888301584">
          <w:marLeft w:val="0"/>
          <w:marRight w:val="0"/>
          <w:marTop w:val="0"/>
          <w:marBottom w:val="0"/>
          <w:divBdr>
            <w:top w:val="none" w:sz="0" w:space="0" w:color="auto"/>
            <w:left w:val="none" w:sz="0" w:space="0" w:color="auto"/>
            <w:bottom w:val="none" w:sz="0" w:space="0" w:color="auto"/>
            <w:right w:val="none" w:sz="0" w:space="0" w:color="auto"/>
          </w:divBdr>
        </w:div>
        <w:div w:id="455367463">
          <w:marLeft w:val="0"/>
          <w:marRight w:val="0"/>
          <w:marTop w:val="0"/>
          <w:marBottom w:val="0"/>
          <w:divBdr>
            <w:top w:val="none" w:sz="0" w:space="0" w:color="auto"/>
            <w:left w:val="none" w:sz="0" w:space="0" w:color="auto"/>
            <w:bottom w:val="none" w:sz="0" w:space="0" w:color="auto"/>
            <w:right w:val="none" w:sz="0" w:space="0" w:color="auto"/>
          </w:divBdr>
        </w:div>
      </w:divsChild>
    </w:div>
    <w:div w:id="802893490">
      <w:bodyDiv w:val="1"/>
      <w:marLeft w:val="0"/>
      <w:marRight w:val="0"/>
      <w:marTop w:val="0"/>
      <w:marBottom w:val="0"/>
      <w:divBdr>
        <w:top w:val="none" w:sz="0" w:space="0" w:color="auto"/>
        <w:left w:val="none" w:sz="0" w:space="0" w:color="auto"/>
        <w:bottom w:val="none" w:sz="0" w:space="0" w:color="auto"/>
        <w:right w:val="none" w:sz="0" w:space="0" w:color="auto"/>
      </w:divBdr>
      <w:divsChild>
        <w:div w:id="1111318437">
          <w:marLeft w:val="0"/>
          <w:marRight w:val="0"/>
          <w:marTop w:val="0"/>
          <w:marBottom w:val="0"/>
          <w:divBdr>
            <w:top w:val="none" w:sz="0" w:space="0" w:color="auto"/>
            <w:left w:val="none" w:sz="0" w:space="0" w:color="auto"/>
            <w:bottom w:val="none" w:sz="0" w:space="0" w:color="auto"/>
            <w:right w:val="none" w:sz="0" w:space="0" w:color="auto"/>
          </w:divBdr>
          <w:divsChild>
            <w:div w:id="469631935">
              <w:marLeft w:val="0"/>
              <w:marRight w:val="0"/>
              <w:marTop w:val="0"/>
              <w:marBottom w:val="0"/>
              <w:divBdr>
                <w:top w:val="none" w:sz="0" w:space="0" w:color="auto"/>
                <w:left w:val="none" w:sz="0" w:space="0" w:color="auto"/>
                <w:bottom w:val="none" w:sz="0" w:space="0" w:color="auto"/>
                <w:right w:val="none" w:sz="0" w:space="0" w:color="auto"/>
              </w:divBdr>
            </w:div>
            <w:div w:id="1069813606">
              <w:marLeft w:val="0"/>
              <w:marRight w:val="0"/>
              <w:marTop w:val="0"/>
              <w:marBottom w:val="0"/>
              <w:divBdr>
                <w:top w:val="none" w:sz="0" w:space="0" w:color="auto"/>
                <w:left w:val="none" w:sz="0" w:space="0" w:color="auto"/>
                <w:bottom w:val="none" w:sz="0" w:space="0" w:color="auto"/>
                <w:right w:val="none" w:sz="0" w:space="0" w:color="auto"/>
              </w:divBdr>
            </w:div>
            <w:div w:id="1065372703">
              <w:marLeft w:val="0"/>
              <w:marRight w:val="0"/>
              <w:marTop w:val="0"/>
              <w:marBottom w:val="0"/>
              <w:divBdr>
                <w:top w:val="none" w:sz="0" w:space="0" w:color="auto"/>
                <w:left w:val="none" w:sz="0" w:space="0" w:color="auto"/>
                <w:bottom w:val="none" w:sz="0" w:space="0" w:color="auto"/>
                <w:right w:val="none" w:sz="0" w:space="0" w:color="auto"/>
              </w:divBdr>
            </w:div>
            <w:div w:id="1392460671">
              <w:marLeft w:val="0"/>
              <w:marRight w:val="0"/>
              <w:marTop w:val="0"/>
              <w:marBottom w:val="0"/>
              <w:divBdr>
                <w:top w:val="none" w:sz="0" w:space="0" w:color="auto"/>
                <w:left w:val="none" w:sz="0" w:space="0" w:color="auto"/>
                <w:bottom w:val="none" w:sz="0" w:space="0" w:color="auto"/>
                <w:right w:val="none" w:sz="0" w:space="0" w:color="auto"/>
              </w:divBdr>
            </w:div>
            <w:div w:id="189298290">
              <w:marLeft w:val="0"/>
              <w:marRight w:val="0"/>
              <w:marTop w:val="0"/>
              <w:marBottom w:val="0"/>
              <w:divBdr>
                <w:top w:val="none" w:sz="0" w:space="0" w:color="auto"/>
                <w:left w:val="none" w:sz="0" w:space="0" w:color="auto"/>
                <w:bottom w:val="none" w:sz="0" w:space="0" w:color="auto"/>
                <w:right w:val="none" w:sz="0" w:space="0" w:color="auto"/>
              </w:divBdr>
            </w:div>
            <w:div w:id="700742293">
              <w:marLeft w:val="0"/>
              <w:marRight w:val="0"/>
              <w:marTop w:val="0"/>
              <w:marBottom w:val="0"/>
              <w:divBdr>
                <w:top w:val="none" w:sz="0" w:space="0" w:color="auto"/>
                <w:left w:val="none" w:sz="0" w:space="0" w:color="auto"/>
                <w:bottom w:val="none" w:sz="0" w:space="0" w:color="auto"/>
                <w:right w:val="none" w:sz="0" w:space="0" w:color="auto"/>
              </w:divBdr>
            </w:div>
          </w:divsChild>
        </w:div>
        <w:div w:id="1646468485">
          <w:marLeft w:val="0"/>
          <w:marRight w:val="0"/>
          <w:marTop w:val="0"/>
          <w:marBottom w:val="0"/>
          <w:divBdr>
            <w:top w:val="none" w:sz="0" w:space="0" w:color="auto"/>
            <w:left w:val="none" w:sz="0" w:space="0" w:color="auto"/>
            <w:bottom w:val="none" w:sz="0" w:space="0" w:color="auto"/>
            <w:right w:val="none" w:sz="0" w:space="0" w:color="auto"/>
          </w:divBdr>
        </w:div>
        <w:div w:id="1687905642">
          <w:marLeft w:val="0"/>
          <w:marRight w:val="0"/>
          <w:marTop w:val="0"/>
          <w:marBottom w:val="0"/>
          <w:divBdr>
            <w:top w:val="none" w:sz="0" w:space="0" w:color="auto"/>
            <w:left w:val="none" w:sz="0" w:space="0" w:color="auto"/>
            <w:bottom w:val="none" w:sz="0" w:space="0" w:color="auto"/>
            <w:right w:val="none" w:sz="0" w:space="0" w:color="auto"/>
          </w:divBdr>
          <w:divsChild>
            <w:div w:id="275673596">
              <w:marLeft w:val="0"/>
              <w:marRight w:val="0"/>
              <w:marTop w:val="0"/>
              <w:marBottom w:val="0"/>
              <w:divBdr>
                <w:top w:val="none" w:sz="0" w:space="0" w:color="auto"/>
                <w:left w:val="none" w:sz="0" w:space="0" w:color="auto"/>
                <w:bottom w:val="none" w:sz="0" w:space="0" w:color="auto"/>
                <w:right w:val="none" w:sz="0" w:space="0" w:color="auto"/>
              </w:divBdr>
            </w:div>
            <w:div w:id="36011601">
              <w:marLeft w:val="0"/>
              <w:marRight w:val="0"/>
              <w:marTop w:val="0"/>
              <w:marBottom w:val="0"/>
              <w:divBdr>
                <w:top w:val="none" w:sz="0" w:space="0" w:color="auto"/>
                <w:left w:val="none" w:sz="0" w:space="0" w:color="auto"/>
                <w:bottom w:val="none" w:sz="0" w:space="0" w:color="auto"/>
                <w:right w:val="none" w:sz="0" w:space="0" w:color="auto"/>
              </w:divBdr>
            </w:div>
            <w:div w:id="687489048">
              <w:marLeft w:val="0"/>
              <w:marRight w:val="0"/>
              <w:marTop w:val="0"/>
              <w:marBottom w:val="0"/>
              <w:divBdr>
                <w:top w:val="none" w:sz="0" w:space="0" w:color="auto"/>
                <w:left w:val="none" w:sz="0" w:space="0" w:color="auto"/>
                <w:bottom w:val="none" w:sz="0" w:space="0" w:color="auto"/>
                <w:right w:val="none" w:sz="0" w:space="0" w:color="auto"/>
              </w:divBdr>
            </w:div>
            <w:div w:id="188312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0940">
      <w:bodyDiv w:val="1"/>
      <w:marLeft w:val="0"/>
      <w:marRight w:val="0"/>
      <w:marTop w:val="0"/>
      <w:marBottom w:val="0"/>
      <w:divBdr>
        <w:top w:val="none" w:sz="0" w:space="0" w:color="auto"/>
        <w:left w:val="none" w:sz="0" w:space="0" w:color="auto"/>
        <w:bottom w:val="none" w:sz="0" w:space="0" w:color="auto"/>
        <w:right w:val="none" w:sz="0" w:space="0" w:color="auto"/>
      </w:divBdr>
      <w:divsChild>
        <w:div w:id="1556047662">
          <w:marLeft w:val="0"/>
          <w:marRight w:val="0"/>
          <w:marTop w:val="0"/>
          <w:marBottom w:val="0"/>
          <w:divBdr>
            <w:top w:val="none" w:sz="0" w:space="0" w:color="auto"/>
            <w:left w:val="none" w:sz="0" w:space="0" w:color="auto"/>
            <w:bottom w:val="none" w:sz="0" w:space="0" w:color="auto"/>
            <w:right w:val="none" w:sz="0" w:space="0" w:color="auto"/>
          </w:divBdr>
        </w:div>
      </w:divsChild>
    </w:div>
    <w:div w:id="1233396730">
      <w:bodyDiv w:val="1"/>
      <w:marLeft w:val="0"/>
      <w:marRight w:val="0"/>
      <w:marTop w:val="0"/>
      <w:marBottom w:val="0"/>
      <w:divBdr>
        <w:top w:val="none" w:sz="0" w:space="0" w:color="auto"/>
        <w:left w:val="none" w:sz="0" w:space="0" w:color="auto"/>
        <w:bottom w:val="none" w:sz="0" w:space="0" w:color="auto"/>
        <w:right w:val="none" w:sz="0" w:space="0" w:color="auto"/>
      </w:divBdr>
      <w:divsChild>
        <w:div w:id="1737439123">
          <w:marLeft w:val="0"/>
          <w:marRight w:val="0"/>
          <w:marTop w:val="0"/>
          <w:marBottom w:val="0"/>
          <w:divBdr>
            <w:top w:val="none" w:sz="0" w:space="0" w:color="auto"/>
            <w:left w:val="none" w:sz="0" w:space="0" w:color="auto"/>
            <w:bottom w:val="none" w:sz="0" w:space="0" w:color="auto"/>
            <w:right w:val="none" w:sz="0" w:space="0" w:color="auto"/>
          </w:divBdr>
        </w:div>
        <w:div w:id="396174269">
          <w:marLeft w:val="0"/>
          <w:marRight w:val="0"/>
          <w:marTop w:val="0"/>
          <w:marBottom w:val="0"/>
          <w:divBdr>
            <w:top w:val="none" w:sz="0" w:space="0" w:color="auto"/>
            <w:left w:val="none" w:sz="0" w:space="0" w:color="auto"/>
            <w:bottom w:val="none" w:sz="0" w:space="0" w:color="auto"/>
            <w:right w:val="none" w:sz="0" w:space="0" w:color="auto"/>
          </w:divBdr>
        </w:div>
        <w:div w:id="285699460">
          <w:marLeft w:val="0"/>
          <w:marRight w:val="0"/>
          <w:marTop w:val="0"/>
          <w:marBottom w:val="0"/>
          <w:divBdr>
            <w:top w:val="none" w:sz="0" w:space="0" w:color="auto"/>
            <w:left w:val="none" w:sz="0" w:space="0" w:color="auto"/>
            <w:bottom w:val="none" w:sz="0" w:space="0" w:color="auto"/>
            <w:right w:val="none" w:sz="0" w:space="0" w:color="auto"/>
          </w:divBdr>
        </w:div>
        <w:div w:id="436145797">
          <w:marLeft w:val="0"/>
          <w:marRight w:val="0"/>
          <w:marTop w:val="0"/>
          <w:marBottom w:val="0"/>
          <w:divBdr>
            <w:top w:val="none" w:sz="0" w:space="0" w:color="auto"/>
            <w:left w:val="none" w:sz="0" w:space="0" w:color="auto"/>
            <w:bottom w:val="none" w:sz="0" w:space="0" w:color="auto"/>
            <w:right w:val="none" w:sz="0" w:space="0" w:color="auto"/>
          </w:divBdr>
        </w:div>
        <w:div w:id="126633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AB715-0D04-4632-A9D9-C85F459B3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11</Pages>
  <Words>15091</Words>
  <Characters>8602</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Sungailaitė-Jurčė</dc:creator>
  <cp:keywords/>
  <dc:description/>
  <cp:lastModifiedBy>Justas Šakočius</cp:lastModifiedBy>
  <cp:revision>99</cp:revision>
  <dcterms:created xsi:type="dcterms:W3CDTF">2023-10-02T10:12:00Z</dcterms:created>
  <dcterms:modified xsi:type="dcterms:W3CDTF">2026-06-16T10:15:00Z</dcterms:modified>
</cp:coreProperties>
</file>