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2CAF" w14:textId="77777777" w:rsidR="009B704C" w:rsidRPr="009B704C" w:rsidRDefault="009B704C" w:rsidP="009B704C">
      <w:pPr>
        <w:spacing w:after="120" w:line="240" w:lineRule="auto"/>
        <w:ind w:left="567"/>
        <w:contextualSpacing/>
        <w:jc w:val="center"/>
        <w:rPr>
          <w:rFonts w:cstheme="minorHAnsi"/>
          <w:sz w:val="28"/>
          <w:szCs w:val="28"/>
        </w:rPr>
      </w:pPr>
      <w:r w:rsidRPr="009B704C">
        <w:rPr>
          <w:rFonts w:cstheme="minorHAnsi"/>
          <w:sz w:val="28"/>
          <w:szCs w:val="28"/>
        </w:rPr>
        <w:t>Perkančiosios organizacijos pavadinimas</w:t>
      </w:r>
    </w:p>
    <w:p w14:paraId="00AEFD36" w14:textId="77777777" w:rsidR="009B704C" w:rsidRPr="009B704C" w:rsidRDefault="009B704C" w:rsidP="009B704C">
      <w:pPr>
        <w:spacing w:after="0" w:line="240" w:lineRule="auto"/>
        <w:ind w:left="567"/>
        <w:contextualSpacing/>
        <w:jc w:val="center"/>
        <w:rPr>
          <w:rFonts w:cstheme="minorHAnsi"/>
          <w:b/>
          <w:bCs/>
          <w:caps/>
          <w:sz w:val="28"/>
          <w:szCs w:val="28"/>
        </w:rPr>
      </w:pPr>
      <w:r w:rsidRPr="009B704C">
        <w:rPr>
          <w:rFonts w:cstheme="minorHAnsi"/>
          <w:b/>
          <w:bCs/>
          <w:caps/>
          <w:sz w:val="28"/>
          <w:szCs w:val="28"/>
        </w:rPr>
        <w:t>VšĮ Kėdainių PIRMINĖS SVEIKATOS PRIEŽIŪROS CENTRAS</w:t>
      </w:r>
    </w:p>
    <w:p w14:paraId="5434A69B" w14:textId="77777777" w:rsidR="009B704C" w:rsidRPr="009B704C" w:rsidRDefault="009B704C" w:rsidP="009B704C">
      <w:pPr>
        <w:spacing w:after="0" w:line="240" w:lineRule="auto"/>
        <w:ind w:left="567"/>
        <w:contextualSpacing/>
        <w:jc w:val="center"/>
        <w:rPr>
          <w:rFonts w:cstheme="minorHAnsi"/>
          <w:sz w:val="28"/>
          <w:szCs w:val="28"/>
        </w:rPr>
      </w:pPr>
      <w:r w:rsidRPr="009B704C">
        <w:rPr>
          <w:rFonts w:cstheme="minorHAnsi"/>
          <w:sz w:val="28"/>
          <w:szCs w:val="28"/>
        </w:rPr>
        <w:t>Perkančiosios organizacijos rekvizitai</w:t>
      </w:r>
    </w:p>
    <w:p w14:paraId="02E865AD" w14:textId="77777777" w:rsidR="009B704C" w:rsidRPr="009B704C" w:rsidRDefault="009B704C" w:rsidP="009B704C">
      <w:pPr>
        <w:spacing w:after="0" w:line="240" w:lineRule="auto"/>
        <w:ind w:left="567"/>
        <w:contextualSpacing/>
        <w:jc w:val="center"/>
        <w:rPr>
          <w:rFonts w:cstheme="minorHAnsi"/>
          <w:sz w:val="28"/>
          <w:szCs w:val="28"/>
        </w:rPr>
      </w:pPr>
      <w:r w:rsidRPr="009B704C">
        <w:rPr>
          <w:rFonts w:cstheme="minorHAnsi"/>
          <w:sz w:val="28"/>
          <w:szCs w:val="28"/>
        </w:rPr>
        <w:t xml:space="preserve">įm. k. 191045757, adresas: Budrio g. 5, LT-57164 Kėdainiai, Kėdainių r. sav., tel. +370 347 50 872, el. p. info@kedainiupspc.lt  </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426E3198"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A85249">
            <w:rPr>
              <w:rFonts w:cstheme="minorHAnsi"/>
              <w:sz w:val="24"/>
              <w:szCs w:val="24"/>
            </w:rPr>
            <w:t>202</w:t>
          </w:r>
          <w:r w:rsidR="00D27DEE">
            <w:rPr>
              <w:rFonts w:cstheme="minorHAnsi"/>
              <w:sz w:val="24"/>
              <w:szCs w:val="24"/>
            </w:rPr>
            <w:t>6</w:t>
          </w:r>
          <w:r w:rsidR="008E0F39" w:rsidRPr="00A85249">
            <w:rPr>
              <w:rFonts w:cstheme="minorHAnsi"/>
              <w:sz w:val="24"/>
              <w:szCs w:val="24"/>
            </w:rPr>
            <w:t xml:space="preserve"> m. </w:t>
          </w:r>
          <w:r w:rsidR="00217B0C">
            <w:rPr>
              <w:rFonts w:cstheme="minorHAnsi"/>
              <w:sz w:val="24"/>
              <w:szCs w:val="24"/>
            </w:rPr>
            <w:t>birželio</w:t>
          </w:r>
          <w:r w:rsidR="00653F0E">
            <w:rPr>
              <w:rFonts w:cstheme="minorHAnsi"/>
              <w:sz w:val="24"/>
              <w:szCs w:val="24"/>
            </w:rPr>
            <w:t xml:space="preserve"> </w:t>
          </w:r>
          <w:r w:rsidR="009716FF">
            <w:rPr>
              <w:rFonts w:cstheme="minorHAnsi"/>
              <w:sz w:val="24"/>
              <w:szCs w:val="24"/>
            </w:rPr>
            <w:t>18</w:t>
          </w:r>
          <w:r w:rsidR="00653F0E">
            <w:rPr>
              <w:rFonts w:cstheme="minorHAnsi"/>
              <w:sz w:val="24"/>
              <w:szCs w:val="24"/>
            </w:rPr>
            <w:t xml:space="preserve"> </w:t>
          </w:r>
          <w:r w:rsidR="00DA5065" w:rsidRPr="00A85249">
            <w:rPr>
              <w:rFonts w:cstheme="minorHAnsi"/>
              <w:sz w:val="24"/>
              <w:szCs w:val="24"/>
            </w:rPr>
            <w:t xml:space="preserve">d. </w:t>
          </w:r>
          <w:r w:rsidR="001C24BC" w:rsidRPr="00A85249">
            <w:rPr>
              <w:rFonts w:cstheme="minorHAnsi"/>
              <w:sz w:val="24"/>
              <w:szCs w:val="24"/>
            </w:rPr>
            <w:t>protokolu Nr.</w:t>
          </w:r>
          <w:r w:rsidR="00603B2A" w:rsidRPr="00A85249">
            <w:rPr>
              <w:rFonts w:cstheme="minorHAnsi"/>
              <w:sz w:val="24"/>
              <w:szCs w:val="24"/>
            </w:rPr>
            <w:t xml:space="preserve"> VPN(C)</w:t>
          </w:r>
          <w:r w:rsidR="00DE14D0">
            <w:rPr>
              <w:rFonts w:cstheme="minorHAnsi"/>
              <w:sz w:val="24"/>
              <w:szCs w:val="24"/>
            </w:rPr>
            <w:t>-</w:t>
          </w:r>
          <w:r w:rsidR="009716FF">
            <w:rPr>
              <w:rFonts w:cstheme="minorHAnsi"/>
              <w:sz w:val="24"/>
              <w:szCs w:val="24"/>
            </w:rPr>
            <w:t>2</w:t>
          </w:r>
          <w:r w:rsidR="00AB26F3">
            <w:rPr>
              <w:rFonts w:cstheme="minorHAnsi"/>
              <w:sz w:val="24"/>
              <w:szCs w:val="24"/>
            </w:rPr>
            <w:t>69</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75BAE99C"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D27DEE">
            <w:rPr>
              <w:rFonts w:cstheme="minorHAnsi"/>
              <w:b/>
              <w:bCs/>
              <w:caps/>
              <w:sz w:val="28"/>
              <w:szCs w:val="28"/>
            </w:rPr>
            <w:t>PIRKIMO „</w:t>
          </w:r>
          <w:r w:rsidR="009B704C" w:rsidRPr="009B704C">
            <w:rPr>
              <w:rFonts w:cstheme="minorHAnsi"/>
              <w:b/>
              <w:bCs/>
              <w:caps/>
              <w:sz w:val="28"/>
              <w:szCs w:val="28"/>
            </w:rPr>
            <w:t>DANTŲ PROTEZAVIMO GAMINI</w:t>
          </w:r>
          <w:r w:rsidR="00564533">
            <w:rPr>
              <w:rFonts w:cstheme="minorHAnsi"/>
              <w:b/>
              <w:bCs/>
              <w:caps/>
              <w:sz w:val="28"/>
              <w:szCs w:val="28"/>
            </w:rPr>
            <w:t>ai</w:t>
          </w:r>
          <w:r w:rsidR="00077CC9" w:rsidRPr="00D27DEE">
            <w:rPr>
              <w:rFonts w:cstheme="minorHAnsi"/>
              <w:b/>
              <w:bCs/>
              <w:cap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07B54DDA"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78CA16C2" w14:textId="0C8D1796" w:rsidR="009B704C" w:rsidRDefault="009B704C" w:rsidP="00152396">
      <w:pPr>
        <w:pStyle w:val="ListParagraph"/>
        <w:tabs>
          <w:tab w:val="left" w:pos="993"/>
        </w:tabs>
        <w:spacing w:after="0" w:line="20" w:lineRule="atLeast"/>
        <w:ind w:left="0" w:firstLine="567"/>
        <w:jc w:val="both"/>
        <w:rPr>
          <w:rFonts w:cstheme="minorHAnsi"/>
          <w:sz w:val="24"/>
          <w:szCs w:val="24"/>
        </w:rPr>
      </w:pPr>
      <w:r>
        <w:rPr>
          <w:rFonts w:cstheme="minorHAnsi"/>
          <w:sz w:val="24"/>
          <w:szCs w:val="24"/>
        </w:rPr>
        <w:t xml:space="preserve">1.1. </w:t>
      </w:r>
      <w:r w:rsidRPr="009B704C">
        <w:rPr>
          <w:rFonts w:cstheme="minorHAnsi"/>
          <w:sz w:val="24"/>
          <w:szCs w:val="24"/>
        </w:rPr>
        <w:t>Perkančioji organizacija – VšĮ Kėdainių pirminės sveikatos priežiūros centras, juridinio asmens kodas 191045757, adresas Budrio g. 5, 57164 Kėdainiai, administracijos darbo laikas: pirmadienį–ketvirtadienį 7.00–15.45, penktadienį 7.00–14.30. Perkančioji organizacija nėra PVM mokėtoja.</w:t>
      </w:r>
    </w:p>
    <w:p w14:paraId="6D947FD4" w14:textId="192D4559"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00D27DEE" w:rsidRPr="00D27DEE">
        <w:rPr>
          <w:rFonts w:eastAsia="Calibri"/>
          <w:sz w:val="24"/>
          <w:szCs w:val="24"/>
        </w:rPr>
        <w:t>Pirkimą perkančiosios organizacijos vardu atlieka centrinės perkančiosios organizacijos funkcijas vykdanti Kėdainių rajono savivaldybės administracija, juridinio asmens kodas 188768545, adresas J. Basanavičiaus g. 36, 58185 Kėdainiai, darbo laikas pirmadienį–ketvirtadienį 8.00–17.00, penktadienį 8.00–15.45,  prieššventinėmis dienomis – vieną valandą trumpiau, pietų pertrauka 12.00–12.45. Sutartį pasirašys perkančioji organizacija</w:t>
      </w:r>
      <w:r w:rsidRPr="00152396">
        <w:rPr>
          <w:rFonts w:eastAsia="Calibri"/>
          <w:sz w:val="24"/>
          <w:szCs w:val="24"/>
        </w:rPr>
        <w:t>.</w:t>
      </w:r>
    </w:p>
    <w:p w14:paraId="04360BBB" w14:textId="1361CF34" w:rsidR="00D27DEE" w:rsidRPr="00D27DEE" w:rsidRDefault="00D27DEE" w:rsidP="00D27DEE">
      <w:pPr>
        <w:pStyle w:val="ListParagraph"/>
        <w:tabs>
          <w:tab w:val="left" w:pos="993"/>
        </w:tabs>
        <w:spacing w:after="0" w:line="20" w:lineRule="atLeast"/>
        <w:ind w:left="0" w:firstLine="567"/>
        <w:jc w:val="both"/>
        <w:rPr>
          <w:rFonts w:eastAsia="Calibri"/>
          <w:sz w:val="24"/>
          <w:szCs w:val="24"/>
        </w:rPr>
      </w:pPr>
      <w:bookmarkStart w:id="3" w:name="_Ref39426332"/>
      <w:bookmarkStart w:id="4" w:name="_Ref39426338"/>
      <w:bookmarkStart w:id="5" w:name="_Toc190694156"/>
      <w:bookmarkEnd w:id="1"/>
      <w:r w:rsidRPr="00D27DEE">
        <w:rPr>
          <w:color w:val="000000" w:themeColor="text1"/>
          <w:sz w:val="24"/>
          <w:szCs w:val="24"/>
        </w:rPr>
        <w:t xml:space="preserve">1.3. Pirkimas neatliekamas naudojantis centralizuotų pirkimų katalogu, nes CPO LT kataloge nėra perkančiosios organizacijos poreikius atitinkančių prekių. </w:t>
      </w:r>
    </w:p>
    <w:p w14:paraId="286CB650" w14:textId="77777777" w:rsidR="00D27DEE" w:rsidRPr="00D27DEE" w:rsidRDefault="00D27DEE" w:rsidP="00D27DEE">
      <w:pPr>
        <w:spacing w:after="0" w:line="240" w:lineRule="auto"/>
        <w:ind w:firstLine="567"/>
        <w:rPr>
          <w:rFonts w:cstheme="minorHAnsi"/>
          <w:color w:val="FF0000"/>
          <w:sz w:val="24"/>
          <w:szCs w:val="24"/>
        </w:rPr>
      </w:pPr>
      <w:r w:rsidRPr="00D27DEE">
        <w:rPr>
          <w:rFonts w:cstheme="minorHAnsi"/>
          <w:sz w:val="24"/>
          <w:szCs w:val="24"/>
        </w:rPr>
        <w:t>1.4.  P</w:t>
      </w:r>
      <w:r w:rsidRPr="00D27DEE">
        <w:rPr>
          <w:rFonts w:eastAsia="Times New Roman" w:cstheme="minorHAnsi"/>
          <w:sz w:val="24"/>
          <w:szCs w:val="24"/>
        </w:rPr>
        <w:t>erkančioji organizacija nerezervuoja teisės dalyvauti pirkime.</w:t>
      </w:r>
    </w:p>
    <w:p w14:paraId="6D9AE96F" w14:textId="77777777" w:rsidR="00D27DEE" w:rsidRPr="00D27DEE" w:rsidRDefault="00D27DEE" w:rsidP="00D27DEE">
      <w:pPr>
        <w:pStyle w:val="ListParagraph"/>
        <w:spacing w:after="0" w:line="240" w:lineRule="auto"/>
        <w:ind w:left="0" w:firstLine="567"/>
        <w:jc w:val="both"/>
        <w:rPr>
          <w:rFonts w:cstheme="minorHAnsi"/>
          <w:sz w:val="24"/>
          <w:szCs w:val="24"/>
        </w:rPr>
      </w:pPr>
      <w:r w:rsidRPr="00D27DEE">
        <w:rPr>
          <w:rFonts w:cstheme="minorHAnsi"/>
          <w:sz w:val="24"/>
          <w:szCs w:val="24"/>
        </w:rPr>
        <w:t>1.5. Stebėtojai dalyvauti Komisijos posėdžiuose nėra kviečiami.</w:t>
      </w:r>
    </w:p>
    <w:p w14:paraId="6AFA4760" w14:textId="36FA5511" w:rsidR="00D27DEE" w:rsidRPr="00D27DEE" w:rsidRDefault="00A82F8D" w:rsidP="00D27DEE">
      <w:pPr>
        <w:pStyle w:val="ListParagraph"/>
        <w:numPr>
          <w:ilvl w:val="1"/>
          <w:numId w:val="7"/>
        </w:numPr>
        <w:spacing w:after="0" w:line="240" w:lineRule="auto"/>
        <w:ind w:left="0" w:firstLine="567"/>
        <w:jc w:val="both"/>
        <w:rPr>
          <w:rFonts w:eastAsia="Arial"/>
          <w:sz w:val="24"/>
          <w:szCs w:val="24"/>
        </w:rPr>
      </w:pPr>
      <w:r w:rsidRPr="00A82F8D">
        <w:rPr>
          <w:rFonts w:cstheme="minorHAnsi"/>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D27DEE" w:rsidRPr="00D27DEE">
        <w:rPr>
          <w:rFonts w:cstheme="minorHAnsi"/>
          <w:sz w:val="24"/>
          <w:szCs w:val="24"/>
        </w:rPr>
        <w:t xml:space="preserve"> 4.4.4</w:t>
      </w:r>
      <w:r w:rsidR="00742022">
        <w:rPr>
          <w:rFonts w:cstheme="minorHAnsi"/>
          <w:sz w:val="24"/>
          <w:szCs w:val="24"/>
        </w:rPr>
        <w:t>.1.</w:t>
      </w:r>
      <w:r w:rsidR="00D27DEE" w:rsidRPr="00D27DEE">
        <w:rPr>
          <w:rFonts w:cstheme="minorHAnsi"/>
          <w:sz w:val="24"/>
          <w:szCs w:val="24"/>
        </w:rPr>
        <w:t xml:space="preserve"> papunkčiu. Aplinkos apaugos kriterijai nustatyti pirkimo sąlygų 10 priedo „Sutarties projektas“ specialiųjų sąlygų 13.1 punkte.</w:t>
      </w:r>
    </w:p>
    <w:p w14:paraId="1E91180D" w14:textId="77777777" w:rsidR="00D27DEE" w:rsidRPr="00D27DEE" w:rsidRDefault="00D27DEE" w:rsidP="00D27DEE">
      <w:pPr>
        <w:pStyle w:val="ListParagraph"/>
        <w:numPr>
          <w:ilvl w:val="1"/>
          <w:numId w:val="7"/>
        </w:numPr>
        <w:spacing w:after="0" w:line="240" w:lineRule="auto"/>
        <w:ind w:left="0" w:firstLine="567"/>
        <w:jc w:val="both"/>
        <w:rPr>
          <w:rFonts w:eastAsia="Arial"/>
          <w:color w:val="000000" w:themeColor="text1"/>
          <w:sz w:val="24"/>
          <w:szCs w:val="24"/>
        </w:rPr>
      </w:pPr>
      <w:r w:rsidRPr="00D27DEE">
        <w:rPr>
          <w:rFonts w:eastAsia="Times New Roman"/>
          <w:color w:val="000000" w:themeColor="text1"/>
          <w:sz w:val="24"/>
          <w:szCs w:val="24"/>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27DEE">
          <w:rPr>
            <w:rStyle w:val="Hyperlink"/>
            <w:rFonts w:eastAsia="Times New Roman"/>
            <w:color w:val="000000" w:themeColor="text1"/>
            <w:sz w:val="24"/>
            <w:szCs w:val="24"/>
          </w:rPr>
          <w:t>www.kedainiai.lt</w:t>
        </w:r>
      </w:hyperlink>
      <w:r w:rsidRPr="00D27DEE">
        <w:rPr>
          <w:rFonts w:eastAsia="Times New Roman"/>
          <w:color w:val="000000" w:themeColor="text1"/>
          <w:sz w:val="24"/>
          <w:szCs w:val="24"/>
        </w:rPr>
        <w:t xml:space="preserve"> skyriaus „Teisinė informacija"  srityje „Asmens duomenų apsauga“.</w:t>
      </w:r>
    </w:p>
    <w:p w14:paraId="3F546D09"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ascii="Calibri" w:eastAsia="Arial" w:hAnsi="Calibri" w:cs="Times New Roman"/>
          <w:sz w:val="24"/>
          <w:szCs w:val="24"/>
        </w:rPr>
        <w:t xml:space="preserve">Išankstinis skelbimas apie pirkimą nebuvo paskelbtas. </w:t>
      </w:r>
      <w:r w:rsidRPr="00D27DEE">
        <w:rPr>
          <w:rFonts w:ascii="Calibri" w:eastAsia="Times New Roman" w:hAnsi="Calibri" w:cs="Calibri"/>
          <w:color w:val="FF0000"/>
          <w:sz w:val="24"/>
          <w:szCs w:val="24"/>
        </w:rPr>
        <w:t xml:space="preserve"> </w:t>
      </w:r>
    </w:p>
    <w:p w14:paraId="24E7C298"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sz w:val="24"/>
          <w:szCs w:val="24"/>
          <w:lang w:eastAsia="en-US"/>
        </w:rPr>
        <w:t xml:space="preserve">Pirkime </w:t>
      </w:r>
      <w:r w:rsidRPr="00D27DEE">
        <w:rPr>
          <w:rFonts w:cstheme="minorHAnsi"/>
          <w:sz w:val="24"/>
          <w:szCs w:val="24"/>
        </w:rPr>
        <w:t xml:space="preserve"> perkančioji organizacija</w:t>
      </w:r>
      <w:r w:rsidRPr="00D27DEE">
        <w:rPr>
          <w:rFonts w:cstheme="minorHAnsi"/>
          <w:sz w:val="24"/>
          <w:szCs w:val="24"/>
          <w:lang w:eastAsia="en-US"/>
        </w:rPr>
        <w:t xml:space="preserve"> nenumato skelbti pranešimo dėl savanoriško </w:t>
      </w:r>
      <w:r w:rsidRPr="00D27DEE">
        <w:rPr>
          <w:rFonts w:cstheme="minorHAnsi"/>
          <w:i/>
          <w:iCs/>
          <w:sz w:val="24"/>
          <w:szCs w:val="24"/>
          <w:lang w:eastAsia="en-US"/>
        </w:rPr>
        <w:t>ex ante</w:t>
      </w:r>
      <w:r w:rsidRPr="00D27DEE">
        <w:rPr>
          <w:rFonts w:cstheme="minorHAnsi"/>
          <w:sz w:val="24"/>
          <w:szCs w:val="24"/>
          <w:lang w:eastAsia="en-US"/>
        </w:rPr>
        <w:t xml:space="preserve"> skaidrumo.</w:t>
      </w:r>
    </w:p>
    <w:p w14:paraId="6A211044" w14:textId="77777777" w:rsidR="00D27DEE" w:rsidRPr="00D27DEE" w:rsidRDefault="00D27DEE" w:rsidP="00D27DEE">
      <w:pPr>
        <w:pStyle w:val="ListParagraph"/>
        <w:numPr>
          <w:ilvl w:val="1"/>
          <w:numId w:val="7"/>
        </w:numPr>
        <w:tabs>
          <w:tab w:val="left" w:pos="851"/>
          <w:tab w:val="left" w:pos="993"/>
        </w:tabs>
        <w:spacing w:after="0" w:line="240" w:lineRule="auto"/>
        <w:ind w:left="0" w:firstLine="567"/>
        <w:jc w:val="both"/>
        <w:rPr>
          <w:rFonts w:cstheme="minorHAnsi"/>
          <w:color w:val="7030A0"/>
          <w:sz w:val="24"/>
          <w:szCs w:val="24"/>
        </w:rPr>
      </w:pPr>
      <w:r w:rsidRPr="00D27DEE">
        <w:rPr>
          <w:rFonts w:cstheme="minorHAnsi"/>
          <w:sz w:val="24"/>
          <w:szCs w:val="24"/>
        </w:rPr>
        <w:t xml:space="preserve"> Pirkime neleidžiama pateikti alternatyvių pasiūlymų. </w:t>
      </w:r>
    </w:p>
    <w:p w14:paraId="1179F2BF"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color w:val="7030A0"/>
          <w:sz w:val="24"/>
          <w:szCs w:val="24"/>
        </w:rPr>
        <w:t xml:space="preserve"> </w:t>
      </w:r>
      <w:r w:rsidRPr="00D27DEE">
        <w:rPr>
          <w:rFonts w:eastAsia="Arial" w:cstheme="minorHAnsi"/>
          <w:color w:val="333333"/>
          <w:sz w:val="24"/>
          <w:szCs w:val="24"/>
        </w:rPr>
        <w:t>Bendrosios pirkimo sąlygos yra neatskiriama šių pirkimo sąlygų dalis.</w:t>
      </w:r>
    </w:p>
    <w:p w14:paraId="5DEDEBC7" w14:textId="1ED44FB6" w:rsidR="00B41C66" w:rsidRPr="00936468" w:rsidRDefault="00507DC9" w:rsidP="00717DCC">
      <w:pPr>
        <w:pStyle w:val="Heading1"/>
        <w:spacing w:line="20" w:lineRule="atLeast"/>
        <w:contextualSpacing/>
      </w:pPr>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20ED75D4"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 xml:space="preserve">Perkančioji organizacija numato </w:t>
      </w:r>
      <w:r w:rsidR="005131DA">
        <w:rPr>
          <w:rFonts w:eastAsia="Calibri"/>
          <w:color w:val="000000" w:themeColor="text1"/>
          <w:sz w:val="24"/>
          <w:szCs w:val="24"/>
        </w:rPr>
        <w:t xml:space="preserve">įsigyti </w:t>
      </w:r>
      <w:r w:rsidR="004C5F4E">
        <w:rPr>
          <w:rFonts w:eastAsia="Calibri"/>
          <w:color w:val="000000" w:themeColor="text1"/>
          <w:sz w:val="24"/>
          <w:szCs w:val="24"/>
        </w:rPr>
        <w:t>dantų protezavimo gaminius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41886468"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9B704C">
        <w:rPr>
          <w:rFonts w:cstheme="minorHAnsi"/>
          <w:sz w:val="24"/>
          <w:szCs w:val="24"/>
          <w:lang w:val="en-GB"/>
        </w:rPr>
        <w:t>2</w:t>
      </w:r>
      <w:r w:rsidR="00077CC9">
        <w:rPr>
          <w:rFonts w:cstheme="minorHAnsi"/>
          <w:sz w:val="24"/>
          <w:szCs w:val="24"/>
          <w:lang w:val="en-GB"/>
        </w:rPr>
        <w:t xml:space="preserve"> (</w:t>
      </w:r>
      <w:r w:rsidR="009B704C">
        <w:rPr>
          <w:rFonts w:cstheme="minorHAnsi"/>
          <w:sz w:val="24"/>
          <w:szCs w:val="24"/>
          <w:lang w:val="en-GB"/>
        </w:rPr>
        <w:t>dvi</w:t>
      </w:r>
      <w:r w:rsidR="00077CC9">
        <w:rPr>
          <w:rFonts w:cstheme="minorHAnsi"/>
          <w:sz w:val="24"/>
          <w:szCs w:val="24"/>
          <w:lang w:val="en-GB"/>
        </w:rPr>
        <w:t>)</w:t>
      </w:r>
      <w:r w:rsidR="00F97361">
        <w:rPr>
          <w:rFonts w:cstheme="minorHAnsi"/>
          <w:sz w:val="24"/>
          <w:szCs w:val="24"/>
          <w:lang w:val="en-GB"/>
        </w:rPr>
        <w:t xml:space="preserve"> dal</w:t>
      </w:r>
      <w:r w:rsidR="003C54B0">
        <w:rPr>
          <w:rFonts w:cstheme="minorHAnsi"/>
          <w:sz w:val="24"/>
          <w:szCs w:val="24"/>
          <w:lang w:val="en-GB"/>
        </w:rPr>
        <w:t>i</w:t>
      </w:r>
      <w:r w:rsidR="000A23A8">
        <w:rPr>
          <w:rFonts w:cstheme="minorHAnsi"/>
          <w:sz w:val="24"/>
          <w:szCs w:val="24"/>
          <w:lang w:val="en-GB"/>
        </w:rPr>
        <w:t>s</w:t>
      </w:r>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 xml:space="preserve">2, </w:t>
      </w:r>
      <w:r w:rsidR="00CD4C6D" w:rsidRPr="005A205E">
        <w:rPr>
          <w:rFonts w:cstheme="minorHAnsi"/>
          <w:sz w:val="24"/>
          <w:szCs w:val="24"/>
        </w:rPr>
        <w:t xml:space="preserve">6, 10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6FB17478" w14:textId="5DA82A67" w:rsidR="00753091" w:rsidRDefault="009D1DBC" w:rsidP="009D1DBC">
      <w:pPr>
        <w:pStyle w:val="NoSpacing"/>
        <w:spacing w:after="120"/>
        <w:ind w:firstLine="709"/>
        <w:contextualSpacing/>
        <w:jc w:val="both"/>
        <w:rPr>
          <w:rFonts w:cstheme="minorHAnsi"/>
          <w:b/>
          <w:bCs/>
          <w:sz w:val="24"/>
          <w:szCs w:val="24"/>
        </w:rPr>
      </w:pPr>
      <w:r w:rsidRPr="00116935">
        <w:rPr>
          <w:rFonts w:cstheme="minorHAnsi"/>
          <w:b/>
          <w:bCs/>
          <w:sz w:val="24"/>
          <w:szCs w:val="24"/>
        </w:rPr>
        <w:t>2.5. Maksimali perkančiajai organizacijai priimtina pasiūlymo kaina</w:t>
      </w:r>
      <w:r w:rsidR="00FA24A4">
        <w:rPr>
          <w:rFonts w:cstheme="minorHAnsi"/>
          <w:b/>
          <w:bCs/>
          <w:sz w:val="24"/>
          <w:szCs w:val="24"/>
        </w:rPr>
        <w:t>:</w:t>
      </w:r>
      <w:r w:rsidRPr="00116935">
        <w:rPr>
          <w:rFonts w:cstheme="minorHAnsi"/>
          <w:b/>
          <w:bCs/>
          <w:sz w:val="24"/>
          <w:szCs w:val="24"/>
        </w:rPr>
        <w:t xml:space="preserve"> </w:t>
      </w:r>
    </w:p>
    <w:p w14:paraId="21AA574D" w14:textId="468C1888" w:rsidR="009D1DBC" w:rsidRDefault="00753091" w:rsidP="009D1DBC">
      <w:pPr>
        <w:pStyle w:val="NoSpacing"/>
        <w:spacing w:after="120"/>
        <w:ind w:firstLine="709"/>
        <w:contextualSpacing/>
        <w:jc w:val="both"/>
        <w:rPr>
          <w:rFonts w:cstheme="minorHAnsi"/>
          <w:b/>
          <w:bCs/>
          <w:sz w:val="24"/>
          <w:szCs w:val="24"/>
        </w:rPr>
      </w:pPr>
      <w:r>
        <w:rPr>
          <w:rFonts w:cstheme="minorHAnsi"/>
          <w:b/>
          <w:bCs/>
          <w:sz w:val="24"/>
          <w:szCs w:val="24"/>
        </w:rPr>
        <w:t xml:space="preserve">2.5.1. Pirkimo I dalis </w:t>
      </w:r>
      <w:r w:rsidR="009D1DBC" w:rsidRPr="00116935">
        <w:rPr>
          <w:rFonts w:cstheme="minorHAnsi"/>
          <w:b/>
          <w:bCs/>
          <w:sz w:val="24"/>
          <w:szCs w:val="24"/>
        </w:rPr>
        <w:t xml:space="preserve">–  </w:t>
      </w:r>
      <w:r w:rsidRPr="00753091">
        <w:rPr>
          <w:rFonts w:cstheme="minorHAnsi"/>
          <w:b/>
          <w:bCs/>
          <w:sz w:val="24"/>
          <w:szCs w:val="24"/>
        </w:rPr>
        <w:t>103</w:t>
      </w:r>
      <w:r>
        <w:rPr>
          <w:rFonts w:cstheme="minorHAnsi"/>
          <w:b/>
          <w:bCs/>
          <w:sz w:val="24"/>
          <w:szCs w:val="24"/>
        </w:rPr>
        <w:t xml:space="preserve"> </w:t>
      </w:r>
      <w:r w:rsidRPr="00753091">
        <w:rPr>
          <w:rFonts w:cstheme="minorHAnsi"/>
          <w:b/>
          <w:bCs/>
          <w:sz w:val="24"/>
          <w:szCs w:val="24"/>
        </w:rPr>
        <w:t>140,5</w:t>
      </w:r>
      <w:r>
        <w:rPr>
          <w:rFonts w:cstheme="minorHAnsi"/>
          <w:b/>
          <w:bCs/>
          <w:sz w:val="24"/>
          <w:szCs w:val="24"/>
        </w:rPr>
        <w:t>0</w:t>
      </w:r>
      <w:r w:rsidR="009D1DBC" w:rsidRPr="00116935">
        <w:rPr>
          <w:rFonts w:cstheme="minorHAnsi"/>
          <w:b/>
          <w:bCs/>
          <w:sz w:val="24"/>
          <w:szCs w:val="24"/>
        </w:rPr>
        <w:t xml:space="preserve"> </w:t>
      </w:r>
      <w:r>
        <w:rPr>
          <w:rFonts w:cstheme="minorHAnsi"/>
          <w:b/>
          <w:bCs/>
          <w:sz w:val="24"/>
          <w:szCs w:val="24"/>
        </w:rPr>
        <w:t>Eur</w:t>
      </w:r>
      <w:r w:rsidR="009D1DBC" w:rsidRPr="00116935">
        <w:rPr>
          <w:rFonts w:cstheme="minorHAnsi"/>
          <w:b/>
          <w:bCs/>
          <w:sz w:val="24"/>
          <w:szCs w:val="24"/>
        </w:rPr>
        <w:t xml:space="preserve"> (vienas šimtas </w:t>
      </w:r>
      <w:r>
        <w:rPr>
          <w:rFonts w:cstheme="minorHAnsi"/>
          <w:b/>
          <w:bCs/>
          <w:sz w:val="24"/>
          <w:szCs w:val="24"/>
        </w:rPr>
        <w:t>trys tūkstančiai vienas šimtas keturiasdešimt</w:t>
      </w:r>
      <w:r w:rsidR="009D1DBC" w:rsidRPr="00116935">
        <w:rPr>
          <w:rFonts w:cstheme="minorHAnsi"/>
          <w:b/>
          <w:bCs/>
          <w:sz w:val="24"/>
          <w:szCs w:val="24"/>
        </w:rPr>
        <w:t xml:space="preserve"> Eur, </w:t>
      </w:r>
      <w:r>
        <w:rPr>
          <w:rFonts w:cstheme="minorHAnsi"/>
          <w:b/>
          <w:bCs/>
          <w:sz w:val="24"/>
          <w:szCs w:val="24"/>
        </w:rPr>
        <w:t>50</w:t>
      </w:r>
      <w:r w:rsidR="009D1DBC" w:rsidRPr="00116935">
        <w:rPr>
          <w:rFonts w:cstheme="minorHAnsi"/>
          <w:b/>
          <w:bCs/>
          <w:sz w:val="24"/>
          <w:szCs w:val="24"/>
        </w:rPr>
        <w:t xml:space="preserve"> ct) be PVM;</w:t>
      </w:r>
    </w:p>
    <w:p w14:paraId="41008014" w14:textId="3A48B634" w:rsidR="00753091" w:rsidRPr="00116935" w:rsidRDefault="00753091" w:rsidP="009D1DBC">
      <w:pPr>
        <w:pStyle w:val="NoSpacing"/>
        <w:spacing w:after="120"/>
        <w:ind w:firstLine="709"/>
        <w:contextualSpacing/>
        <w:jc w:val="both"/>
        <w:rPr>
          <w:rFonts w:cstheme="minorHAnsi"/>
          <w:b/>
          <w:bCs/>
          <w:sz w:val="24"/>
          <w:szCs w:val="24"/>
        </w:rPr>
      </w:pPr>
      <w:r>
        <w:rPr>
          <w:rFonts w:cstheme="minorHAnsi"/>
          <w:b/>
          <w:bCs/>
          <w:sz w:val="24"/>
          <w:szCs w:val="24"/>
        </w:rPr>
        <w:t xml:space="preserve">2.5.2. </w:t>
      </w:r>
      <w:r w:rsidRPr="00753091">
        <w:rPr>
          <w:rFonts w:cstheme="minorHAnsi"/>
          <w:b/>
          <w:bCs/>
          <w:sz w:val="24"/>
          <w:szCs w:val="24"/>
        </w:rPr>
        <w:t>Pirkimo I</w:t>
      </w:r>
      <w:r>
        <w:rPr>
          <w:rFonts w:cstheme="minorHAnsi"/>
          <w:b/>
          <w:bCs/>
          <w:sz w:val="24"/>
          <w:szCs w:val="24"/>
        </w:rPr>
        <w:t>I</w:t>
      </w:r>
      <w:r w:rsidRPr="00753091">
        <w:rPr>
          <w:rFonts w:cstheme="minorHAnsi"/>
          <w:b/>
          <w:bCs/>
          <w:sz w:val="24"/>
          <w:szCs w:val="24"/>
        </w:rPr>
        <w:t xml:space="preserve"> dalis</w:t>
      </w:r>
      <w:r>
        <w:rPr>
          <w:rFonts w:cstheme="minorHAnsi"/>
          <w:b/>
          <w:bCs/>
          <w:sz w:val="24"/>
          <w:szCs w:val="24"/>
        </w:rPr>
        <w:t xml:space="preserve"> </w:t>
      </w:r>
      <w:r w:rsidRPr="00116935">
        <w:rPr>
          <w:rFonts w:cstheme="minorHAnsi"/>
          <w:b/>
          <w:bCs/>
          <w:sz w:val="24"/>
          <w:szCs w:val="24"/>
        </w:rPr>
        <w:t xml:space="preserve">–  </w:t>
      </w:r>
      <w:r w:rsidRPr="00753091">
        <w:rPr>
          <w:rFonts w:cstheme="minorHAnsi"/>
          <w:b/>
          <w:bCs/>
          <w:sz w:val="24"/>
          <w:szCs w:val="24"/>
        </w:rPr>
        <w:t>55</w:t>
      </w:r>
      <w:r>
        <w:rPr>
          <w:rFonts w:cstheme="minorHAnsi"/>
          <w:b/>
          <w:bCs/>
          <w:sz w:val="24"/>
          <w:szCs w:val="24"/>
        </w:rPr>
        <w:t xml:space="preserve"> </w:t>
      </w:r>
      <w:r w:rsidRPr="00753091">
        <w:rPr>
          <w:rFonts w:cstheme="minorHAnsi"/>
          <w:b/>
          <w:bCs/>
          <w:sz w:val="24"/>
          <w:szCs w:val="24"/>
        </w:rPr>
        <w:t>537,19</w:t>
      </w:r>
      <w:r>
        <w:rPr>
          <w:rFonts w:cstheme="minorHAnsi"/>
          <w:b/>
          <w:bCs/>
          <w:sz w:val="24"/>
          <w:szCs w:val="24"/>
        </w:rPr>
        <w:t xml:space="preserve"> Eur</w:t>
      </w:r>
      <w:r w:rsidRPr="00753091">
        <w:rPr>
          <w:rFonts w:cstheme="minorHAnsi"/>
          <w:b/>
          <w:bCs/>
          <w:sz w:val="24"/>
          <w:szCs w:val="24"/>
        </w:rPr>
        <w:t xml:space="preserve"> (</w:t>
      </w:r>
      <w:r w:rsidRPr="00753091">
        <w:rPr>
          <w:b/>
          <w:bCs/>
          <w:kern w:val="2"/>
          <w:sz w:val="24"/>
          <w:szCs w:val="24"/>
        </w:rPr>
        <w:t>penkiasdešimt penki tūkstančiai penki šimtai trisdešimt septyni</w:t>
      </w:r>
      <w:r w:rsidRPr="00753091">
        <w:rPr>
          <w:rFonts w:cstheme="minorHAnsi"/>
          <w:b/>
          <w:bCs/>
          <w:sz w:val="24"/>
          <w:szCs w:val="24"/>
        </w:rPr>
        <w:t xml:space="preserve"> Eur, 50 ct) be PVM</w:t>
      </w:r>
      <w:r>
        <w:rPr>
          <w:rFonts w:cstheme="minorHAnsi"/>
          <w:b/>
          <w:bCs/>
          <w:sz w:val="24"/>
          <w:szCs w:val="24"/>
        </w:rPr>
        <w:t>.</w:t>
      </w:r>
    </w:p>
    <w:p w14:paraId="57539453" w14:textId="41F8B30E" w:rsidR="009D1DBC" w:rsidRPr="00116935" w:rsidRDefault="009D1DBC" w:rsidP="009D1DBC">
      <w:pPr>
        <w:pStyle w:val="NoSpacing"/>
        <w:spacing w:after="120"/>
        <w:ind w:firstLine="709"/>
        <w:contextualSpacing/>
        <w:jc w:val="both"/>
        <w:rPr>
          <w:rFonts w:cstheme="minorHAnsi"/>
          <w:b/>
          <w:bCs/>
          <w:sz w:val="24"/>
          <w:szCs w:val="24"/>
        </w:rPr>
      </w:pPr>
      <w:r w:rsidRPr="00116935">
        <w:rPr>
          <w:rFonts w:cstheme="minorHAnsi"/>
          <w:b/>
          <w:bCs/>
          <w:sz w:val="24"/>
          <w:szCs w:val="24"/>
        </w:rPr>
        <w:t xml:space="preserve">Pasiūlyta kaina viršijanti </w:t>
      </w:r>
      <w:r w:rsidR="00FA24A4">
        <w:rPr>
          <w:rFonts w:cstheme="minorHAnsi"/>
          <w:b/>
          <w:bCs/>
          <w:sz w:val="24"/>
          <w:szCs w:val="24"/>
        </w:rPr>
        <w:t xml:space="preserve">2.5.1. ir 2.5.2. papunkčiuose </w:t>
      </w:r>
      <w:r w:rsidRPr="00116935">
        <w:rPr>
          <w:rFonts w:cstheme="minorHAnsi"/>
          <w:b/>
          <w:bCs/>
          <w:sz w:val="24"/>
          <w:szCs w:val="24"/>
        </w:rPr>
        <w:t>nurodyt</w:t>
      </w:r>
      <w:r w:rsidR="00FA24A4">
        <w:rPr>
          <w:rFonts w:cstheme="minorHAnsi"/>
          <w:b/>
          <w:bCs/>
          <w:sz w:val="24"/>
          <w:szCs w:val="24"/>
        </w:rPr>
        <w:t>as</w:t>
      </w:r>
      <w:r w:rsidRPr="00116935">
        <w:rPr>
          <w:rFonts w:cstheme="minorHAnsi"/>
          <w:b/>
          <w:bCs/>
          <w:sz w:val="24"/>
          <w:szCs w:val="24"/>
        </w:rPr>
        <w:t xml:space="preserve"> sum</w:t>
      </w:r>
      <w:r w:rsidR="00FA24A4">
        <w:rPr>
          <w:rFonts w:cstheme="minorHAnsi"/>
          <w:b/>
          <w:bCs/>
          <w:sz w:val="24"/>
          <w:szCs w:val="24"/>
        </w:rPr>
        <w:t>as</w:t>
      </w:r>
      <w:r w:rsidRPr="00116935">
        <w:rPr>
          <w:rFonts w:cstheme="minorHAnsi"/>
          <w:b/>
          <w:bCs/>
          <w:sz w:val="24"/>
          <w:szCs w:val="24"/>
        </w:rPr>
        <w:t xml:space="preserve"> bus laikoma per didele kaina ir tok</w:t>
      </w:r>
      <w:r w:rsidR="00FA24A4">
        <w:rPr>
          <w:rFonts w:cstheme="minorHAnsi"/>
          <w:b/>
          <w:bCs/>
          <w:sz w:val="24"/>
          <w:szCs w:val="24"/>
        </w:rPr>
        <w:t>ie</w:t>
      </w:r>
      <w:r w:rsidRPr="00116935">
        <w:rPr>
          <w:rFonts w:cstheme="minorHAnsi"/>
          <w:b/>
          <w:bCs/>
          <w:sz w:val="24"/>
          <w:szCs w:val="24"/>
        </w:rPr>
        <w:t xml:space="preserve"> pasiūlyma</w:t>
      </w:r>
      <w:r w:rsidR="00FA24A4">
        <w:rPr>
          <w:rFonts w:cstheme="minorHAnsi"/>
          <w:b/>
          <w:bCs/>
          <w:sz w:val="24"/>
          <w:szCs w:val="24"/>
        </w:rPr>
        <w:t>i</w:t>
      </w:r>
      <w:r w:rsidRPr="00116935">
        <w:rPr>
          <w:rFonts w:cstheme="minorHAnsi"/>
          <w:b/>
          <w:bCs/>
          <w:sz w:val="24"/>
          <w:szCs w:val="24"/>
        </w:rPr>
        <w:t>, vadovaujantis bendrųjų pirkimo sąlygų 18.1.8 papunkčiu, bus atmetam</w:t>
      </w:r>
      <w:r w:rsidR="00FA24A4">
        <w:rPr>
          <w:rFonts w:cstheme="minorHAnsi"/>
          <w:b/>
          <w:bCs/>
          <w:sz w:val="24"/>
          <w:szCs w:val="24"/>
        </w:rPr>
        <w:t>i</w:t>
      </w:r>
      <w:r w:rsidRPr="00116935">
        <w:rPr>
          <w:rFonts w:cstheme="minorHAnsi"/>
          <w:b/>
          <w:bCs/>
          <w:sz w:val="24"/>
          <w:szCs w:val="24"/>
        </w:rPr>
        <w:t>.</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3072931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4D53B3BE"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nustatomi kvalifikacijos reikalavimai</w:t>
      </w:r>
      <w:r w:rsidR="00742022">
        <w:rPr>
          <w:sz w:val="24"/>
          <w:szCs w:val="24"/>
        </w:rPr>
        <w:t xml:space="preserve"> (4 priedas)</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3681DF8E"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w:t>
      </w:r>
      <w:r w:rsidR="00DF6558" w:rsidRPr="00453D58">
        <w:rPr>
          <w:sz w:val="24"/>
          <w:szCs w:val="24"/>
        </w:rPr>
        <w:lastRenderedPageBreak/>
        <w:t xml:space="preserve">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2F6A0A47"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12190868"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6564439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6BE3B81E" w:rsidR="00450415" w:rsidRPr="004D670E" w:rsidRDefault="00210355" w:rsidP="004D670E">
      <w:pPr>
        <w:pStyle w:val="ListParagraph"/>
        <w:numPr>
          <w:ilvl w:val="2"/>
          <w:numId w:val="8"/>
        </w:numPr>
        <w:tabs>
          <w:tab w:val="left" w:pos="1276"/>
        </w:tabs>
        <w:spacing w:after="0" w:line="240" w:lineRule="auto"/>
        <w:ind w:left="0" w:firstLine="696"/>
        <w:jc w:val="both"/>
        <w:rPr>
          <w:rFonts w:cstheme="minorHAnsi"/>
          <w:i/>
          <w:iCs/>
          <w:sz w:val="24"/>
          <w:szCs w:val="24"/>
        </w:rPr>
      </w:pPr>
      <w:r w:rsidRPr="004D670E">
        <w:rPr>
          <w:rFonts w:cstheme="minorHAnsi"/>
          <w:sz w:val="24"/>
          <w:szCs w:val="24"/>
        </w:rPr>
        <w:t>Nacionalinio saugumo</w:t>
      </w:r>
      <w:r w:rsidR="004266B7" w:rsidRPr="004D670E">
        <w:rPr>
          <w:rFonts w:cstheme="minorHAnsi"/>
          <w:sz w:val="24"/>
          <w:szCs w:val="24"/>
        </w:rPr>
        <w:t xml:space="preserve"> reikalavimų atitikties deklaracija,</w:t>
      </w:r>
      <w:r w:rsidR="00450415" w:rsidRPr="004D670E">
        <w:rPr>
          <w:rFonts w:cstheme="minorHAnsi"/>
          <w:sz w:val="24"/>
          <w:szCs w:val="24"/>
        </w:rPr>
        <w:t xml:space="preserve"> užpildyta pagal pirkimo sąlygų</w:t>
      </w:r>
      <w:r w:rsidR="00DD08B3" w:rsidRPr="004D670E">
        <w:rPr>
          <w:rFonts w:cstheme="minorHAnsi"/>
          <w:sz w:val="24"/>
          <w:szCs w:val="24"/>
        </w:rPr>
        <w:t xml:space="preserve"> 8</w:t>
      </w:r>
      <w:r w:rsidR="00E00595" w:rsidRPr="004D670E">
        <w:rPr>
          <w:rFonts w:cstheme="minorHAnsi"/>
          <w:sz w:val="24"/>
          <w:szCs w:val="24"/>
        </w:rPr>
        <w:t xml:space="preserve"> </w:t>
      </w:r>
      <w:r w:rsidR="00E00595" w:rsidRPr="004D670E">
        <w:rPr>
          <w:rFonts w:cstheme="minorHAnsi"/>
          <w:i/>
          <w:iCs/>
          <w:color w:val="000000" w:themeColor="text1"/>
          <w:sz w:val="24"/>
          <w:szCs w:val="24"/>
        </w:rPr>
        <w:t>(juridiniam asmeniui)</w:t>
      </w:r>
      <w:r w:rsidR="00E00595" w:rsidRPr="004D670E">
        <w:rPr>
          <w:rFonts w:cstheme="minorHAnsi"/>
          <w:sz w:val="24"/>
          <w:szCs w:val="24"/>
        </w:rPr>
        <w:t xml:space="preserve"> </w:t>
      </w:r>
      <w:r w:rsidR="00DD08B3" w:rsidRPr="004D670E">
        <w:rPr>
          <w:rFonts w:cstheme="minorHAnsi"/>
          <w:sz w:val="24"/>
          <w:szCs w:val="24"/>
        </w:rPr>
        <w:t xml:space="preserve"> arba </w:t>
      </w:r>
      <w:r w:rsidR="00F27E2F" w:rsidRPr="004D670E">
        <w:rPr>
          <w:rFonts w:cstheme="minorHAnsi"/>
          <w:sz w:val="24"/>
          <w:szCs w:val="24"/>
        </w:rPr>
        <w:t>9</w:t>
      </w:r>
      <w:r w:rsidR="00E00595" w:rsidRPr="004D670E">
        <w:rPr>
          <w:rFonts w:cstheme="minorHAnsi"/>
          <w:sz w:val="24"/>
          <w:szCs w:val="24"/>
        </w:rPr>
        <w:t xml:space="preserve"> </w:t>
      </w:r>
      <w:r w:rsidR="00E00595" w:rsidRPr="004D670E">
        <w:rPr>
          <w:rFonts w:cstheme="minorHAnsi"/>
          <w:i/>
          <w:iCs/>
          <w:color w:val="000000" w:themeColor="text1"/>
          <w:sz w:val="24"/>
          <w:szCs w:val="24"/>
        </w:rPr>
        <w:t>(fiziniam asmeniui)</w:t>
      </w:r>
      <w:r w:rsidR="00450415" w:rsidRPr="004D670E">
        <w:rPr>
          <w:rFonts w:cstheme="minorHAnsi"/>
          <w:sz w:val="24"/>
          <w:szCs w:val="24"/>
        </w:rPr>
        <w:t xml:space="preserve"> pried</w:t>
      </w:r>
      <w:r w:rsidR="00DD08B3" w:rsidRPr="004D670E">
        <w:rPr>
          <w:rFonts w:cstheme="minorHAnsi"/>
          <w:sz w:val="24"/>
          <w:szCs w:val="24"/>
        </w:rPr>
        <w:t>ą</w:t>
      </w:r>
      <w:r w:rsidR="00450415" w:rsidRPr="004D670E">
        <w:rPr>
          <w:rFonts w:cstheme="minorHAnsi"/>
          <w:i/>
          <w:iCs/>
          <w:sz w:val="24"/>
          <w:szCs w:val="24"/>
        </w:rPr>
        <w:t>;</w:t>
      </w:r>
    </w:p>
    <w:p w14:paraId="00D667C0" w14:textId="276C05EB"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935C8A">
        <w:rPr>
          <w:rFonts w:cstheme="minorHAnsi"/>
          <w:sz w:val="24"/>
          <w:szCs w:val="24"/>
        </w:rPr>
        <w:t>0</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0C5B0D3B"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w:t>
      </w:r>
      <w:r w:rsidR="00D85FCC">
        <w:rPr>
          <w:rFonts w:eastAsia="Calibri" w:cstheme="minorHAnsi"/>
          <w:sz w:val="24"/>
          <w:szCs w:val="24"/>
        </w:rPr>
        <w:t>turi</w:t>
      </w:r>
      <w:r w:rsidR="00FD03FA" w:rsidRPr="002A7D4A">
        <w:rPr>
          <w:rFonts w:eastAsia="Calibri" w:cstheme="minorHAnsi"/>
          <w:sz w:val="24"/>
          <w:szCs w:val="24"/>
        </w:rPr>
        <w:t xml:space="preserve">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276CA9FB"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w:t>
      </w:r>
      <w:r w:rsidRPr="008006ED">
        <w:rPr>
          <w:rFonts w:eastAsia="Calibri"/>
          <w:sz w:val="24"/>
          <w:szCs w:val="24"/>
        </w:rPr>
        <w:t xml:space="preserve">pirkimo sąlygų </w:t>
      </w:r>
      <w:r w:rsidR="00136686">
        <w:rPr>
          <w:rFonts w:eastAsia="Calibri"/>
          <w:sz w:val="24"/>
          <w:szCs w:val="24"/>
        </w:rPr>
        <w:t>6</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762BC429"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31E148C5"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r w:rsidR="00653F0E">
        <w:rPr>
          <w:sz w:val="24"/>
          <w:szCs w:val="24"/>
        </w:rPr>
        <w:t xml:space="preserve"> </w:t>
      </w:r>
      <w:r w:rsidR="00653F0E" w:rsidRPr="00653F0E">
        <w:rPr>
          <w:sz w:val="24"/>
          <w:szCs w:val="24"/>
        </w:rPr>
        <w:t>Jei tas pats tiekėjas bus pripažintas daugiau kaip vienos pirkimo dalies laimėtoju, gali būti sudaroma viena pirkimo sutartis</w:t>
      </w:r>
      <w:r w:rsidR="00653F0E">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148E911"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264CA748" w:rsidR="008D704D" w:rsidRPr="00936468" w:rsidRDefault="00281735" w:rsidP="00BE1858">
      <w:pPr>
        <w:pStyle w:val="Subtitle"/>
        <w:jc w:val="center"/>
      </w:pPr>
      <w:r w:rsidRPr="00936468">
        <w:t>TECHNINĖ SPECIFIKACIJA</w:t>
      </w:r>
    </w:p>
    <w:p w14:paraId="4BA2FBBC" w14:textId="497ACF89"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w:t>
      </w:r>
      <w:r w:rsidR="00C14CC3">
        <w:rPr>
          <w:rFonts w:cstheme="minorHAnsi"/>
          <w:sz w:val="24"/>
          <w:szCs w:val="24"/>
        </w:rPr>
        <w:t xml:space="preserve"> </w:t>
      </w:r>
      <w:r w:rsidRPr="000200CA">
        <w:rPr>
          <w:rFonts w:cstheme="minorHAnsi"/>
          <w:sz w:val="24"/>
          <w:szCs w:val="24"/>
        </w:rPr>
        <w:t>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Default="002F396F" w:rsidP="00DE290C">
      <w:pPr>
        <w:rPr>
          <w:rFonts w:cstheme="minorHAnsi"/>
          <w:b/>
          <w:bCs/>
          <w:smallCaps/>
          <w:sz w:val="22"/>
          <w:szCs w:val="22"/>
        </w:rPr>
      </w:pPr>
    </w:p>
    <w:p w14:paraId="326B2818" w14:textId="28178165" w:rsidR="005F754D" w:rsidRPr="005F754D" w:rsidRDefault="005F754D" w:rsidP="005F754D">
      <w:pPr>
        <w:tabs>
          <w:tab w:val="left" w:pos="3840"/>
        </w:tabs>
        <w:jc w:val="center"/>
        <w:rPr>
          <w:rFonts w:cstheme="minorHAnsi"/>
          <w:b/>
          <w:bCs/>
          <w:sz w:val="22"/>
          <w:szCs w:val="22"/>
        </w:rPr>
      </w:pPr>
      <w:r w:rsidRPr="005F754D">
        <w:rPr>
          <w:rFonts w:cstheme="minorHAnsi"/>
          <w:b/>
          <w:bCs/>
          <w:sz w:val="22"/>
          <w:szCs w:val="22"/>
        </w:rPr>
        <w:t>TIEKĖJŲ KVALIFIKACIJOS REIKALAVIMAI IR REIKALAVIMAI LAIKYTIS KOKYBĖS VADYBOS SISTEMOS IR (ARBA) APLINKOS APSAUGOS VADYBOS SISTEMOS</w:t>
      </w:r>
    </w:p>
    <w:tbl>
      <w:tblPr>
        <w:tblStyle w:val="TableGrid3"/>
        <w:tblpPr w:leftFromText="180" w:rightFromText="180" w:vertAnchor="page" w:horzAnchor="page" w:tblpX="1077" w:tblpY="3916"/>
        <w:tblW w:w="5334" w:type="pct"/>
        <w:tblLook w:val="04A0" w:firstRow="1" w:lastRow="0" w:firstColumn="1" w:lastColumn="0" w:noHBand="0" w:noVBand="1"/>
      </w:tblPr>
      <w:tblGrid>
        <w:gridCol w:w="486"/>
        <w:gridCol w:w="1388"/>
        <w:gridCol w:w="5501"/>
        <w:gridCol w:w="3252"/>
      </w:tblGrid>
      <w:tr w:rsidR="00AB78A2" w:rsidRPr="00AB78A2" w14:paraId="5F158A03" w14:textId="77777777" w:rsidTr="005E745A">
        <w:trPr>
          <w:cantSplit/>
          <w:tblHeader/>
        </w:trPr>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73FA885" w14:textId="77777777" w:rsidR="00AB78A2" w:rsidRPr="00AB78A2" w:rsidRDefault="00AB78A2" w:rsidP="005E745A">
            <w:pPr>
              <w:spacing w:before="60" w:after="60" w:line="256" w:lineRule="auto"/>
              <w:jc w:val="center"/>
              <w:rPr>
                <w:rFonts w:asciiTheme="minorHAnsi" w:eastAsiaTheme="minorEastAsia" w:hAnsiTheme="minorHAnsi" w:cstheme="minorHAnsi"/>
                <w:b/>
                <w:bCs/>
                <w:sz w:val="21"/>
                <w:szCs w:val="21"/>
              </w:rPr>
            </w:pPr>
            <w:r w:rsidRPr="00AB78A2">
              <w:rPr>
                <w:rFonts w:asciiTheme="minorHAnsi" w:eastAsiaTheme="minorHAnsi" w:hAnsiTheme="minorHAnsi" w:cstheme="minorHAnsi"/>
                <w:b/>
                <w:bCs/>
                <w:sz w:val="21"/>
                <w:szCs w:val="21"/>
              </w:rPr>
              <w:t>Eil. Nr.</w:t>
            </w:r>
          </w:p>
        </w:tc>
        <w:tc>
          <w:tcPr>
            <w:tcW w:w="6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30F300" w14:textId="77777777" w:rsidR="00AB78A2" w:rsidRPr="00AB78A2" w:rsidRDefault="00AB78A2" w:rsidP="005E745A">
            <w:pPr>
              <w:spacing w:before="60" w:after="60" w:line="256" w:lineRule="auto"/>
              <w:jc w:val="center"/>
              <w:rPr>
                <w:rFonts w:asciiTheme="minorHAnsi" w:eastAsiaTheme="minorEastAsia" w:hAnsiTheme="minorHAnsi" w:cstheme="minorBidi"/>
                <w:b/>
                <w:bCs/>
                <w:sz w:val="21"/>
                <w:szCs w:val="21"/>
              </w:rPr>
            </w:pPr>
            <w:r w:rsidRPr="00AB78A2">
              <w:rPr>
                <w:rFonts w:asciiTheme="minorHAnsi" w:eastAsiaTheme="minorEastAsia" w:hAnsiTheme="minorHAnsi" w:cstheme="minorBidi"/>
                <w:b/>
                <w:bCs/>
                <w:color w:val="000000"/>
                <w:sz w:val="21"/>
                <w:szCs w:val="21"/>
              </w:rPr>
              <w:t>Kvalifikacijos reikalavimas</w:t>
            </w:r>
            <w:r w:rsidRPr="00AB78A2">
              <w:rPr>
                <w:rFonts w:asciiTheme="minorHAnsi" w:eastAsiaTheme="minorEastAsia" w:hAnsiTheme="minorHAnsi" w:cstheme="minorBidi"/>
                <w:b/>
                <w:bCs/>
                <w:color w:val="000000"/>
                <w:sz w:val="21"/>
                <w:szCs w:val="21"/>
                <w:vertAlign w:val="superscript"/>
              </w:rPr>
              <w:footnoteReference w:id="2"/>
            </w:r>
          </w:p>
        </w:tc>
        <w:tc>
          <w:tcPr>
            <w:tcW w:w="21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A55FAE" w14:textId="77777777" w:rsidR="00AB78A2" w:rsidRDefault="00AB78A2" w:rsidP="005E745A">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r w:rsidRPr="00AB78A2">
              <w:rPr>
                <w:rFonts w:asciiTheme="minorHAnsi" w:eastAsiaTheme="minorEastAsia" w:hAnsiTheme="minorHAnsi" w:cstheme="minorHAnsi"/>
                <w:b/>
                <w:bCs/>
                <w:color w:val="000000"/>
                <w:sz w:val="21"/>
                <w:szCs w:val="21"/>
              </w:rPr>
              <w:t>Atitiktį reikalavimui įrodantys  dokumentai</w:t>
            </w:r>
          </w:p>
          <w:p w14:paraId="52DCA310" w14:textId="77777777" w:rsidR="005E745A" w:rsidRDefault="005E745A" w:rsidP="005E745A">
            <w:pPr>
              <w:rPr>
                <w:rFonts w:asciiTheme="minorHAnsi" w:eastAsiaTheme="minorEastAsia" w:hAnsiTheme="minorHAnsi" w:cstheme="minorHAnsi"/>
                <w:b/>
                <w:bCs/>
                <w:color w:val="000000"/>
                <w:sz w:val="21"/>
                <w:szCs w:val="21"/>
              </w:rPr>
            </w:pPr>
          </w:p>
          <w:p w14:paraId="40E70411" w14:textId="77777777" w:rsidR="005E745A" w:rsidRPr="005E745A" w:rsidRDefault="005E745A" w:rsidP="005E745A">
            <w:pPr>
              <w:rPr>
                <w:rFonts w:asciiTheme="minorHAnsi" w:eastAsiaTheme="minorEastAsia" w:hAnsiTheme="minorHAnsi" w:cstheme="minorHAnsi"/>
                <w:sz w:val="21"/>
                <w:szCs w:val="21"/>
              </w:rPr>
            </w:pP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993DB6F" w14:textId="77777777" w:rsidR="00AB78A2" w:rsidRPr="00AB78A2" w:rsidRDefault="00AB78A2" w:rsidP="005E745A">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r w:rsidRPr="00AB78A2">
              <w:rPr>
                <w:rFonts w:asciiTheme="minorHAnsi" w:eastAsiaTheme="minorEastAsia" w:hAnsiTheme="minorHAnsi" w:cstheme="minorHAnsi"/>
                <w:b/>
                <w:bCs/>
                <w:color w:val="000000"/>
                <w:sz w:val="21"/>
                <w:szCs w:val="21"/>
              </w:rPr>
              <w:t>Subjektas, kuris turi atitikti reikalavimą</w:t>
            </w:r>
          </w:p>
          <w:p w14:paraId="38563AAB" w14:textId="77777777" w:rsidR="00AB78A2" w:rsidRPr="00AB78A2" w:rsidRDefault="00AB78A2" w:rsidP="005E745A">
            <w:pPr>
              <w:autoSpaceDE w:val="0"/>
              <w:autoSpaceDN w:val="0"/>
              <w:adjustRightInd w:val="0"/>
              <w:spacing w:after="160" w:line="276" w:lineRule="auto"/>
              <w:jc w:val="center"/>
              <w:rPr>
                <w:rFonts w:asciiTheme="minorHAnsi" w:eastAsiaTheme="minorEastAsia" w:hAnsiTheme="minorHAnsi" w:cstheme="minorHAnsi"/>
                <w:b/>
                <w:bCs/>
                <w:color w:val="000000"/>
                <w:sz w:val="21"/>
                <w:szCs w:val="21"/>
              </w:rPr>
            </w:pPr>
            <w:r w:rsidRPr="00AB78A2">
              <w:rPr>
                <w:rFonts w:asciiTheme="minorHAnsi" w:eastAsiaTheme="minorHAnsi" w:hAnsiTheme="minorHAnsi" w:cstheme="minorHAnsi"/>
                <w:color w:val="7030A0"/>
                <w:sz w:val="21"/>
                <w:szCs w:val="21"/>
                <w:lang w:eastAsia="en-US"/>
              </w:rPr>
              <w:t>[</w:t>
            </w:r>
            <w:r w:rsidRPr="00AB78A2">
              <w:rPr>
                <w:rFonts w:asciiTheme="minorHAnsi" w:eastAsiaTheme="minorEastAsia" w:hAnsiTheme="minorHAnsi" w:cstheme="minorHAnsi"/>
                <w:i/>
                <w:iCs/>
                <w:color w:val="7030A0"/>
                <w:sz w:val="21"/>
                <w:szCs w:val="21"/>
              </w:rPr>
              <w:t>aprašoma prie kiekvieno reikalavimo atskirai]</w:t>
            </w:r>
          </w:p>
        </w:tc>
      </w:tr>
      <w:tr w:rsidR="00AB78A2" w:rsidRPr="00AB78A2" w14:paraId="14F30223"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7166" w14:textId="77777777" w:rsidR="00AB78A2" w:rsidRPr="00AB78A2" w:rsidRDefault="00AB78A2" w:rsidP="005E745A">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4DDD"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AB78A2">
              <w:rPr>
                <w:rFonts w:asciiTheme="minorHAnsi" w:eastAsiaTheme="minorEastAsia" w:hAnsiTheme="minorHAnsi" w:cstheme="minorHAnsi"/>
                <w:b/>
                <w:bCs/>
                <w:color w:val="000000"/>
                <w:sz w:val="21"/>
                <w:szCs w:val="21"/>
              </w:rPr>
              <w:t>Teisė verstis veikla</w:t>
            </w:r>
          </w:p>
        </w:tc>
      </w:tr>
      <w:tr w:rsidR="00AB78A2" w:rsidRPr="00AB78A2" w14:paraId="6F0A91FF"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D17" w14:textId="77777777" w:rsidR="00AB78A2" w:rsidRPr="00C14CC3" w:rsidRDefault="00AB78A2" w:rsidP="005E745A">
            <w:pPr>
              <w:spacing w:before="60" w:after="60" w:line="257" w:lineRule="auto"/>
              <w:contextualSpacing/>
              <w:jc w:val="right"/>
              <w:rPr>
                <w:rFonts w:asciiTheme="minorHAnsi" w:eastAsiaTheme="minorHAnsi" w:hAnsiTheme="minorHAnsi" w:cstheme="minorHAnsi"/>
              </w:rPr>
            </w:pPr>
            <w:r w:rsidRPr="00C14CC3">
              <w:rPr>
                <w:rFonts w:asciiTheme="minorHAnsi" w:eastAsiaTheme="minorHAnsi" w:hAnsiTheme="minorHAnsi" w:cstheme="minorHAnsi"/>
              </w:rPr>
              <w:t xml:space="preserve">1.1 </w:t>
            </w:r>
          </w:p>
        </w:tc>
        <w:tc>
          <w:tcPr>
            <w:tcW w:w="653" w:type="pct"/>
            <w:tcBorders>
              <w:top w:val="single" w:sz="4" w:space="0" w:color="000000" w:themeColor="text1"/>
              <w:left w:val="single" w:sz="4" w:space="0" w:color="000000" w:themeColor="text1"/>
              <w:bottom w:val="single" w:sz="4" w:space="0" w:color="000000" w:themeColor="text1"/>
              <w:right w:val="single" w:sz="4" w:space="0" w:color="auto"/>
            </w:tcBorders>
          </w:tcPr>
          <w:p w14:paraId="73EE23EB" w14:textId="3AD4075C" w:rsidR="00AB78A2" w:rsidRPr="00C14CC3" w:rsidRDefault="005C5F5E" w:rsidP="005E745A">
            <w:pPr>
              <w:autoSpaceDE w:val="0"/>
              <w:autoSpaceDN w:val="0"/>
              <w:adjustRightInd w:val="0"/>
              <w:spacing w:after="160" w:line="276" w:lineRule="auto"/>
              <w:rPr>
                <w:rFonts w:asciiTheme="minorHAnsi" w:eastAsiaTheme="minorEastAsia" w:hAnsiTheme="minorHAnsi" w:cstheme="minorHAnsi"/>
                <w:color w:val="000000"/>
              </w:rPr>
            </w:pPr>
            <w:r w:rsidRPr="00C14CC3">
              <w:rPr>
                <w:rFonts w:asciiTheme="minorHAnsi" w:eastAsiaTheme="minorEastAsia" w:hAnsiTheme="minorHAnsi" w:cstheme="minorHAnsi"/>
                <w:color w:val="000000"/>
              </w:rPr>
              <w:t>Tiekėjas turi turėti galiojančią licenciją dantų techniko paslaugoms teikti</w:t>
            </w:r>
            <w:r w:rsidR="001836AE">
              <w:rPr>
                <w:rFonts w:asciiTheme="minorHAnsi" w:eastAsiaTheme="minorEastAsia" w:hAnsiTheme="minorHAnsi" w:cstheme="minorHAnsi"/>
                <w:color w:val="000000"/>
              </w:rPr>
              <w:t xml:space="preserve"> (pirkimo I-II dalys)</w:t>
            </w:r>
            <w:r w:rsidRPr="00C14CC3">
              <w:rPr>
                <w:rFonts w:asciiTheme="minorHAnsi" w:eastAsiaTheme="minorEastAsia" w:hAnsiTheme="minorHAnsi" w:cstheme="minorHAnsi"/>
                <w:color w:val="000000"/>
              </w:rPr>
              <w:t>.</w:t>
            </w:r>
          </w:p>
        </w:tc>
        <w:tc>
          <w:tcPr>
            <w:tcW w:w="2184" w:type="pct"/>
            <w:tcBorders>
              <w:top w:val="single" w:sz="4" w:space="0" w:color="000000" w:themeColor="text1"/>
              <w:left w:val="single" w:sz="4" w:space="0" w:color="auto"/>
              <w:bottom w:val="single" w:sz="4" w:space="0" w:color="000000" w:themeColor="text1"/>
              <w:right w:val="single" w:sz="4" w:space="0" w:color="000000" w:themeColor="text1"/>
            </w:tcBorders>
          </w:tcPr>
          <w:p w14:paraId="5DC1940A" w14:textId="27ECFCFE" w:rsidR="00F47EE7" w:rsidRPr="00C14CC3" w:rsidRDefault="00F47EE7" w:rsidP="00F47EE7">
            <w:pPr>
              <w:autoSpaceDE w:val="0"/>
              <w:autoSpaceDN w:val="0"/>
              <w:adjustRightInd w:val="0"/>
              <w:rPr>
                <w:rFonts w:asciiTheme="minorHAnsi" w:eastAsiaTheme="minorEastAsia" w:hAnsiTheme="minorHAnsi" w:cstheme="minorHAnsi"/>
                <w:color w:val="000000"/>
              </w:rPr>
            </w:pPr>
            <w:r w:rsidRPr="00C14CC3">
              <w:rPr>
                <w:rFonts w:asciiTheme="minorHAnsi" w:eastAsiaTheme="minorEastAsia" w:hAnsiTheme="minorHAnsi" w:cstheme="minorHAnsi"/>
                <w:color w:val="000000"/>
              </w:rPr>
              <w:t>Įstaigos asmens sveikatos priežiūros licencijos</w:t>
            </w:r>
            <w:r w:rsidRPr="00C14CC3">
              <w:t xml:space="preserve"> </w:t>
            </w:r>
            <w:r w:rsidRPr="00C14CC3">
              <w:rPr>
                <w:rFonts w:asciiTheme="minorHAnsi" w:eastAsiaTheme="minorEastAsia" w:hAnsiTheme="minorHAnsi" w:cstheme="minorHAnsi"/>
                <w:color w:val="000000"/>
              </w:rPr>
              <w:t xml:space="preserve">dantų techniko paslaugoms teikti pateikti nereikalaujama. Pirkimo vykdytojas, naudodamasis Valstybinės akreditavimo sveikatos priežiūros veiklai tarnybos prie Sveikatos apsaugos ministerijos sveikatos priežiūros įstaigų licencijų </w:t>
            </w:r>
            <w:r w:rsidR="00A3781C">
              <w:rPr>
                <w:rFonts w:asciiTheme="minorHAnsi" w:eastAsiaTheme="minorEastAsia" w:hAnsiTheme="minorHAnsi" w:cstheme="minorHAnsi"/>
                <w:color w:val="000000"/>
              </w:rPr>
              <w:t>sąrašu</w:t>
            </w:r>
            <w:r w:rsidR="00A3781C">
              <w:t xml:space="preserve"> </w:t>
            </w:r>
            <w:r w:rsidR="00A3781C" w:rsidRPr="00A3781C">
              <w:rPr>
                <w:rFonts w:asciiTheme="minorHAnsi" w:eastAsiaTheme="minorEastAsia" w:hAnsiTheme="minorHAnsi" w:cstheme="minorHAnsi"/>
                <w:color w:val="000000"/>
              </w:rPr>
              <w:t>paskelbtu</w:t>
            </w:r>
          </w:p>
          <w:p w14:paraId="11E4E30A" w14:textId="49B274C3" w:rsidR="00AB78A2" w:rsidRPr="00C14CC3" w:rsidRDefault="005C5F5E" w:rsidP="00F47EE7">
            <w:pPr>
              <w:autoSpaceDE w:val="0"/>
              <w:autoSpaceDN w:val="0"/>
              <w:adjustRightInd w:val="0"/>
              <w:spacing w:after="160" w:line="276" w:lineRule="auto"/>
              <w:rPr>
                <w:rFonts w:asciiTheme="minorHAnsi" w:eastAsiaTheme="minorEastAsia" w:hAnsiTheme="minorHAnsi" w:cstheme="minorHAnsi"/>
                <w:color w:val="000000"/>
              </w:rPr>
            </w:pPr>
            <w:r w:rsidRPr="00C14CC3">
              <w:rPr>
                <w:rFonts w:asciiTheme="minorHAnsi" w:eastAsiaTheme="minorEastAsia" w:hAnsiTheme="minorHAnsi" w:cstheme="minorHAnsi"/>
                <w:color w:val="000000"/>
              </w:rPr>
              <w:t>https://licencijavimas.vaspvt.gov.lt/License/PublicOfficeIndex</w:t>
            </w:r>
            <w:r w:rsidR="00F47EE7" w:rsidRPr="00C14CC3">
              <w:rPr>
                <w:rFonts w:asciiTheme="minorHAnsi" w:eastAsiaTheme="minorEastAsia" w:hAnsiTheme="minorHAnsi" w:cstheme="minorHAnsi"/>
                <w:color w:val="000000"/>
              </w:rPr>
              <w:t>, patikrins tiekėjo atitiktį nustatytam reikalavimui.</w:t>
            </w: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25B6" w14:textId="553792F0" w:rsidR="005C5F5E" w:rsidRPr="00C14CC3" w:rsidRDefault="005C5F5E" w:rsidP="005C5F5E">
            <w:pPr>
              <w:autoSpaceDE w:val="0"/>
              <w:autoSpaceDN w:val="0"/>
              <w:adjustRightInd w:val="0"/>
              <w:rPr>
                <w:rFonts w:asciiTheme="minorHAnsi" w:eastAsiaTheme="minorEastAsia" w:hAnsiTheme="minorHAnsi" w:cstheme="minorHAnsi"/>
                <w:color w:val="000000"/>
              </w:rPr>
            </w:pPr>
            <w:r w:rsidRPr="00C14CC3">
              <w:rPr>
                <w:rFonts w:asciiTheme="minorHAnsi" w:eastAsiaTheme="minorEastAsia" w:hAnsiTheme="minorHAnsi" w:cstheme="minorHAnsi"/>
                <w:color w:val="000000"/>
              </w:rPr>
              <w:t>Jeigu pasiūlymą teikia ūkio subjektų grupė – reikalavimą turi atitikti kiekvienas ūkio subjektų grupės narys (-iai), pagal jų prisiimamus įsipareigojimus pirkimo sutarčiai vykdyti;</w:t>
            </w:r>
          </w:p>
          <w:p w14:paraId="09D5A1F8" w14:textId="77777777" w:rsidR="005C5F5E" w:rsidRPr="00C14CC3" w:rsidRDefault="005C5F5E" w:rsidP="005C5F5E">
            <w:pPr>
              <w:autoSpaceDE w:val="0"/>
              <w:autoSpaceDN w:val="0"/>
              <w:adjustRightInd w:val="0"/>
              <w:rPr>
                <w:rFonts w:asciiTheme="minorHAnsi" w:eastAsiaTheme="minorEastAsia" w:hAnsiTheme="minorHAnsi" w:cstheme="minorHAnsi"/>
                <w:color w:val="000000"/>
              </w:rPr>
            </w:pPr>
          </w:p>
          <w:p w14:paraId="63B35B77" w14:textId="57A093D3" w:rsidR="005C5F5E" w:rsidRPr="00C14CC3" w:rsidRDefault="005C5F5E" w:rsidP="005C5F5E">
            <w:pPr>
              <w:autoSpaceDE w:val="0"/>
              <w:autoSpaceDN w:val="0"/>
              <w:adjustRightInd w:val="0"/>
              <w:rPr>
                <w:rFonts w:asciiTheme="minorHAnsi" w:eastAsiaTheme="minorEastAsia" w:hAnsiTheme="minorHAnsi" w:cstheme="minorHAnsi"/>
                <w:color w:val="000000"/>
              </w:rPr>
            </w:pPr>
            <w:r w:rsidRPr="00C14CC3">
              <w:rPr>
                <w:rFonts w:asciiTheme="minorHAnsi" w:eastAsiaTheme="minorEastAsia" w:hAnsiTheme="minorHAnsi" w:cstheme="minorHAnsi"/>
                <w:color w:val="000000"/>
              </w:rPr>
              <w:t>Tiekėjas gali remtis kitų ūkio subjektų pajėgumais tik tuomet, kai tie subjektai, kurių pajėgumais buvo pasiremta, patys tieks prekes, teiks paslaugas ar atliks darbus, kuriems reikia jų pajėgumų;</w:t>
            </w:r>
          </w:p>
          <w:p w14:paraId="72C8E328" w14:textId="77777777" w:rsidR="005C5F5E" w:rsidRPr="00C14CC3" w:rsidRDefault="005C5F5E" w:rsidP="005C5F5E">
            <w:pPr>
              <w:autoSpaceDE w:val="0"/>
              <w:autoSpaceDN w:val="0"/>
              <w:adjustRightInd w:val="0"/>
              <w:rPr>
                <w:rFonts w:asciiTheme="minorHAnsi" w:eastAsiaTheme="minorEastAsia" w:hAnsiTheme="minorHAnsi" w:cstheme="minorHAnsi"/>
                <w:color w:val="000000"/>
              </w:rPr>
            </w:pPr>
          </w:p>
          <w:p w14:paraId="14E6A311" w14:textId="6329F9AB" w:rsidR="00AB78A2" w:rsidRPr="00C14CC3" w:rsidRDefault="005C5F5E" w:rsidP="005C5F5E">
            <w:pPr>
              <w:autoSpaceDE w:val="0"/>
              <w:autoSpaceDN w:val="0"/>
              <w:adjustRightInd w:val="0"/>
              <w:spacing w:after="160" w:line="276" w:lineRule="auto"/>
              <w:rPr>
                <w:rFonts w:asciiTheme="minorHAnsi" w:eastAsiaTheme="minorEastAsia" w:hAnsiTheme="minorHAnsi" w:cstheme="minorHAnsi"/>
                <w:color w:val="000000"/>
              </w:rPr>
            </w:pPr>
            <w:r w:rsidRPr="00C14CC3">
              <w:rPr>
                <w:rFonts w:asciiTheme="minorHAnsi" w:eastAsiaTheme="minorEastAsia" w:hAnsiTheme="minorHAnsi" w:cstheme="minorHAnsi"/>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C14CC3">
              <w:rPr>
                <w:rFonts w:asciiTheme="minorHAnsi" w:eastAsiaTheme="minorEastAsia" w:hAnsiTheme="minorHAnsi" w:cstheme="minorHAnsi"/>
                <w:color w:val="000000"/>
              </w:rPr>
              <w:lastRenderedPageBreak/>
              <w:t>privalo įsipareigoti, jog pirkimo sutartį vykdys tik tokią teisę turintys asmenys, ir nurodo, kad pirkimo vykdytojui pareikalavus, tiekėjas turės pateikti dokumentus, įrodančius subtiekėjo teisę verstis atitinkama veikla, kuriai jis pasitelkiamas.</w:t>
            </w:r>
          </w:p>
        </w:tc>
      </w:tr>
      <w:tr w:rsidR="00AB78A2" w:rsidRPr="00AB78A2" w14:paraId="22CA26AB"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FE724" w14:textId="77777777" w:rsidR="00AB78A2" w:rsidRPr="00AB78A2" w:rsidRDefault="00AB78A2" w:rsidP="005E745A">
            <w:pPr>
              <w:spacing w:before="60" w:after="60" w:line="257" w:lineRule="auto"/>
              <w:contextualSpacing/>
              <w:jc w:val="center"/>
              <w:rPr>
                <w:rFonts w:asciiTheme="minorHAnsi" w:eastAsiaTheme="minorHAnsi" w:hAnsiTheme="minorHAnsi" w:cstheme="minorHAnsi"/>
                <w:sz w:val="21"/>
                <w:szCs w:val="21"/>
              </w:rPr>
            </w:pPr>
            <w:r w:rsidRPr="00AB78A2">
              <w:rPr>
                <w:rFonts w:asciiTheme="minorHAnsi" w:eastAsiaTheme="minorHAnsi" w:hAnsiTheme="minorHAnsi" w:cstheme="minorHAnsi"/>
                <w:sz w:val="21"/>
                <w:szCs w:val="21"/>
              </w:rPr>
              <w:lastRenderedPageBreak/>
              <w:t>...</w:t>
            </w:r>
          </w:p>
        </w:tc>
        <w:tc>
          <w:tcPr>
            <w:tcW w:w="653" w:type="pct"/>
            <w:tcBorders>
              <w:top w:val="single" w:sz="4" w:space="0" w:color="000000" w:themeColor="text1"/>
              <w:left w:val="single" w:sz="4" w:space="0" w:color="000000" w:themeColor="text1"/>
              <w:bottom w:val="single" w:sz="4" w:space="0" w:color="000000" w:themeColor="text1"/>
              <w:right w:val="single" w:sz="4" w:space="0" w:color="auto"/>
            </w:tcBorders>
          </w:tcPr>
          <w:p w14:paraId="42A2FB29"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2184" w:type="pct"/>
            <w:tcBorders>
              <w:top w:val="single" w:sz="4" w:space="0" w:color="000000" w:themeColor="text1"/>
              <w:left w:val="single" w:sz="4" w:space="0" w:color="auto"/>
              <w:bottom w:val="single" w:sz="4" w:space="0" w:color="000000" w:themeColor="text1"/>
              <w:right w:val="single" w:sz="4" w:space="0" w:color="000000" w:themeColor="text1"/>
            </w:tcBorders>
          </w:tcPr>
          <w:p w14:paraId="018A3EBF"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5D99D"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r>
      <w:tr w:rsidR="00AB78A2" w:rsidRPr="00AB78A2" w14:paraId="678C2DFE"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A29CD" w14:textId="77777777" w:rsidR="00AB78A2" w:rsidRPr="00AB78A2" w:rsidRDefault="00AB78A2" w:rsidP="005E745A">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7E19"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AB78A2">
              <w:rPr>
                <w:rFonts w:asciiTheme="minorHAnsi" w:eastAsiaTheme="minorEastAsia" w:hAnsiTheme="minorHAnsi" w:cstheme="minorHAnsi"/>
                <w:b/>
                <w:bCs/>
                <w:color w:val="000000"/>
                <w:sz w:val="21"/>
                <w:szCs w:val="21"/>
              </w:rPr>
              <w:t>Finansinis</w:t>
            </w:r>
            <w:r w:rsidRPr="00AB78A2">
              <w:rPr>
                <w:rFonts w:asciiTheme="minorHAnsi" w:eastAsiaTheme="minorEastAsia" w:hAnsiTheme="minorHAnsi" w:cstheme="minorHAnsi"/>
                <w:color w:val="000000"/>
                <w:sz w:val="21"/>
                <w:szCs w:val="21"/>
              </w:rPr>
              <w:t xml:space="preserve"> </w:t>
            </w:r>
            <w:r w:rsidRPr="00AB78A2">
              <w:rPr>
                <w:rFonts w:asciiTheme="minorHAnsi" w:eastAsiaTheme="minorEastAsia" w:hAnsiTheme="minorHAnsi" w:cstheme="minorHAnsi"/>
                <w:b/>
                <w:bCs/>
                <w:color w:val="000000"/>
                <w:sz w:val="21"/>
                <w:szCs w:val="21"/>
              </w:rPr>
              <w:t>ir ekonominis pajėgumas</w:t>
            </w:r>
          </w:p>
        </w:tc>
      </w:tr>
      <w:tr w:rsidR="00AB78A2" w:rsidRPr="00AB78A2" w14:paraId="13947B96"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D49DC" w14:textId="77777777" w:rsidR="00AB78A2" w:rsidRPr="00AB78A2" w:rsidRDefault="00AB78A2" w:rsidP="005E745A">
            <w:pPr>
              <w:numPr>
                <w:ilvl w:val="1"/>
                <w:numId w:val="10"/>
              </w:numPr>
              <w:spacing w:before="60" w:after="60" w:line="257" w:lineRule="auto"/>
              <w:ind w:left="357" w:hanging="357"/>
              <w:contextualSpacing/>
              <w:jc w:val="right"/>
              <w:rPr>
                <w:rFonts w:asciiTheme="minorHAnsi" w:eastAsiaTheme="minorHAnsi" w:hAnsiTheme="minorHAnsi" w:cstheme="minorHAnsi"/>
                <w:sz w:val="21"/>
                <w:szCs w:val="21"/>
              </w:rPr>
            </w:pPr>
          </w:p>
        </w:tc>
        <w:tc>
          <w:tcPr>
            <w:tcW w:w="653" w:type="pct"/>
            <w:tcBorders>
              <w:top w:val="single" w:sz="4" w:space="0" w:color="000000" w:themeColor="text1"/>
              <w:left w:val="single" w:sz="4" w:space="0" w:color="000000" w:themeColor="text1"/>
              <w:bottom w:val="single" w:sz="4" w:space="0" w:color="000000" w:themeColor="text1"/>
              <w:right w:val="single" w:sz="4" w:space="0" w:color="auto"/>
            </w:tcBorders>
          </w:tcPr>
          <w:p w14:paraId="69973591"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2184" w:type="pct"/>
            <w:tcBorders>
              <w:top w:val="single" w:sz="4" w:space="0" w:color="000000" w:themeColor="text1"/>
              <w:left w:val="single" w:sz="4" w:space="0" w:color="auto"/>
              <w:bottom w:val="single" w:sz="4" w:space="0" w:color="000000" w:themeColor="text1"/>
              <w:right w:val="single" w:sz="4" w:space="0" w:color="000000" w:themeColor="text1"/>
            </w:tcBorders>
          </w:tcPr>
          <w:p w14:paraId="68EEE1CD"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656B"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r>
      <w:tr w:rsidR="00AB78A2" w:rsidRPr="00AB78A2" w14:paraId="257BF471"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5E86F" w14:textId="77777777" w:rsidR="00AB78A2" w:rsidRPr="00AB78A2" w:rsidRDefault="00AB78A2" w:rsidP="005E745A">
            <w:pPr>
              <w:spacing w:before="60" w:after="60" w:line="257" w:lineRule="auto"/>
              <w:jc w:val="center"/>
              <w:rPr>
                <w:rFonts w:asciiTheme="minorHAnsi" w:eastAsiaTheme="minorHAnsi" w:hAnsiTheme="minorHAnsi" w:cstheme="minorHAnsi"/>
                <w:sz w:val="21"/>
                <w:szCs w:val="21"/>
              </w:rPr>
            </w:pPr>
            <w:r w:rsidRPr="00AB78A2">
              <w:rPr>
                <w:rFonts w:asciiTheme="minorHAnsi" w:eastAsiaTheme="minorHAnsi" w:hAnsiTheme="minorHAnsi" w:cstheme="minorHAnsi"/>
                <w:sz w:val="21"/>
                <w:szCs w:val="21"/>
              </w:rPr>
              <w:t>...</w:t>
            </w:r>
          </w:p>
        </w:tc>
        <w:tc>
          <w:tcPr>
            <w:tcW w:w="653" w:type="pct"/>
            <w:tcBorders>
              <w:top w:val="single" w:sz="4" w:space="0" w:color="000000" w:themeColor="text1"/>
              <w:left w:val="single" w:sz="4" w:space="0" w:color="000000" w:themeColor="text1"/>
              <w:bottom w:val="single" w:sz="4" w:space="0" w:color="000000" w:themeColor="text1"/>
              <w:right w:val="single" w:sz="4" w:space="0" w:color="auto"/>
            </w:tcBorders>
          </w:tcPr>
          <w:p w14:paraId="74C2B3FA"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2184" w:type="pct"/>
            <w:tcBorders>
              <w:top w:val="single" w:sz="4" w:space="0" w:color="000000" w:themeColor="text1"/>
              <w:left w:val="single" w:sz="4" w:space="0" w:color="auto"/>
              <w:bottom w:val="single" w:sz="4" w:space="0" w:color="000000" w:themeColor="text1"/>
              <w:right w:val="single" w:sz="4" w:space="0" w:color="000000" w:themeColor="text1"/>
            </w:tcBorders>
          </w:tcPr>
          <w:p w14:paraId="6C7F6CDD"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03B9D"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color w:val="000000"/>
                <w:sz w:val="21"/>
                <w:szCs w:val="21"/>
              </w:rPr>
            </w:pPr>
          </w:p>
        </w:tc>
      </w:tr>
      <w:tr w:rsidR="00AB78A2" w:rsidRPr="00AB78A2" w14:paraId="595E97D1"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D5703" w14:textId="77777777" w:rsidR="00AB78A2" w:rsidRPr="00AB78A2" w:rsidRDefault="00AB78A2" w:rsidP="005E745A">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FDE43" w14:textId="77777777" w:rsidR="00AB78A2" w:rsidRPr="00AB78A2" w:rsidRDefault="00AB78A2" w:rsidP="005E745A">
            <w:pPr>
              <w:autoSpaceDE w:val="0"/>
              <w:autoSpaceDN w:val="0"/>
              <w:adjustRightInd w:val="0"/>
              <w:spacing w:after="160" w:line="276" w:lineRule="auto"/>
              <w:rPr>
                <w:rFonts w:asciiTheme="minorHAnsi" w:eastAsiaTheme="minorEastAsia" w:hAnsiTheme="minorHAnsi" w:cstheme="minorHAnsi"/>
                <w:b/>
                <w:bCs/>
                <w:color w:val="000000"/>
                <w:sz w:val="21"/>
                <w:szCs w:val="21"/>
              </w:rPr>
            </w:pPr>
            <w:r w:rsidRPr="00AB78A2">
              <w:rPr>
                <w:rFonts w:asciiTheme="minorHAnsi" w:eastAsiaTheme="minorEastAsia" w:hAnsiTheme="minorHAnsi" w:cstheme="minorHAnsi"/>
                <w:b/>
                <w:bCs/>
                <w:color w:val="000000"/>
                <w:sz w:val="21"/>
                <w:szCs w:val="21"/>
              </w:rPr>
              <w:t>Techninis ir profesinis pajėgumas</w:t>
            </w:r>
          </w:p>
        </w:tc>
      </w:tr>
      <w:tr w:rsidR="00AB78A2" w:rsidRPr="00AB78A2" w14:paraId="19533A91" w14:textId="77777777" w:rsidTr="005E745A">
        <w:tc>
          <w:tcPr>
            <w:tcW w:w="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300D9" w14:textId="77777777" w:rsidR="00AB78A2" w:rsidRPr="005E745A" w:rsidRDefault="00AB78A2" w:rsidP="005E745A">
            <w:pPr>
              <w:numPr>
                <w:ilvl w:val="1"/>
                <w:numId w:val="10"/>
              </w:numPr>
              <w:spacing w:before="60" w:after="60" w:line="257" w:lineRule="auto"/>
              <w:ind w:left="357" w:hanging="357"/>
              <w:contextualSpacing/>
              <w:jc w:val="right"/>
              <w:rPr>
                <w:rFonts w:asciiTheme="minorHAnsi" w:eastAsiaTheme="minorHAnsi" w:hAnsiTheme="minorHAnsi" w:cstheme="minorHAnsi"/>
              </w:rPr>
            </w:pPr>
          </w:p>
        </w:tc>
        <w:tc>
          <w:tcPr>
            <w:tcW w:w="653" w:type="pct"/>
            <w:tcBorders>
              <w:top w:val="single" w:sz="4" w:space="0" w:color="000000" w:themeColor="text1"/>
              <w:left w:val="single" w:sz="4" w:space="0" w:color="000000" w:themeColor="text1"/>
              <w:bottom w:val="single" w:sz="4" w:space="0" w:color="000000" w:themeColor="text1"/>
              <w:right w:val="single" w:sz="4" w:space="0" w:color="auto"/>
            </w:tcBorders>
          </w:tcPr>
          <w:p w14:paraId="31744918" w14:textId="34A5BF75" w:rsidR="00AB78A2" w:rsidRPr="005E745A" w:rsidRDefault="00FB1070" w:rsidP="005E745A">
            <w:pPr>
              <w:autoSpaceDE w:val="0"/>
              <w:autoSpaceDN w:val="0"/>
              <w:adjustRightInd w:val="0"/>
              <w:spacing w:after="160" w:line="276" w:lineRule="auto"/>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 xml:space="preserve">Tiekėjas </w:t>
            </w:r>
            <w:r w:rsidR="00A3781C">
              <w:rPr>
                <w:rFonts w:asciiTheme="minorHAnsi" w:eastAsiaTheme="minorEastAsia" w:hAnsiTheme="minorHAnsi" w:cstheme="minorHAnsi"/>
                <w:color w:val="000000"/>
              </w:rPr>
              <w:t>pasiūlo bent</w:t>
            </w:r>
            <w:r w:rsidRPr="005E745A">
              <w:rPr>
                <w:rFonts w:asciiTheme="minorHAnsi" w:eastAsiaTheme="minorEastAsia" w:hAnsiTheme="minorHAnsi" w:cstheme="minorHAnsi"/>
                <w:color w:val="000000"/>
              </w:rPr>
              <w:t xml:space="preserve"> vieną specialistą, turintį teisę verstis dantų techniko praktika Lietuvos Respublikoje</w:t>
            </w:r>
            <w:r w:rsidR="001836AE">
              <w:rPr>
                <w:rFonts w:asciiTheme="minorHAnsi" w:eastAsiaTheme="minorEastAsia" w:hAnsiTheme="minorHAnsi" w:cstheme="minorHAnsi"/>
                <w:color w:val="000000"/>
              </w:rPr>
              <w:t xml:space="preserve"> (pirkimo I-II dalys)</w:t>
            </w:r>
            <w:r w:rsidR="00EC597C" w:rsidRPr="005E745A">
              <w:rPr>
                <w:rFonts w:asciiTheme="minorHAnsi" w:eastAsiaTheme="minorEastAsia" w:hAnsiTheme="minorHAnsi" w:cstheme="minorHAnsi"/>
                <w:color w:val="000000"/>
              </w:rPr>
              <w:t>.</w:t>
            </w:r>
          </w:p>
        </w:tc>
        <w:tc>
          <w:tcPr>
            <w:tcW w:w="2184" w:type="pct"/>
            <w:tcBorders>
              <w:top w:val="single" w:sz="4" w:space="0" w:color="000000" w:themeColor="text1"/>
              <w:left w:val="single" w:sz="4" w:space="0" w:color="auto"/>
              <w:bottom w:val="single" w:sz="4" w:space="0" w:color="000000" w:themeColor="text1"/>
              <w:right w:val="single" w:sz="4" w:space="0" w:color="000000" w:themeColor="text1"/>
            </w:tcBorders>
          </w:tcPr>
          <w:p w14:paraId="4EB4ADB4" w14:textId="77777777" w:rsidR="005F754D" w:rsidRPr="005E745A" w:rsidRDefault="005F754D" w:rsidP="005E745A">
            <w:pPr>
              <w:autoSpaceDE w:val="0"/>
              <w:autoSpaceDN w:val="0"/>
              <w:adjustRightInd w:val="0"/>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 xml:space="preserve">Pateikiamas specialistų sąrašas, nurodant vardą, pavardę, licencijos verstis dantų techniko praktika Nr., funkcijas vykdant pirkimo sutartį. </w:t>
            </w:r>
          </w:p>
          <w:p w14:paraId="0478A21E" w14:textId="77777777" w:rsidR="005F754D" w:rsidRPr="005E745A" w:rsidRDefault="005F754D" w:rsidP="005E745A">
            <w:pPr>
              <w:autoSpaceDE w:val="0"/>
              <w:autoSpaceDN w:val="0"/>
              <w:adjustRightInd w:val="0"/>
              <w:rPr>
                <w:rFonts w:asciiTheme="minorHAnsi" w:eastAsiaTheme="minorEastAsia" w:hAnsiTheme="minorHAnsi" w:cstheme="minorHAnsi"/>
                <w:color w:val="000000"/>
              </w:rPr>
            </w:pPr>
          </w:p>
          <w:p w14:paraId="22F01691" w14:textId="77777777" w:rsidR="005F754D" w:rsidRPr="005E745A" w:rsidRDefault="005F754D" w:rsidP="005E745A">
            <w:pPr>
              <w:autoSpaceDE w:val="0"/>
              <w:autoSpaceDN w:val="0"/>
              <w:adjustRightInd w:val="0"/>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Pirkimo vykdytojas Valstybinės akreditavimo sveikatos priežiūros veiklai tarnybos prie Sveikatos apsaugos ministerijos sveikatos priežiūros specialistų licencijų sąraše,</w:t>
            </w:r>
          </w:p>
          <w:p w14:paraId="6F9E7EF5" w14:textId="30CB76F1" w:rsidR="005F754D" w:rsidRPr="005E745A" w:rsidRDefault="005F754D" w:rsidP="005E745A">
            <w:pPr>
              <w:autoSpaceDE w:val="0"/>
              <w:autoSpaceDN w:val="0"/>
              <w:adjustRightInd w:val="0"/>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paskelbtame https://licencijavimas.vaspvt.gov.lt/License/PublicSpecialistIndex patikrina, ar siūlomo specialisto licencija yra galiojanti.</w:t>
            </w:r>
          </w:p>
          <w:p w14:paraId="2E796561" w14:textId="77777777" w:rsidR="005F754D" w:rsidRPr="005E745A" w:rsidRDefault="005F754D" w:rsidP="005E745A">
            <w:pPr>
              <w:autoSpaceDE w:val="0"/>
              <w:autoSpaceDN w:val="0"/>
              <w:adjustRightInd w:val="0"/>
              <w:rPr>
                <w:rFonts w:asciiTheme="minorHAnsi" w:eastAsiaTheme="minorEastAsia" w:hAnsiTheme="minorHAnsi" w:cstheme="minorHAnsi"/>
                <w:color w:val="000000"/>
              </w:rPr>
            </w:pPr>
          </w:p>
          <w:p w14:paraId="5524E367" w14:textId="02331521" w:rsidR="00AB78A2" w:rsidRPr="005E745A" w:rsidRDefault="005F754D" w:rsidP="005E745A">
            <w:pPr>
              <w:autoSpaceDE w:val="0"/>
              <w:autoSpaceDN w:val="0"/>
              <w:adjustRightInd w:val="0"/>
              <w:spacing w:after="160" w:line="276" w:lineRule="auto"/>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Jeigu specialistas nėra tiekėjo darbuotojas, pateikiami dokumentai, patvirtinantys jo prieinamumą pirkimo sutarties vykdymo laikotarpiu.</w:t>
            </w: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48284" w14:textId="3F34B405" w:rsidR="005E745A" w:rsidRPr="005E745A" w:rsidRDefault="005E745A" w:rsidP="005E745A">
            <w:pPr>
              <w:autoSpaceDE w:val="0"/>
              <w:autoSpaceDN w:val="0"/>
              <w:adjustRightInd w:val="0"/>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Jeigu pasiūlymą teikia ūkio subjektų grupė – reikalavimą turi atitikti visi ūkio subjektų grupės nariai kartu (ūkio subjektų grupės narių turimi pajėgumai sumuojama);</w:t>
            </w:r>
          </w:p>
          <w:p w14:paraId="2AEFC012" w14:textId="77777777" w:rsidR="005E745A" w:rsidRPr="005E745A" w:rsidRDefault="005E745A" w:rsidP="005E745A">
            <w:pPr>
              <w:autoSpaceDE w:val="0"/>
              <w:autoSpaceDN w:val="0"/>
              <w:adjustRightInd w:val="0"/>
              <w:rPr>
                <w:rFonts w:asciiTheme="minorHAnsi" w:eastAsiaTheme="minorEastAsia" w:hAnsiTheme="minorHAnsi" w:cstheme="minorHAnsi"/>
                <w:color w:val="000000"/>
              </w:rPr>
            </w:pPr>
          </w:p>
          <w:p w14:paraId="4AA83C45" w14:textId="46AE89C1" w:rsidR="005E745A" w:rsidRPr="005E745A" w:rsidRDefault="005E745A" w:rsidP="005E745A">
            <w:pPr>
              <w:autoSpaceDE w:val="0"/>
              <w:autoSpaceDN w:val="0"/>
              <w:adjustRightInd w:val="0"/>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331D011A" w14:textId="77777777" w:rsidR="005E745A" w:rsidRPr="005E745A" w:rsidRDefault="005E745A" w:rsidP="005E745A">
            <w:pPr>
              <w:autoSpaceDE w:val="0"/>
              <w:autoSpaceDN w:val="0"/>
              <w:adjustRightInd w:val="0"/>
              <w:rPr>
                <w:rFonts w:asciiTheme="minorHAnsi" w:eastAsiaTheme="minorEastAsia" w:hAnsiTheme="minorHAnsi" w:cstheme="minorHAnsi"/>
                <w:color w:val="000000"/>
              </w:rPr>
            </w:pPr>
          </w:p>
          <w:p w14:paraId="0334BD6A" w14:textId="08CD9CF5" w:rsidR="00AB78A2" w:rsidRPr="005E745A" w:rsidRDefault="005E745A" w:rsidP="005E745A">
            <w:pPr>
              <w:autoSpaceDE w:val="0"/>
              <w:autoSpaceDN w:val="0"/>
              <w:adjustRightInd w:val="0"/>
              <w:spacing w:after="160" w:line="276" w:lineRule="auto"/>
              <w:rPr>
                <w:rFonts w:asciiTheme="minorHAnsi" w:eastAsiaTheme="minorEastAsia" w:hAnsiTheme="minorHAnsi" w:cstheme="minorHAnsi"/>
                <w:color w:val="000000"/>
              </w:rPr>
            </w:pPr>
            <w:r w:rsidRPr="005E745A">
              <w:rPr>
                <w:rFonts w:asciiTheme="minorHAnsi" w:eastAsiaTheme="minorEastAsia" w:hAnsiTheme="minorHAnsi" w:cstheme="minorHAnsi"/>
                <w:color w:val="000000"/>
              </w:rPr>
              <w:t>Subtiekėjams šis reikalavimas nenustatomas</w:t>
            </w:r>
          </w:p>
        </w:tc>
      </w:tr>
    </w:tbl>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3A024621" w14:textId="64B7D711" w:rsidR="00210870" w:rsidRPr="00936468" w:rsidRDefault="00852E4E" w:rsidP="00210870">
      <w:pPr>
        <w:pStyle w:val="paragrafesrasas2lygis"/>
        <w:ind w:firstLine="397"/>
        <w:jc w:val="left"/>
        <w:rPr>
          <w:rFonts w:asciiTheme="minorHAnsi" w:hAnsiTheme="minorHAnsi" w:cstheme="minorHAnsi"/>
          <w:color w:val="7030A0"/>
        </w:rPr>
      </w:pPr>
      <w:r w:rsidRPr="00852E4E">
        <w:rPr>
          <w:rFonts w:asciiTheme="minorHAnsi" w:hAnsiTheme="minorHAnsi" w:cstheme="minorHAnsi"/>
        </w:rPr>
        <w:t>Perkančioji organizacija ekonomiškai naudingiausią pasiūlymą išrenka pagal kainos kriterijų. Ekonomiškai naudingiausias pasiūlymas bus laikomas mažiausios kainos pasiūlymas.</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0215" w14:textId="77777777" w:rsidR="00511F84" w:rsidRDefault="00511F84" w:rsidP="00D05666">
      <w:r>
        <w:separator/>
      </w:r>
    </w:p>
  </w:endnote>
  <w:endnote w:type="continuationSeparator" w:id="0">
    <w:p w14:paraId="572F7123" w14:textId="77777777" w:rsidR="00511F84" w:rsidRDefault="00511F84" w:rsidP="00D05666">
      <w:r>
        <w:continuationSeparator/>
      </w:r>
    </w:p>
  </w:endnote>
  <w:endnote w:type="continuationNotice" w:id="1">
    <w:p w14:paraId="6BE893A0" w14:textId="77777777" w:rsidR="00511F84" w:rsidRDefault="00511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9D30" w14:textId="77777777" w:rsidR="00511F84" w:rsidRDefault="00511F84" w:rsidP="00D05666">
      <w:r>
        <w:separator/>
      </w:r>
    </w:p>
  </w:footnote>
  <w:footnote w:type="continuationSeparator" w:id="0">
    <w:p w14:paraId="2E734EAD" w14:textId="77777777" w:rsidR="00511F84" w:rsidRDefault="00511F84" w:rsidP="00D05666">
      <w:r>
        <w:continuationSeparator/>
      </w:r>
    </w:p>
  </w:footnote>
  <w:footnote w:type="continuationNotice" w:id="1">
    <w:p w14:paraId="027AB7BD" w14:textId="77777777" w:rsidR="00511F84" w:rsidRDefault="00511F84">
      <w:pPr>
        <w:spacing w:after="0" w:line="240" w:lineRule="auto"/>
      </w:pPr>
    </w:p>
  </w:footnote>
  <w:footnote w:id="2">
    <w:p w14:paraId="28FA82DA" w14:textId="77777777" w:rsidR="00AB78A2" w:rsidRDefault="00AB78A2" w:rsidP="00AB78A2">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D7ABC30" w14:textId="77777777" w:rsidR="00AB78A2" w:rsidRDefault="00AB78A2" w:rsidP="00AB78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73BC6D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68C"/>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4E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2B17"/>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28F"/>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3A8"/>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C2"/>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878"/>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935"/>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686"/>
    <w:rsid w:val="0013723E"/>
    <w:rsid w:val="0014078F"/>
    <w:rsid w:val="00140D50"/>
    <w:rsid w:val="00141292"/>
    <w:rsid w:val="00141BF1"/>
    <w:rsid w:val="00142352"/>
    <w:rsid w:val="00142759"/>
    <w:rsid w:val="0014277F"/>
    <w:rsid w:val="001427AB"/>
    <w:rsid w:val="001429E3"/>
    <w:rsid w:val="00142AB7"/>
    <w:rsid w:val="001432A8"/>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607EC"/>
    <w:rsid w:val="001609D9"/>
    <w:rsid w:val="00160A4A"/>
    <w:rsid w:val="00161D8B"/>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6AE"/>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01"/>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A0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0E5"/>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17B0C"/>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E8"/>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89A"/>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409"/>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B7E8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94A"/>
    <w:rsid w:val="003F1CE4"/>
    <w:rsid w:val="003F1D78"/>
    <w:rsid w:val="003F1F79"/>
    <w:rsid w:val="003F2587"/>
    <w:rsid w:val="003F25CB"/>
    <w:rsid w:val="003F2716"/>
    <w:rsid w:val="003F3C34"/>
    <w:rsid w:val="003F3EFE"/>
    <w:rsid w:val="003F3FC9"/>
    <w:rsid w:val="003F4245"/>
    <w:rsid w:val="003F5489"/>
    <w:rsid w:val="003F54D8"/>
    <w:rsid w:val="003F5913"/>
    <w:rsid w:val="003F673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2FF"/>
    <w:rsid w:val="00421D7D"/>
    <w:rsid w:val="00422EEB"/>
    <w:rsid w:val="00424668"/>
    <w:rsid w:val="0042470D"/>
    <w:rsid w:val="00424A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3B"/>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F7"/>
    <w:rsid w:val="00467580"/>
    <w:rsid w:val="00467B1D"/>
    <w:rsid w:val="00467FCB"/>
    <w:rsid w:val="0047047D"/>
    <w:rsid w:val="00471043"/>
    <w:rsid w:val="004712B7"/>
    <w:rsid w:val="004713B5"/>
    <w:rsid w:val="004720C4"/>
    <w:rsid w:val="00472910"/>
    <w:rsid w:val="00472F7A"/>
    <w:rsid w:val="00472F8C"/>
    <w:rsid w:val="004734F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81"/>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5F4E"/>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70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02"/>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1F84"/>
    <w:rsid w:val="005122FE"/>
    <w:rsid w:val="0051246D"/>
    <w:rsid w:val="0051270F"/>
    <w:rsid w:val="00512760"/>
    <w:rsid w:val="00512B1D"/>
    <w:rsid w:val="00512C9F"/>
    <w:rsid w:val="00512D6B"/>
    <w:rsid w:val="00512E53"/>
    <w:rsid w:val="0051305B"/>
    <w:rsid w:val="005131DA"/>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4BA7"/>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533"/>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8E"/>
    <w:rsid w:val="00584DCA"/>
    <w:rsid w:val="0058525D"/>
    <w:rsid w:val="00585C84"/>
    <w:rsid w:val="0058726C"/>
    <w:rsid w:val="005872C9"/>
    <w:rsid w:val="00587BAC"/>
    <w:rsid w:val="00590030"/>
    <w:rsid w:val="00590232"/>
    <w:rsid w:val="00593111"/>
    <w:rsid w:val="00593816"/>
    <w:rsid w:val="00593D67"/>
    <w:rsid w:val="00593F3E"/>
    <w:rsid w:val="00594C25"/>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5DBA"/>
    <w:rsid w:val="005C5F5E"/>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E745A"/>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54D"/>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20F"/>
    <w:rsid w:val="00614A7B"/>
    <w:rsid w:val="00614FF2"/>
    <w:rsid w:val="006158E4"/>
    <w:rsid w:val="006158FB"/>
    <w:rsid w:val="00615C08"/>
    <w:rsid w:val="0061733E"/>
    <w:rsid w:val="0061741C"/>
    <w:rsid w:val="0061785B"/>
    <w:rsid w:val="00617B62"/>
    <w:rsid w:val="006207BC"/>
    <w:rsid w:val="00621335"/>
    <w:rsid w:val="0062150E"/>
    <w:rsid w:val="00622EF5"/>
    <w:rsid w:val="00622FE0"/>
    <w:rsid w:val="00623F37"/>
    <w:rsid w:val="00623F56"/>
    <w:rsid w:val="006242E9"/>
    <w:rsid w:val="006250F6"/>
    <w:rsid w:val="006258F1"/>
    <w:rsid w:val="00625F95"/>
    <w:rsid w:val="00626341"/>
    <w:rsid w:val="00626BBC"/>
    <w:rsid w:val="006274B9"/>
    <w:rsid w:val="0062770C"/>
    <w:rsid w:val="00627808"/>
    <w:rsid w:val="0062788C"/>
    <w:rsid w:val="00627A82"/>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3F0E"/>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369"/>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0882"/>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D7A30"/>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275"/>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022"/>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09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8FB"/>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3C6"/>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E4E"/>
    <w:rsid w:val="00852F58"/>
    <w:rsid w:val="0085364E"/>
    <w:rsid w:val="0085372A"/>
    <w:rsid w:val="00853D11"/>
    <w:rsid w:val="008540C3"/>
    <w:rsid w:val="0085443F"/>
    <w:rsid w:val="00855F05"/>
    <w:rsid w:val="0085606A"/>
    <w:rsid w:val="008563C3"/>
    <w:rsid w:val="0085681A"/>
    <w:rsid w:val="00856832"/>
    <w:rsid w:val="00856CFA"/>
    <w:rsid w:val="00856F14"/>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A4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49F"/>
    <w:rsid w:val="008F0B38"/>
    <w:rsid w:val="008F18F2"/>
    <w:rsid w:val="008F1C0B"/>
    <w:rsid w:val="008F1D4F"/>
    <w:rsid w:val="008F242E"/>
    <w:rsid w:val="008F2477"/>
    <w:rsid w:val="008F26D8"/>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23"/>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67C"/>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5C8A"/>
    <w:rsid w:val="00936468"/>
    <w:rsid w:val="009364A1"/>
    <w:rsid w:val="00936C7F"/>
    <w:rsid w:val="0093767A"/>
    <w:rsid w:val="009400B9"/>
    <w:rsid w:val="00940D15"/>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6FF"/>
    <w:rsid w:val="009718D5"/>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56F"/>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04C"/>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792"/>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B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25B"/>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81C"/>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98C"/>
    <w:rsid w:val="00A51E81"/>
    <w:rsid w:val="00A52316"/>
    <w:rsid w:val="00A524F1"/>
    <w:rsid w:val="00A5253F"/>
    <w:rsid w:val="00A5289C"/>
    <w:rsid w:val="00A52B08"/>
    <w:rsid w:val="00A52B0B"/>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282"/>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8D"/>
    <w:rsid w:val="00A83F3F"/>
    <w:rsid w:val="00A84166"/>
    <w:rsid w:val="00A84566"/>
    <w:rsid w:val="00A84687"/>
    <w:rsid w:val="00A84D66"/>
    <w:rsid w:val="00A85249"/>
    <w:rsid w:val="00A860C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6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8A2"/>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F87"/>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D02"/>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8F5"/>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3EBB"/>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CC3"/>
    <w:rsid w:val="00C14E2C"/>
    <w:rsid w:val="00C158E9"/>
    <w:rsid w:val="00C15FFC"/>
    <w:rsid w:val="00C160A1"/>
    <w:rsid w:val="00C164DC"/>
    <w:rsid w:val="00C16987"/>
    <w:rsid w:val="00C169F9"/>
    <w:rsid w:val="00C16D04"/>
    <w:rsid w:val="00C171EA"/>
    <w:rsid w:val="00C178ED"/>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5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1D"/>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16C"/>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DEE"/>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D02"/>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5FCC"/>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9ED"/>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4D0"/>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C5"/>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3FA1"/>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9AC"/>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597C"/>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1A59"/>
    <w:rsid w:val="00F126A8"/>
    <w:rsid w:val="00F12DBC"/>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857"/>
    <w:rsid w:val="00F46943"/>
    <w:rsid w:val="00F46984"/>
    <w:rsid w:val="00F46CA3"/>
    <w:rsid w:val="00F46E88"/>
    <w:rsid w:val="00F472AA"/>
    <w:rsid w:val="00F47EE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1CB4"/>
    <w:rsid w:val="00FA24A4"/>
    <w:rsid w:val="00FA263B"/>
    <w:rsid w:val="00FA36EB"/>
    <w:rsid w:val="00FA56CE"/>
    <w:rsid w:val="00FA5EA4"/>
    <w:rsid w:val="00FA5ECB"/>
    <w:rsid w:val="00FA6816"/>
    <w:rsid w:val="00FA7142"/>
    <w:rsid w:val="00FA7269"/>
    <w:rsid w:val="00FA75F8"/>
    <w:rsid w:val="00FA79CB"/>
    <w:rsid w:val="00FA7D78"/>
    <w:rsid w:val="00FB0339"/>
    <w:rsid w:val="00FB059B"/>
    <w:rsid w:val="00FB1070"/>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22</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60</cp:revision>
  <cp:lastPrinted>2025-02-21T12:00:00Z</cp:lastPrinted>
  <dcterms:created xsi:type="dcterms:W3CDTF">2025-01-22T13:55:00Z</dcterms:created>
  <dcterms:modified xsi:type="dcterms:W3CDTF">2026-06-17T14:05:00Z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