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0476" w14:textId="209463A7" w:rsidR="00DA481E" w:rsidRPr="00E3284A" w:rsidRDefault="00E3284A" w:rsidP="00DA481E">
      <w:pPr>
        <w:pStyle w:val="Pagrindinistekstas2"/>
        <w:widowControl w:val="0"/>
        <w:shd w:val="clear" w:color="auto" w:fill="auto"/>
        <w:suppressAutoHyphens/>
        <w:spacing w:before="0" w:after="0" w:line="240" w:lineRule="auto"/>
        <w:ind w:firstLine="0"/>
        <w:rPr>
          <w:rFonts w:ascii="Times New Roman" w:hAnsi="Times New Roman" w:cs="Times New Roman"/>
          <w:i/>
          <w:iCs/>
          <w:sz w:val="24"/>
          <w:szCs w:val="24"/>
          <w:lang w:val="lt-LT"/>
        </w:rPr>
      </w:pPr>
      <w:r w:rsidRPr="00E3284A">
        <w:rPr>
          <w:rFonts w:ascii="Times New Roman" w:hAnsi="Times New Roman" w:cs="Times New Roman"/>
          <w:i/>
          <w:iCs/>
          <w:sz w:val="24"/>
          <w:szCs w:val="24"/>
          <w:lang w:val="lt-LT"/>
        </w:rPr>
        <w:t>Projektas</w:t>
      </w:r>
    </w:p>
    <w:p w14:paraId="77BFCFB6" w14:textId="77777777" w:rsidR="00E3284A" w:rsidRPr="006D345F" w:rsidRDefault="00E3284A"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04F2B778"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w:t>
      </w:r>
      <w:r w:rsidR="00E3284A">
        <w:rPr>
          <w:rStyle w:val="Temosantrat2Iretinimas-1tk"/>
          <w:rFonts w:ascii="Times New Roman" w:hAnsi="Times New Roman" w:cs="Times New Roman"/>
          <w:sz w:val="24"/>
          <w:szCs w:val="24"/>
          <w:lang w:val="lt-LT"/>
        </w:rPr>
        <w:t>6</w:t>
      </w:r>
      <w:r w:rsidRPr="006D345F">
        <w:rPr>
          <w:rStyle w:val="Temosantrat2Iretinimas-1tk"/>
          <w:rFonts w:ascii="Times New Roman" w:hAnsi="Times New Roman" w:cs="Times New Roman"/>
          <w:sz w:val="24"/>
          <w:szCs w:val="24"/>
          <w:lang w:val="lt-LT"/>
        </w:rPr>
        <w:t xml:space="preserve">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6E752BCA"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Atsiskaitomosios sąskaitos numeris </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numeris (-</w:t>
      </w:r>
      <w:proofErr w:type="spellStart"/>
      <w:r w:rsidRPr="006D345F">
        <w:rPr>
          <w:rFonts w:ascii="Times New Roman" w:hAnsi="Times New Roman" w:cs="Times New Roman"/>
          <w:sz w:val="24"/>
          <w:szCs w:val="24"/>
          <w:lang w:val="lt-LT"/>
        </w:rPr>
        <w:t>iai</w:t>
      </w:r>
      <w:proofErr w:type="spellEnd"/>
      <w:r w:rsidRPr="006D345F">
        <w:rPr>
          <w:rFonts w:ascii="Times New Roman" w:hAnsi="Times New Roman" w:cs="Times New Roman"/>
          <w:sz w:val="24"/>
          <w:szCs w:val="24"/>
          <w:lang w:val="lt-LT"/>
        </w:rPr>
        <w:t xml:space="preserve">)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6E05754A" w:rsidR="00DA481E" w:rsidRPr="006D345F"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105BED" w:rsidRPr="00105BED">
        <w:rPr>
          <w:rFonts w:ascii="Times New Roman" w:hAnsi="Times New Roman"/>
          <w:b/>
          <w:bCs/>
          <w:sz w:val="24"/>
          <w:szCs w:val="24"/>
        </w:rPr>
        <w:t xml:space="preserve"> </w:t>
      </w:r>
      <w:r w:rsidR="00105BED" w:rsidRPr="009B55B3">
        <w:rPr>
          <w:rFonts w:ascii="Times New Roman" w:hAnsi="Times New Roman"/>
          <w:sz w:val="24"/>
          <w:szCs w:val="24"/>
          <w:lang w:val="lt-LT"/>
        </w:rPr>
        <w:t>Ignalinos miesto ir rajono priedangų atnaujinimas ir jų atsparumo didinimas įrengiant langų apsaugos sistemas</w:t>
      </w:r>
      <w:r w:rsidR="00E04749">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w:t>
      </w:r>
      <w:r w:rsidR="003A3244">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0789C853"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w:t>
      </w:r>
      <w:r w:rsidR="00910D37">
        <w:rPr>
          <w:rFonts w:ascii="Times New Roman" w:hAnsi="Times New Roman" w:cs="Times New Roman"/>
          <w:sz w:val="24"/>
          <w:szCs w:val="24"/>
          <w:lang w:val="lt-LT"/>
        </w:rPr>
        <w:t>iais</w:t>
      </w:r>
      <w:r w:rsidRPr="006D345F">
        <w:rPr>
          <w:rFonts w:ascii="Times New Roman" w:hAnsi="Times New Roman" w:cs="Times New Roman"/>
          <w:sz w:val="24"/>
          <w:szCs w:val="24"/>
          <w:lang w:val="lt-LT"/>
        </w:rPr>
        <w:t xml:space="preserve"> </w:t>
      </w:r>
      <w:r w:rsidR="00910D37">
        <w:rPr>
          <w:rFonts w:ascii="Times New Roman" w:hAnsi="Times New Roman" w:cs="Times New Roman"/>
          <w:sz w:val="24"/>
          <w:szCs w:val="24"/>
          <w:lang w:val="lt-LT"/>
        </w:rPr>
        <w:t>adresais</w:t>
      </w:r>
      <w:r w:rsidRPr="006D345F">
        <w:rPr>
          <w:rFonts w:ascii="Times New Roman" w:hAnsi="Times New Roman" w:cs="Times New Roman"/>
          <w:sz w:val="24"/>
          <w:szCs w:val="24"/>
          <w:lang w:val="lt-LT"/>
        </w:rPr>
        <w:t>:</w:t>
      </w:r>
      <w:r w:rsidR="00CF09DA">
        <w:rPr>
          <w:rFonts w:ascii="Times New Roman" w:hAnsi="Times New Roman" w:cs="Times New Roman"/>
          <w:sz w:val="24"/>
          <w:szCs w:val="24"/>
          <w:lang w:val="lt-LT"/>
        </w:rPr>
        <w:t xml:space="preserve"> </w:t>
      </w:r>
      <w:proofErr w:type="spellStart"/>
      <w:r w:rsidR="00226052" w:rsidRPr="006A0F5E">
        <w:rPr>
          <w:rFonts w:ascii="Times New Roman" w:hAnsi="Times New Roman" w:cs="Times New Roman"/>
          <w:sz w:val="24"/>
          <w:szCs w:val="24"/>
        </w:rPr>
        <w:t>Ateities</w:t>
      </w:r>
      <w:proofErr w:type="spellEnd"/>
      <w:r w:rsidR="00226052" w:rsidRPr="006A0F5E">
        <w:rPr>
          <w:rFonts w:ascii="Times New Roman" w:hAnsi="Times New Roman" w:cs="Times New Roman"/>
          <w:sz w:val="24"/>
          <w:szCs w:val="24"/>
        </w:rPr>
        <w:t xml:space="preserve"> g. 43, </w:t>
      </w:r>
      <w:proofErr w:type="spellStart"/>
      <w:r w:rsidR="00226052" w:rsidRPr="006A0F5E">
        <w:rPr>
          <w:rFonts w:ascii="Times New Roman" w:hAnsi="Times New Roman" w:cs="Times New Roman"/>
          <w:sz w:val="24"/>
          <w:szCs w:val="24"/>
        </w:rPr>
        <w:t>Ignalina</w:t>
      </w:r>
      <w:proofErr w:type="spellEnd"/>
      <w:r w:rsidR="00226052">
        <w:rPr>
          <w:rFonts w:ascii="Times New Roman" w:hAnsi="Times New Roman" w:cs="Times New Roman"/>
          <w:sz w:val="24"/>
          <w:szCs w:val="24"/>
        </w:rPr>
        <w:t xml:space="preserve">, </w:t>
      </w:r>
      <w:proofErr w:type="spellStart"/>
      <w:r w:rsidR="00226052" w:rsidRPr="006A0F5E">
        <w:rPr>
          <w:rFonts w:ascii="Times New Roman" w:hAnsi="Times New Roman" w:cs="Times New Roman"/>
          <w:sz w:val="24"/>
          <w:szCs w:val="24"/>
        </w:rPr>
        <w:t>Mokyklos</w:t>
      </w:r>
      <w:proofErr w:type="spellEnd"/>
      <w:r w:rsidR="00226052" w:rsidRPr="006A0F5E">
        <w:rPr>
          <w:rFonts w:ascii="Times New Roman" w:hAnsi="Times New Roman" w:cs="Times New Roman"/>
          <w:sz w:val="24"/>
          <w:szCs w:val="24"/>
        </w:rPr>
        <w:t xml:space="preserve"> g. 2, </w:t>
      </w:r>
      <w:proofErr w:type="spellStart"/>
      <w:r w:rsidR="00226052" w:rsidRPr="006A0F5E">
        <w:rPr>
          <w:rFonts w:ascii="Times New Roman" w:hAnsi="Times New Roman" w:cs="Times New Roman"/>
          <w:sz w:val="24"/>
          <w:szCs w:val="24"/>
        </w:rPr>
        <w:t>Ignalina</w:t>
      </w:r>
      <w:proofErr w:type="spellEnd"/>
      <w:r w:rsidR="00226052">
        <w:rPr>
          <w:rFonts w:ascii="Times New Roman" w:hAnsi="Times New Roman" w:cs="Times New Roman"/>
          <w:sz w:val="24"/>
          <w:szCs w:val="24"/>
        </w:rPr>
        <w:t xml:space="preserve">, </w:t>
      </w:r>
      <w:proofErr w:type="spellStart"/>
      <w:r w:rsidR="00226052" w:rsidRPr="004F129C">
        <w:rPr>
          <w:rFonts w:ascii="Times New Roman" w:hAnsi="Times New Roman" w:cs="Times New Roman"/>
          <w:sz w:val="24"/>
          <w:szCs w:val="24"/>
        </w:rPr>
        <w:t>Ignalinos</w:t>
      </w:r>
      <w:proofErr w:type="spellEnd"/>
      <w:r w:rsidR="00226052" w:rsidRPr="004F129C">
        <w:rPr>
          <w:rFonts w:ascii="Times New Roman" w:hAnsi="Times New Roman" w:cs="Times New Roman"/>
          <w:sz w:val="24"/>
          <w:szCs w:val="24"/>
        </w:rPr>
        <w:t xml:space="preserve"> g. 1A, </w:t>
      </w:r>
      <w:proofErr w:type="spellStart"/>
      <w:r w:rsidR="00226052" w:rsidRPr="004F129C">
        <w:rPr>
          <w:rFonts w:ascii="Times New Roman" w:hAnsi="Times New Roman" w:cs="Times New Roman"/>
          <w:sz w:val="24"/>
          <w:szCs w:val="24"/>
        </w:rPr>
        <w:t>Vidiškių</w:t>
      </w:r>
      <w:proofErr w:type="spellEnd"/>
      <w:r w:rsidR="00226052" w:rsidRPr="004F129C">
        <w:rPr>
          <w:rFonts w:ascii="Times New Roman" w:hAnsi="Times New Roman" w:cs="Times New Roman"/>
          <w:sz w:val="24"/>
          <w:szCs w:val="24"/>
        </w:rPr>
        <w:t xml:space="preserve"> k., </w:t>
      </w:r>
      <w:proofErr w:type="spellStart"/>
      <w:r w:rsidR="00226052" w:rsidRPr="004F129C">
        <w:rPr>
          <w:rFonts w:ascii="Times New Roman" w:hAnsi="Times New Roman" w:cs="Times New Roman"/>
          <w:sz w:val="24"/>
          <w:szCs w:val="24"/>
        </w:rPr>
        <w:t>Vidiškių</w:t>
      </w:r>
      <w:proofErr w:type="spellEnd"/>
      <w:r w:rsidR="00226052" w:rsidRPr="004F129C">
        <w:rPr>
          <w:rFonts w:ascii="Times New Roman" w:hAnsi="Times New Roman" w:cs="Times New Roman"/>
          <w:sz w:val="24"/>
          <w:szCs w:val="24"/>
        </w:rPr>
        <w:t xml:space="preserve"> </w:t>
      </w:r>
      <w:proofErr w:type="spellStart"/>
      <w:r w:rsidR="00226052" w:rsidRPr="004F129C">
        <w:rPr>
          <w:rFonts w:ascii="Times New Roman" w:hAnsi="Times New Roman" w:cs="Times New Roman"/>
          <w:sz w:val="24"/>
          <w:szCs w:val="24"/>
        </w:rPr>
        <w:t>sen.</w:t>
      </w:r>
      <w:proofErr w:type="spellEnd"/>
      <w:r w:rsidR="00226052" w:rsidRPr="004F129C">
        <w:rPr>
          <w:rFonts w:ascii="Times New Roman" w:hAnsi="Times New Roman" w:cs="Times New Roman"/>
          <w:sz w:val="24"/>
          <w:szCs w:val="24"/>
        </w:rPr>
        <w:t xml:space="preserve">, </w:t>
      </w:r>
      <w:proofErr w:type="spellStart"/>
      <w:r w:rsidR="00226052" w:rsidRPr="004F129C">
        <w:rPr>
          <w:rFonts w:ascii="Times New Roman" w:hAnsi="Times New Roman" w:cs="Times New Roman"/>
          <w:sz w:val="24"/>
          <w:szCs w:val="24"/>
        </w:rPr>
        <w:t>Ignalinos</w:t>
      </w:r>
      <w:proofErr w:type="spellEnd"/>
      <w:r w:rsidR="00226052" w:rsidRPr="004F129C">
        <w:rPr>
          <w:rFonts w:ascii="Times New Roman" w:hAnsi="Times New Roman" w:cs="Times New Roman"/>
          <w:sz w:val="24"/>
          <w:szCs w:val="24"/>
        </w:rPr>
        <w:t xml:space="preserve"> r. sav.</w:t>
      </w:r>
      <w:r w:rsidR="00226052">
        <w:rPr>
          <w:rFonts w:ascii="Times New Roman" w:hAnsi="Times New Roman" w:cs="Times New Roman"/>
          <w:sz w:val="24"/>
          <w:szCs w:val="24"/>
        </w:rPr>
        <w:t xml:space="preserve">, </w:t>
      </w:r>
      <w:r w:rsidR="00226052" w:rsidRPr="004F129C">
        <w:rPr>
          <w:rFonts w:ascii="Times New Roman" w:hAnsi="Times New Roman" w:cs="Times New Roman"/>
          <w:sz w:val="24"/>
          <w:szCs w:val="24"/>
        </w:rPr>
        <w:t xml:space="preserve">Salos g. 23, </w:t>
      </w:r>
      <w:proofErr w:type="spellStart"/>
      <w:r w:rsidR="00226052" w:rsidRPr="004F129C">
        <w:rPr>
          <w:rFonts w:ascii="Times New Roman" w:hAnsi="Times New Roman" w:cs="Times New Roman"/>
          <w:sz w:val="24"/>
          <w:szCs w:val="24"/>
        </w:rPr>
        <w:t>Didžiasalio</w:t>
      </w:r>
      <w:proofErr w:type="spellEnd"/>
      <w:r w:rsidR="00226052" w:rsidRPr="004F129C">
        <w:rPr>
          <w:rFonts w:ascii="Times New Roman" w:hAnsi="Times New Roman" w:cs="Times New Roman"/>
          <w:sz w:val="24"/>
          <w:szCs w:val="24"/>
        </w:rPr>
        <w:t xml:space="preserve"> k., </w:t>
      </w:r>
      <w:proofErr w:type="spellStart"/>
      <w:r w:rsidR="00226052" w:rsidRPr="004F129C">
        <w:rPr>
          <w:rFonts w:ascii="Times New Roman" w:hAnsi="Times New Roman" w:cs="Times New Roman"/>
          <w:sz w:val="24"/>
          <w:szCs w:val="24"/>
        </w:rPr>
        <w:lastRenderedPageBreak/>
        <w:t>Didžiasalio</w:t>
      </w:r>
      <w:proofErr w:type="spellEnd"/>
      <w:r w:rsidR="00226052" w:rsidRPr="004F129C">
        <w:rPr>
          <w:rFonts w:ascii="Times New Roman" w:hAnsi="Times New Roman" w:cs="Times New Roman"/>
          <w:sz w:val="24"/>
          <w:szCs w:val="24"/>
        </w:rPr>
        <w:t xml:space="preserve"> </w:t>
      </w:r>
      <w:proofErr w:type="spellStart"/>
      <w:r w:rsidR="00226052" w:rsidRPr="004F129C">
        <w:rPr>
          <w:rFonts w:ascii="Times New Roman" w:hAnsi="Times New Roman" w:cs="Times New Roman"/>
          <w:sz w:val="24"/>
          <w:szCs w:val="24"/>
        </w:rPr>
        <w:t>sen.</w:t>
      </w:r>
      <w:proofErr w:type="spellEnd"/>
      <w:r w:rsidR="00226052" w:rsidRPr="004F129C">
        <w:rPr>
          <w:rFonts w:ascii="Times New Roman" w:hAnsi="Times New Roman" w:cs="Times New Roman"/>
          <w:sz w:val="24"/>
          <w:szCs w:val="24"/>
        </w:rPr>
        <w:t xml:space="preserve">, </w:t>
      </w:r>
      <w:proofErr w:type="spellStart"/>
      <w:r w:rsidR="00226052" w:rsidRPr="004F129C">
        <w:rPr>
          <w:rFonts w:ascii="Times New Roman" w:hAnsi="Times New Roman" w:cs="Times New Roman"/>
          <w:sz w:val="24"/>
          <w:szCs w:val="24"/>
        </w:rPr>
        <w:t>Ignalinos</w:t>
      </w:r>
      <w:proofErr w:type="spellEnd"/>
      <w:r w:rsidR="00226052" w:rsidRPr="004F129C">
        <w:rPr>
          <w:rFonts w:ascii="Times New Roman" w:hAnsi="Times New Roman" w:cs="Times New Roman"/>
          <w:sz w:val="24"/>
          <w:szCs w:val="24"/>
        </w:rPr>
        <w:t xml:space="preserve"> r. sav.</w:t>
      </w:r>
      <w:r w:rsidR="008044D8" w:rsidRPr="00F42519">
        <w:rPr>
          <w:rFonts w:ascii="Times New Roman" w:hAnsi="Times New Roman"/>
          <w:bCs/>
          <w:sz w:val="24"/>
          <w:szCs w:val="24"/>
          <w:lang w:val="lt-LT"/>
        </w:rPr>
        <w:t xml:space="preserve"> </w:t>
      </w:r>
    </w:p>
    <w:p w14:paraId="647C7BAD" w14:textId="60409B60"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atlikimo terminas: ne ilgiau kaip per </w:t>
      </w:r>
      <w:r w:rsidR="008044D8">
        <w:rPr>
          <w:rFonts w:ascii="Times New Roman" w:hAnsi="Times New Roman" w:cs="Times New Roman"/>
          <w:sz w:val="24"/>
          <w:szCs w:val="24"/>
          <w:lang w:val="lt-LT"/>
        </w:rPr>
        <w:t>90</w:t>
      </w:r>
      <w:r w:rsidRPr="006D345F">
        <w:rPr>
          <w:rFonts w:ascii="Times New Roman" w:hAnsi="Times New Roman" w:cs="Times New Roman"/>
          <w:sz w:val="24"/>
          <w:szCs w:val="24"/>
          <w:lang w:val="lt-LT"/>
        </w:rPr>
        <w:t xml:space="preserve"> (</w:t>
      </w:r>
      <w:r w:rsidR="008044D8">
        <w:rPr>
          <w:rFonts w:ascii="Times New Roman" w:hAnsi="Times New Roman" w:cs="Times New Roman"/>
          <w:sz w:val="24"/>
          <w:szCs w:val="24"/>
          <w:lang w:val="lt-LT"/>
        </w:rPr>
        <w:t>devyniasdešimt</w:t>
      </w:r>
      <w:r w:rsidR="0032683D">
        <w:rPr>
          <w:rFonts w:ascii="Times New Roman" w:hAnsi="Times New Roman" w:cs="Times New Roman"/>
          <w:sz w:val="24"/>
          <w:szCs w:val="24"/>
          <w:lang w:val="lt-LT"/>
        </w:rPr>
        <w:t>)</w:t>
      </w:r>
      <w:r w:rsidRPr="006D345F">
        <w:rPr>
          <w:rFonts w:ascii="Times New Roman" w:hAnsi="Times New Roman" w:cs="Times New Roman"/>
          <w:sz w:val="24"/>
          <w:szCs w:val="24"/>
          <w:lang w:val="lt-LT"/>
        </w:rPr>
        <w:t xml:space="preserve"> kalendorinių 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13FEF340" w14:textId="078DE115" w:rsidR="00226052" w:rsidRPr="00226052" w:rsidRDefault="00DA481E" w:rsidP="0022605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6DC0AECD" w14:textId="78A09F9C" w:rsidR="00226052" w:rsidRDefault="00226052"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7A4B14">
        <w:rPr>
          <w:rFonts w:ascii="Times New Roman" w:hAnsi="Times New Roman" w:cs="Times New Roman"/>
          <w:sz w:val="24"/>
          <w:szCs w:val="24"/>
          <w:lang w:val="lt-LT"/>
        </w:rPr>
        <w:t>Darbų atlikimo pratesimo terminas nenumatytas.</w:t>
      </w:r>
    </w:p>
    <w:p w14:paraId="399E6C71" w14:textId="77777777" w:rsidR="00226052" w:rsidRPr="006D345F" w:rsidRDefault="00226052" w:rsidP="00226052">
      <w:pPr>
        <w:pStyle w:val="Pagrindinistekstas2"/>
        <w:widowControl w:val="0"/>
        <w:shd w:val="clear" w:color="auto" w:fill="auto"/>
        <w:tabs>
          <w:tab w:val="left" w:pos="426"/>
          <w:tab w:val="left" w:pos="1418"/>
        </w:tabs>
        <w:suppressAutoHyphens/>
        <w:spacing w:before="0" w:after="0" w:line="240" w:lineRule="auto"/>
        <w:ind w:left="1134" w:firstLine="0"/>
        <w:jc w:val="both"/>
        <w:rPr>
          <w:rFonts w:ascii="Times New Roman" w:hAnsi="Times New Roman" w:cs="Times New Roman"/>
          <w:sz w:val="24"/>
          <w:szCs w:val="24"/>
          <w:lang w:val="lt-LT"/>
        </w:rPr>
      </w:pP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645B40A"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B82412">
        <w:rPr>
          <w:rFonts w:ascii="Times New Roman" w:hAnsi="Times New Roman" w:cs="Times New Roman"/>
          <w:sz w:val="24"/>
          <w:szCs w:val="24"/>
          <w:lang w:val="lt-LT"/>
        </w:rPr>
        <w:t>.</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256731">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256731">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256731">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4727238D" w:rsidR="00DA481E" w:rsidRPr="00E3284A" w:rsidRDefault="00F631FB" w:rsidP="009C6BB8">
            <w:pPr>
              <w:widowControl w:val="0"/>
              <w:rPr>
                <w:color w:val="FF0000"/>
                <w:lang w:val="lt-LT"/>
              </w:rPr>
            </w:pPr>
            <w:r w:rsidRPr="00E3284A">
              <w:rPr>
                <w:szCs w:val="24"/>
                <w:lang w:val="lt-LT"/>
              </w:rPr>
              <w:t>Apsauginių žalužių įrengimas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7EFD4CC" w14:textId="77777777" w:rsidTr="00256731">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191B0962" w14:textId="248BB15A" w:rsidR="00DA481E" w:rsidRPr="00E3284A" w:rsidRDefault="00256731" w:rsidP="009C6BB8">
            <w:pPr>
              <w:widowControl w:val="0"/>
              <w:rPr>
                <w:color w:val="FF0000"/>
                <w:lang w:val="lt-LT"/>
              </w:rPr>
            </w:pPr>
            <w:r w:rsidRPr="00E3284A">
              <w:rPr>
                <w:szCs w:val="24"/>
                <w:lang w:val="lt-LT"/>
              </w:rPr>
              <w:t>Apsauginių langų plėvelių įrengimas</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DA481E" w:rsidRPr="006D345F" w:rsidRDefault="00DA481E" w:rsidP="009C6BB8">
            <w:pPr>
              <w:widowControl w:val="0"/>
              <w:rPr>
                <w:color w:val="FF0000"/>
                <w:lang w:val="lt-LT"/>
              </w:rPr>
            </w:pPr>
            <w:r w:rsidRPr="006D345F">
              <w:rPr>
                <w:color w:val="FF0000"/>
                <w:lang w:val="lt-LT"/>
              </w:rPr>
              <w:t>įrašyti</w:t>
            </w:r>
          </w:p>
        </w:tc>
      </w:tr>
      <w:tr w:rsidR="00256731" w:rsidRPr="006D345F" w14:paraId="74D330F3" w14:textId="77777777" w:rsidTr="00256731">
        <w:trPr>
          <w:trHeight w:val="20"/>
        </w:trPr>
        <w:tc>
          <w:tcPr>
            <w:tcW w:w="861" w:type="dxa"/>
            <w:tcBorders>
              <w:top w:val="single" w:sz="4" w:space="0" w:color="auto"/>
              <w:left w:val="single" w:sz="4" w:space="0" w:color="auto"/>
              <w:bottom w:val="single" w:sz="4" w:space="0" w:color="auto"/>
              <w:right w:val="single" w:sz="4" w:space="0" w:color="auto"/>
            </w:tcBorders>
          </w:tcPr>
          <w:p w14:paraId="311762C4" w14:textId="16A5DC96" w:rsidR="00256731" w:rsidRPr="006D345F" w:rsidRDefault="00CF000C"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6877" w:type="dxa"/>
            <w:tcBorders>
              <w:top w:val="single" w:sz="4" w:space="0" w:color="auto"/>
              <w:left w:val="single" w:sz="4" w:space="0" w:color="auto"/>
              <w:bottom w:val="single" w:sz="4" w:space="0" w:color="auto"/>
              <w:right w:val="single" w:sz="4" w:space="0" w:color="auto"/>
            </w:tcBorders>
          </w:tcPr>
          <w:p w14:paraId="6934D789" w14:textId="65E9BD81" w:rsidR="00256731" w:rsidRPr="00E3284A" w:rsidRDefault="00CF000C" w:rsidP="009C6BB8">
            <w:pPr>
              <w:widowControl w:val="0"/>
              <w:rPr>
                <w:szCs w:val="24"/>
                <w:lang w:val="lt-LT"/>
              </w:rPr>
            </w:pPr>
            <w:r w:rsidRPr="00E3284A">
              <w:rPr>
                <w:szCs w:val="24"/>
                <w:lang w:val="lt-LT"/>
              </w:rPr>
              <w:t>Apsauginių skydų įrengimas</w:t>
            </w:r>
          </w:p>
        </w:tc>
        <w:tc>
          <w:tcPr>
            <w:tcW w:w="1911" w:type="dxa"/>
            <w:tcBorders>
              <w:top w:val="single" w:sz="4" w:space="0" w:color="auto"/>
              <w:left w:val="single" w:sz="4" w:space="0" w:color="auto"/>
              <w:bottom w:val="single" w:sz="4" w:space="0" w:color="auto"/>
              <w:right w:val="single" w:sz="4" w:space="0" w:color="auto"/>
            </w:tcBorders>
          </w:tcPr>
          <w:p w14:paraId="2B3D96E9" w14:textId="0E07AA53" w:rsidR="00256731" w:rsidRPr="006D345F" w:rsidRDefault="00CF000C" w:rsidP="009C6BB8">
            <w:pPr>
              <w:widowControl w:val="0"/>
              <w:rPr>
                <w:color w:val="FF0000"/>
                <w:lang w:val="lt-LT"/>
              </w:rPr>
            </w:pPr>
            <w:r w:rsidRPr="006D345F">
              <w:rPr>
                <w:color w:val="FF0000"/>
                <w:lang w:val="lt-LT"/>
              </w:rPr>
              <w:t>įrašyti</w:t>
            </w:r>
          </w:p>
        </w:tc>
      </w:tr>
      <w:tr w:rsidR="00DA481E" w:rsidRPr="006D345F" w14:paraId="1DCB7ED6" w14:textId="77777777" w:rsidTr="00256731">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150C096" w14:textId="77777777" w:rsidTr="00256731">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6D345F" w:rsidRDefault="00DA481E" w:rsidP="009C6BB8">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6DA4437" w14:textId="77777777" w:rsidTr="00256731">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5DF0F83C" w14:textId="77777777" w:rsidTr="00256731">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lastRenderedPageBreak/>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6D345F">
        <w:rPr>
          <w:rFonts w:ascii="Times New Roman" w:hAnsi="Times New Roman" w:cs="Times New Roman"/>
          <w:sz w:val="24"/>
          <w:szCs w:val="24"/>
          <w:lang w:val="lt-LT"/>
        </w:rPr>
        <w:t>Sn</w:t>
      </w:r>
      <w:proofErr w:type="spellEnd"/>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proofErr w:type="spellStart"/>
      <w:r w:rsidRPr="006D345F">
        <w:rPr>
          <w:sz w:val="20"/>
          <w:lang w:val="lt-LT"/>
        </w:rPr>
        <w:t>Sn</w:t>
      </w:r>
      <w:proofErr w:type="spellEnd"/>
      <w:r w:rsidRPr="006D345F">
        <w:rPr>
          <w:sz w:val="20"/>
          <w:lang w:val="lt-LT"/>
        </w:rPr>
        <w:t xml:space="preserve">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6D345F">
        <w:rPr>
          <w:rFonts w:ascii="Times New Roman" w:hAnsi="Times New Roman" w:cs="Times New Roman"/>
          <w:sz w:val="20"/>
          <w:szCs w:val="20"/>
          <w:lang w:val="lt-LT"/>
        </w:rPr>
        <w:t>Tn</w:t>
      </w:r>
      <w:proofErr w:type="spellEnd"/>
      <w:r w:rsidRPr="006D345F">
        <w:rPr>
          <w:rFonts w:ascii="Times New Roman" w:hAnsi="Times New Roman" w:cs="Times New Roman"/>
          <w:sz w:val="20"/>
          <w:szCs w:val="20"/>
          <w:lang w:val="lt-LT"/>
        </w:rPr>
        <w:t xml:space="preserve">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18.</w:t>
      </w:r>
      <w:r w:rsidRPr="006D345F">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6D345F">
        <w:rPr>
          <w:rFonts w:ascii="Times New Roman" w:eastAsia="Arial Unicode MS" w:hAnsi="Times New Roman" w:cs="Times New Roman"/>
          <w:sz w:val="24"/>
          <w:szCs w:val="24"/>
          <w:lang w:val="lt-LT"/>
        </w:rPr>
        <w:t>per 5 (penkias) darbo dienas nuo Pirkėjo pareikalavimo pateikimo dienos.</w:t>
      </w:r>
    </w:p>
    <w:p w14:paraId="6E6ECBF1" w14:textId="31217A0C"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lang w:val="lt-LT"/>
        </w:rPr>
      </w:pPr>
    </w:p>
    <w:p w14:paraId="4ABF5372"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E8B9D2D" w14:textId="77777777" w:rsidR="001B7D52" w:rsidRPr="00972F1F" w:rsidRDefault="001B7D52" w:rsidP="001B7D52">
      <w:pPr>
        <w:tabs>
          <w:tab w:val="left" w:pos="2127"/>
        </w:tabs>
        <w:ind w:firstLine="1134"/>
        <w:jc w:val="both"/>
        <w:rPr>
          <w:strike/>
          <w:lang w:val="lt-LT"/>
        </w:rPr>
      </w:pPr>
      <w:r w:rsidRPr="00972F1F">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1D197EDF" w14:textId="083571E4" w:rsidR="001B7D52" w:rsidRPr="00972F1F" w:rsidRDefault="001B7D52" w:rsidP="001B7D52">
      <w:pPr>
        <w:tabs>
          <w:tab w:val="left" w:pos="2552"/>
        </w:tabs>
        <w:ind w:firstLine="1134"/>
        <w:jc w:val="both"/>
        <w:rPr>
          <w:lang w:val="lt-LT"/>
        </w:rPr>
      </w:pPr>
      <w:r w:rsidRPr="00972F1F">
        <w:rPr>
          <w:lang w:val="lt-LT"/>
        </w:rPr>
        <w:t xml:space="preserve">26.1. Rangovas vykdant Sutartį privalo užtikrinti, kad </w:t>
      </w:r>
      <w:r w:rsidR="00D61ADA">
        <w:rPr>
          <w:color w:val="000000"/>
          <w:lang w:val="lt-LT"/>
        </w:rPr>
        <w:t>g</w:t>
      </w:r>
      <w:r w:rsidR="00D61ADA" w:rsidRPr="008D77CA">
        <w:rPr>
          <w:color w:val="000000"/>
          <w:lang w:val="lt-LT"/>
        </w:rPr>
        <w:t>aminiai/prekės turi atitikti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 punkto 4.4.4.3 papunkčiu, kai perkamų prekių/produktų nėra sąrašo, nurodytame Tvarkos aprašo 1 priede, prekei pagaminti, paslaugai teikti ar darbams atlikti naudojama mažiau ar nenaudojama pavojingųjų cheminių medžiagų, neteršiama aplinka ir nekeliamas pavojus sveikatai.</w:t>
      </w:r>
    </w:p>
    <w:p w14:paraId="3378658B" w14:textId="7624FB56" w:rsidR="00850509" w:rsidRPr="00776298" w:rsidRDefault="001B7D52" w:rsidP="001B7D52">
      <w:pPr>
        <w:tabs>
          <w:tab w:val="left" w:pos="2127"/>
        </w:tabs>
        <w:ind w:firstLine="1134"/>
        <w:jc w:val="both"/>
        <w:rPr>
          <w:strike/>
          <w:lang w:val="lt-LT"/>
        </w:rPr>
      </w:pPr>
      <w:r w:rsidRPr="00972F1F">
        <w:rPr>
          <w:lang w:val="lt-LT"/>
        </w:rPr>
        <w:lastRenderedPageBreak/>
        <w:t>26.2. Pažeidus 26, 26.1   punktuose  numatytus reikalavimus, Rangovas įsipareigoja sumokėti Užsakovui 0,5 proc. Sutarties vertės Eur be PVM dydžio baudą</w:t>
      </w:r>
      <w:r>
        <w:rPr>
          <w:lang w:val="lt-LT"/>
        </w:rPr>
        <w:t>.</w:t>
      </w:r>
    </w:p>
    <w:p w14:paraId="57D003C7" w14:textId="1F536510" w:rsidR="007E2FF9" w:rsidRDefault="00850509" w:rsidP="001D7FDE">
      <w:pPr>
        <w:jc w:val="both"/>
        <w:rPr>
          <w:lang w:val="lt-LT"/>
        </w:rPr>
      </w:pPr>
      <w:r w:rsidRPr="00776298">
        <w:rPr>
          <w:lang w:val="lt-LT"/>
        </w:rPr>
        <w:t xml:space="preserve">                </w:t>
      </w:r>
    </w:p>
    <w:p w14:paraId="213D5352" w14:textId="77777777" w:rsidR="001B7D52" w:rsidRPr="001D7FDE" w:rsidRDefault="001B7D52" w:rsidP="001D7FDE">
      <w:pPr>
        <w:jc w:val="both"/>
        <w:rPr>
          <w:lang w:val="lt-LT"/>
        </w:rPr>
      </w:pP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6D345F"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Techninės specifikacijos, darbų kiekių </w:t>
      </w:r>
      <w:r w:rsidR="00F905FC" w:rsidRPr="006D345F">
        <w:rPr>
          <w:rFonts w:ascii="Times New Roman" w:hAnsi="Times New Roman" w:cs="Times New Roman"/>
          <w:sz w:val="24"/>
          <w:szCs w:val="24"/>
          <w:lang w:val="lt-LT"/>
        </w:rPr>
        <w:t>žiniaraščiai</w:t>
      </w:r>
      <w:r w:rsidRPr="006D345F">
        <w:rPr>
          <w:rFonts w:ascii="Times New Roman" w:hAnsi="Times New Roman" w:cs="Times New Roman"/>
          <w:sz w:val="24"/>
          <w:szCs w:val="24"/>
          <w:lang w:val="lt-LT"/>
        </w:rPr>
        <w:t xml:space="preserve"> ir perkančiosios organizacijos iki pasiūlymų pateikimo termino išsiųsti paaiškinimai</w:t>
      </w:r>
      <w:r w:rsidRPr="006D345F">
        <w:rPr>
          <w:rStyle w:val="PagrindinistekstasKursyvas"/>
          <w:rFonts w:ascii="Times New Roman" w:hAnsi="Times New Roman" w:cs="Times New Roman"/>
          <w:sz w:val="24"/>
          <w:szCs w:val="24"/>
          <w:lang w:val="lt-LT"/>
        </w:rPr>
        <w:t xml:space="preserve"> (jei jų bus).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 xml:space="preserve">Jei Rangovas be raštiško Pirkėjo sutikimo sudaro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atsiskaitomąją (-</w:t>
      </w:r>
      <w:proofErr w:type="spellStart"/>
      <w:r w:rsidRPr="006D345F">
        <w:rPr>
          <w:rFonts w:ascii="Times New Roman" w:hAnsi="Times New Roman" w:cs="Times New Roman"/>
          <w:sz w:val="24"/>
          <w:szCs w:val="24"/>
          <w:lang w:val="lt-LT"/>
        </w:rPr>
        <w:t>ąsias</w:t>
      </w:r>
      <w:proofErr w:type="spellEnd"/>
      <w:r w:rsidRPr="006D345F">
        <w:rPr>
          <w:rFonts w:ascii="Times New Roman" w:hAnsi="Times New Roman" w:cs="Times New Roman"/>
          <w:sz w:val="24"/>
          <w:szCs w:val="24"/>
          <w:lang w:val="lt-LT"/>
        </w:rPr>
        <w:t>) banko sąskaitą (-</w:t>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Rangovas raštu privalo informuoti Pirkėją apie 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07743C6B" w14:textId="77777777" w:rsidR="00E3284A" w:rsidRPr="006D345F" w:rsidRDefault="00E3284A" w:rsidP="00E3284A">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62.</w:t>
      </w:r>
      <w:r w:rsidRPr="006D345F">
        <w:rPr>
          <w:rFonts w:ascii="Times New Roman" w:hAnsi="Times New Roman" w:cs="Times New Roman"/>
          <w:sz w:val="24"/>
          <w:szCs w:val="24"/>
          <w:lang w:val="lt-LT"/>
        </w:rPr>
        <w:tab/>
        <w:t xml:space="preserve">Elektroninės sąskaitos teikiamos per sistemą </w:t>
      </w:r>
      <w:r>
        <w:rPr>
          <w:rFonts w:ascii="Times New Roman" w:hAnsi="Times New Roman" w:cs="Times New Roman"/>
          <w:sz w:val="24"/>
          <w:szCs w:val="24"/>
          <w:lang w:val="lt-LT"/>
        </w:rPr>
        <w:t>SABIS</w:t>
      </w:r>
      <w:r w:rsidRPr="006D345F">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49D15F60"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w:t>
      </w:r>
      <w:r w:rsidR="00E3284A">
        <w:rPr>
          <w:rFonts w:ascii="Times New Roman" w:hAnsi="Times New Roman" w:cs="Times New Roman"/>
          <w:sz w:val="24"/>
          <w:szCs w:val="24"/>
          <w:lang w:val="lt-LT"/>
        </w:rPr>
        <w:t>2</w:t>
      </w:r>
      <w:r w:rsidRPr="006D345F">
        <w:rPr>
          <w:rFonts w:ascii="Times New Roman" w:hAnsi="Times New Roman" w:cs="Times New Roman"/>
          <w:sz w:val="24"/>
          <w:szCs w:val="24"/>
          <w:lang w:val="lt-LT"/>
        </w:rPr>
        <w:t xml:space="preserve">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6D345F">
        <w:rPr>
          <w:rFonts w:ascii="Times New Roman" w:hAnsi="Times New Roman" w:cs="Times New Roman"/>
          <w:sz w:val="24"/>
          <w:szCs w:val="24"/>
          <w:lang w:val="lt-LT"/>
        </w:rPr>
        <w:t>Incoterms</w:t>
      </w:r>
      <w:proofErr w:type="spellEnd"/>
      <w:r w:rsidRPr="006D345F">
        <w:rPr>
          <w:rFonts w:ascii="Times New Roman" w:hAnsi="Times New Roman" w:cs="Times New Roman"/>
          <w:sz w:val="24"/>
          <w:szCs w:val="24"/>
          <w:lang w:val="lt-LT"/>
        </w:rPr>
        <w:t xml:space="preserve">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298247C8"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sandėliuoti arba išvežti perteklines medžiagas ir nereikalingus Rangovo įrengi</w:t>
      </w:r>
      <w:r w:rsidR="00C21228">
        <w:rPr>
          <w:rFonts w:ascii="Times New Roman" w:hAnsi="Times New Roman" w:cs="Times New Roman"/>
          <w:sz w:val="24"/>
          <w:szCs w:val="24"/>
          <w:lang w:val="lt-LT"/>
        </w:rPr>
        <w:t>n</w:t>
      </w:r>
      <w:r w:rsidRPr="006D345F">
        <w:rPr>
          <w:rFonts w:ascii="Times New Roman" w:hAnsi="Times New Roman" w:cs="Times New Roman"/>
          <w:sz w:val="24"/>
          <w:szCs w:val="24"/>
          <w:lang w:val="lt-LT"/>
        </w:rPr>
        <w:t>ius;</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 xml:space="preserve">kai Rangovas pakeičia subrangovą ar sudaro naują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 xml:space="preserve">Šalys įsipareigoja tinkamai informuoti visus fizinius asmenis (darbuotojus, įgaliotinius, </w:t>
      </w:r>
      <w:r w:rsidRPr="006D345F">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6D345F">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5F8AD80" w14:textId="77777777" w:rsidR="00F2279D"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2490C18A" w14:textId="77777777" w:rsidR="006111AF" w:rsidRPr="006D345F" w:rsidRDefault="006111AF"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2405"/>
        <w:gridCol w:w="1557"/>
        <w:gridCol w:w="1985"/>
        <w:gridCol w:w="1991"/>
        <w:gridCol w:w="1307"/>
      </w:tblGrid>
      <w:tr w:rsidR="00DB293F" w:rsidRPr="00847486" w14:paraId="17EA0E34" w14:textId="77777777" w:rsidTr="00073ACA">
        <w:trPr>
          <w:trHeight w:val="624"/>
        </w:trPr>
        <w:tc>
          <w:tcPr>
            <w:tcW w:w="375" w:type="pct"/>
            <w:vMerge w:val="restart"/>
            <w:vAlign w:val="center"/>
          </w:tcPr>
          <w:p w14:paraId="5AA3E064" w14:textId="77777777" w:rsidR="00DB293F" w:rsidRPr="00847486" w:rsidRDefault="00DB293F" w:rsidP="00E144A9">
            <w:pPr>
              <w:widowControl w:val="0"/>
              <w:ind w:right="-113"/>
              <w:jc w:val="center"/>
              <w:rPr>
                <w:b/>
                <w:iCs/>
                <w:szCs w:val="24"/>
              </w:rPr>
            </w:pPr>
            <w:r w:rsidRPr="00847486">
              <w:rPr>
                <w:b/>
                <w:szCs w:val="24"/>
              </w:rPr>
              <w:t>Eil. Nr.</w:t>
            </w:r>
          </w:p>
        </w:tc>
        <w:tc>
          <w:tcPr>
            <w:tcW w:w="1203" w:type="pct"/>
            <w:vMerge w:val="restart"/>
            <w:vAlign w:val="center"/>
          </w:tcPr>
          <w:p w14:paraId="5BE44779" w14:textId="77777777" w:rsidR="00DB293F" w:rsidRPr="001E2549" w:rsidRDefault="00DB293F" w:rsidP="00E144A9">
            <w:pPr>
              <w:jc w:val="center"/>
              <w:rPr>
                <w:b/>
                <w:bCs/>
                <w:szCs w:val="24"/>
                <w:lang w:val="lt-LT"/>
              </w:rPr>
            </w:pPr>
            <w:r w:rsidRPr="001E2549">
              <w:rPr>
                <w:b/>
                <w:bCs/>
                <w:szCs w:val="24"/>
                <w:lang w:val="lt-LT"/>
              </w:rPr>
              <w:t>Darbų gupių (etapų) pavadinimai</w:t>
            </w:r>
          </w:p>
        </w:tc>
        <w:tc>
          <w:tcPr>
            <w:tcW w:w="2768" w:type="pct"/>
            <w:gridSpan w:val="3"/>
          </w:tcPr>
          <w:p w14:paraId="7CC5040A" w14:textId="337EFBD4" w:rsidR="00DB293F" w:rsidRPr="001E2549" w:rsidRDefault="00DB293F"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655" w:type="pct"/>
            <w:vMerge w:val="restart"/>
            <w:vAlign w:val="center"/>
          </w:tcPr>
          <w:p w14:paraId="3A9F6061" w14:textId="3C1495D6" w:rsidR="00DB293F" w:rsidRPr="001E2549" w:rsidRDefault="00DB293F"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DB293F" w:rsidRPr="001E2549" w:rsidRDefault="00DB293F" w:rsidP="00E144A9">
            <w:pPr>
              <w:widowControl w:val="0"/>
              <w:jc w:val="center"/>
              <w:rPr>
                <w:b/>
                <w:i/>
                <w:szCs w:val="24"/>
                <w:lang w:val="lt-LT"/>
              </w:rPr>
            </w:pPr>
            <w:r w:rsidRPr="001E2549">
              <w:rPr>
                <w:b/>
                <w:i/>
                <w:szCs w:val="24"/>
                <w:lang w:val="lt-LT"/>
              </w:rPr>
              <w:t xml:space="preserve">Kaina </w:t>
            </w:r>
            <w:bookmarkStart w:id="7" w:name="_Toc42509141"/>
            <w:r w:rsidRPr="001E2549">
              <w:rPr>
                <w:b/>
                <w:i/>
                <w:szCs w:val="24"/>
                <w:lang w:val="lt-LT"/>
              </w:rPr>
              <w:t>(Eur) be PVM</w:t>
            </w:r>
            <w:bookmarkEnd w:id="3"/>
            <w:bookmarkEnd w:id="4"/>
            <w:bookmarkEnd w:id="5"/>
            <w:bookmarkEnd w:id="6"/>
            <w:bookmarkEnd w:id="7"/>
            <w:r w:rsidRPr="001E2549">
              <w:rPr>
                <w:b/>
                <w:i/>
                <w:szCs w:val="24"/>
                <w:lang w:val="lt-LT"/>
              </w:rPr>
              <w:t xml:space="preserve"> </w:t>
            </w:r>
          </w:p>
          <w:p w14:paraId="55722B0A" w14:textId="77777777" w:rsidR="00DB293F" w:rsidRPr="001E2549" w:rsidRDefault="00DB293F" w:rsidP="00E144A9">
            <w:pPr>
              <w:widowControl w:val="0"/>
              <w:jc w:val="center"/>
              <w:rPr>
                <w:i/>
                <w:szCs w:val="24"/>
                <w:lang w:val="lt-LT"/>
              </w:rPr>
            </w:pPr>
          </w:p>
        </w:tc>
      </w:tr>
      <w:tr w:rsidR="008F7089" w:rsidRPr="00847486" w14:paraId="0BED48DC" w14:textId="77777777" w:rsidTr="00073ACA">
        <w:trPr>
          <w:cantSplit/>
          <w:trHeight w:val="1343"/>
        </w:trPr>
        <w:tc>
          <w:tcPr>
            <w:tcW w:w="375" w:type="pct"/>
            <w:vMerge/>
          </w:tcPr>
          <w:p w14:paraId="092FA621" w14:textId="77777777" w:rsidR="00DB293F" w:rsidRPr="00847486" w:rsidRDefault="00DB293F" w:rsidP="00E144A9">
            <w:pPr>
              <w:widowControl w:val="0"/>
              <w:ind w:left="175"/>
              <w:rPr>
                <w:b/>
                <w:szCs w:val="24"/>
              </w:rPr>
            </w:pPr>
          </w:p>
        </w:tc>
        <w:tc>
          <w:tcPr>
            <w:tcW w:w="1203" w:type="pct"/>
            <w:vMerge/>
          </w:tcPr>
          <w:p w14:paraId="0404ED2D" w14:textId="77777777" w:rsidR="00DB293F" w:rsidRPr="001E2549" w:rsidRDefault="00DB293F" w:rsidP="00E144A9">
            <w:pPr>
              <w:widowControl w:val="0"/>
              <w:rPr>
                <w:b/>
                <w:szCs w:val="24"/>
                <w:lang w:val="lt-LT"/>
              </w:rPr>
            </w:pPr>
          </w:p>
        </w:tc>
        <w:tc>
          <w:tcPr>
            <w:tcW w:w="779" w:type="pct"/>
            <w:textDirection w:val="btLr"/>
          </w:tcPr>
          <w:p w14:paraId="1C81D9D6" w14:textId="77777777" w:rsidR="00DB293F" w:rsidRDefault="00DB293F" w:rsidP="00C051B3">
            <w:pPr>
              <w:widowControl w:val="0"/>
              <w:ind w:left="113" w:right="113"/>
              <w:jc w:val="center"/>
              <w:rPr>
                <w:b/>
                <w:bCs/>
                <w:szCs w:val="24"/>
                <w:lang w:val="lt-LT"/>
              </w:rPr>
            </w:pPr>
          </w:p>
          <w:p w14:paraId="0E9D04C2" w14:textId="3C8EB39F" w:rsidR="00DB293F" w:rsidRPr="0072338D" w:rsidRDefault="00DB293F" w:rsidP="00C051B3">
            <w:pPr>
              <w:widowControl w:val="0"/>
              <w:ind w:left="113" w:right="113"/>
              <w:jc w:val="center"/>
              <w:rPr>
                <w:b/>
                <w:bCs/>
                <w:szCs w:val="24"/>
                <w:lang w:val="lt-LT"/>
              </w:rPr>
            </w:pPr>
            <w:r w:rsidRPr="0072338D">
              <w:rPr>
                <w:b/>
                <w:bCs/>
                <w:szCs w:val="24"/>
                <w:lang w:val="lt-LT"/>
              </w:rPr>
              <w:t>I mėnuo</w:t>
            </w:r>
          </w:p>
        </w:tc>
        <w:tc>
          <w:tcPr>
            <w:tcW w:w="993" w:type="pct"/>
            <w:textDirection w:val="btLr"/>
            <w:vAlign w:val="center"/>
          </w:tcPr>
          <w:p w14:paraId="56D32FC1" w14:textId="7EBA3591" w:rsidR="00DB293F" w:rsidRPr="00CB096E" w:rsidRDefault="00C051B3" w:rsidP="00C051B3">
            <w:pPr>
              <w:widowControl w:val="0"/>
              <w:ind w:left="113" w:right="113"/>
              <w:jc w:val="center"/>
              <w:rPr>
                <w:b/>
                <w:bCs/>
                <w:szCs w:val="24"/>
                <w:lang w:val="lt-LT"/>
              </w:rPr>
            </w:pPr>
            <w:r>
              <w:rPr>
                <w:b/>
                <w:bCs/>
                <w:szCs w:val="24"/>
                <w:lang w:val="lt-LT"/>
              </w:rPr>
              <w:t>I</w:t>
            </w:r>
            <w:r w:rsidR="00DB293F" w:rsidRPr="0072338D">
              <w:rPr>
                <w:b/>
                <w:bCs/>
                <w:szCs w:val="24"/>
                <w:lang w:val="lt-LT"/>
              </w:rPr>
              <w:t>I mėnuo</w:t>
            </w:r>
          </w:p>
        </w:tc>
        <w:tc>
          <w:tcPr>
            <w:tcW w:w="996" w:type="pct"/>
            <w:textDirection w:val="btLr"/>
          </w:tcPr>
          <w:p w14:paraId="294A342B" w14:textId="77777777" w:rsidR="001C093A" w:rsidRDefault="001C093A" w:rsidP="001C093A">
            <w:pPr>
              <w:widowControl w:val="0"/>
              <w:ind w:left="113" w:right="113"/>
              <w:rPr>
                <w:b/>
                <w:bCs/>
                <w:szCs w:val="24"/>
                <w:lang w:val="lt-LT"/>
              </w:rPr>
            </w:pPr>
          </w:p>
          <w:p w14:paraId="4CCD0058" w14:textId="77777777" w:rsidR="001C093A" w:rsidRDefault="001C093A" w:rsidP="001C093A">
            <w:pPr>
              <w:widowControl w:val="0"/>
              <w:ind w:left="113" w:right="113"/>
              <w:rPr>
                <w:b/>
                <w:bCs/>
                <w:szCs w:val="24"/>
                <w:lang w:val="lt-LT"/>
              </w:rPr>
            </w:pPr>
          </w:p>
          <w:p w14:paraId="098E3792" w14:textId="6F92FB58" w:rsidR="00DB293F" w:rsidRPr="001E2549" w:rsidRDefault="00DB293F" w:rsidP="001C093A">
            <w:pPr>
              <w:widowControl w:val="0"/>
              <w:ind w:left="113" w:right="113"/>
              <w:rPr>
                <w:b/>
                <w:szCs w:val="24"/>
                <w:lang w:val="lt-LT"/>
              </w:rPr>
            </w:pPr>
            <w:r w:rsidRPr="0072338D">
              <w:rPr>
                <w:b/>
                <w:bCs/>
                <w:szCs w:val="24"/>
                <w:lang w:val="lt-LT"/>
              </w:rPr>
              <w:t>I</w:t>
            </w:r>
            <w:r w:rsidR="00C051B3">
              <w:rPr>
                <w:b/>
                <w:bCs/>
                <w:szCs w:val="24"/>
                <w:lang w:val="lt-LT"/>
              </w:rPr>
              <w:t>II</w:t>
            </w:r>
            <w:r w:rsidRPr="0072338D">
              <w:rPr>
                <w:b/>
                <w:bCs/>
                <w:szCs w:val="24"/>
                <w:lang w:val="lt-LT"/>
              </w:rPr>
              <w:t xml:space="preserve"> mėnuo</w:t>
            </w:r>
          </w:p>
        </w:tc>
        <w:tc>
          <w:tcPr>
            <w:tcW w:w="655" w:type="pct"/>
            <w:vMerge/>
          </w:tcPr>
          <w:p w14:paraId="7285A3E4" w14:textId="592207B3" w:rsidR="00DB293F" w:rsidRPr="001E2549" w:rsidRDefault="00DB293F" w:rsidP="00E144A9">
            <w:pPr>
              <w:widowControl w:val="0"/>
              <w:rPr>
                <w:b/>
                <w:szCs w:val="24"/>
                <w:lang w:val="lt-LT"/>
              </w:rPr>
            </w:pPr>
          </w:p>
        </w:tc>
      </w:tr>
      <w:tr w:rsidR="00073ACA" w:rsidRPr="00191487" w14:paraId="40FA2A09" w14:textId="77777777" w:rsidTr="00073ACA">
        <w:tc>
          <w:tcPr>
            <w:tcW w:w="375" w:type="pct"/>
          </w:tcPr>
          <w:p w14:paraId="2910CA1C" w14:textId="0D863B79" w:rsidR="00073ACA" w:rsidRPr="00E00E79" w:rsidRDefault="00073ACA" w:rsidP="00073ACA">
            <w:pPr>
              <w:widowControl w:val="0"/>
              <w:jc w:val="center"/>
              <w:rPr>
                <w:color w:val="000000" w:themeColor="text1"/>
                <w:szCs w:val="24"/>
                <w:lang w:val="lt-LT"/>
              </w:rPr>
            </w:pPr>
            <w:r w:rsidRPr="00E00E79">
              <w:rPr>
                <w:szCs w:val="24"/>
                <w:lang w:val="lt-LT"/>
              </w:rPr>
              <w:t>1.</w:t>
            </w:r>
          </w:p>
        </w:tc>
        <w:tc>
          <w:tcPr>
            <w:tcW w:w="1203" w:type="pct"/>
          </w:tcPr>
          <w:p w14:paraId="042651C4" w14:textId="2F921D51" w:rsidR="00073ACA" w:rsidRPr="00E00E79" w:rsidRDefault="00073ACA" w:rsidP="00073ACA">
            <w:pPr>
              <w:rPr>
                <w:szCs w:val="24"/>
                <w:lang w:val="lt-LT"/>
              </w:rPr>
            </w:pPr>
            <w:r w:rsidRPr="00E00E79">
              <w:rPr>
                <w:szCs w:val="24"/>
                <w:lang w:val="lt-LT"/>
              </w:rPr>
              <w:t>Apsauginių žal</w:t>
            </w:r>
            <w:r w:rsidR="00E00E79" w:rsidRPr="00E00E79">
              <w:rPr>
                <w:szCs w:val="24"/>
                <w:lang w:val="lt-LT"/>
              </w:rPr>
              <w:t>i</w:t>
            </w:r>
            <w:r w:rsidRPr="00E00E79">
              <w:rPr>
                <w:szCs w:val="24"/>
                <w:lang w:val="lt-LT"/>
              </w:rPr>
              <w:t>u</w:t>
            </w:r>
            <w:r w:rsidR="00E00E79" w:rsidRPr="00E00E79">
              <w:rPr>
                <w:szCs w:val="24"/>
                <w:lang w:val="lt-LT"/>
              </w:rPr>
              <w:t>z</w:t>
            </w:r>
            <w:r w:rsidRPr="00E00E79">
              <w:rPr>
                <w:szCs w:val="24"/>
                <w:lang w:val="lt-LT"/>
              </w:rPr>
              <w:t>ių įrengimas</w:t>
            </w:r>
          </w:p>
        </w:tc>
        <w:tc>
          <w:tcPr>
            <w:tcW w:w="779" w:type="pct"/>
          </w:tcPr>
          <w:p w14:paraId="0B590307" w14:textId="77777777" w:rsidR="00073ACA" w:rsidRPr="001E2549" w:rsidRDefault="00073ACA" w:rsidP="00073ACA">
            <w:pPr>
              <w:widowControl w:val="0"/>
              <w:spacing w:before="120"/>
              <w:jc w:val="right"/>
              <w:rPr>
                <w:szCs w:val="24"/>
                <w:lang w:val="lt-LT"/>
              </w:rPr>
            </w:pPr>
          </w:p>
        </w:tc>
        <w:tc>
          <w:tcPr>
            <w:tcW w:w="993" w:type="pct"/>
          </w:tcPr>
          <w:p w14:paraId="33D04545" w14:textId="3DFC1907" w:rsidR="00073ACA" w:rsidRPr="001E2549" w:rsidRDefault="00073ACA" w:rsidP="00073ACA">
            <w:pPr>
              <w:widowControl w:val="0"/>
              <w:spacing w:before="120"/>
              <w:jc w:val="right"/>
              <w:rPr>
                <w:szCs w:val="24"/>
                <w:lang w:val="lt-LT"/>
              </w:rPr>
            </w:pPr>
          </w:p>
        </w:tc>
        <w:tc>
          <w:tcPr>
            <w:tcW w:w="996" w:type="pct"/>
          </w:tcPr>
          <w:p w14:paraId="4626DF77" w14:textId="77777777" w:rsidR="00073ACA" w:rsidRPr="001E2549" w:rsidRDefault="00073ACA" w:rsidP="00073ACA">
            <w:pPr>
              <w:widowControl w:val="0"/>
              <w:spacing w:before="120"/>
              <w:jc w:val="right"/>
              <w:rPr>
                <w:szCs w:val="24"/>
                <w:lang w:val="lt-LT"/>
              </w:rPr>
            </w:pPr>
          </w:p>
        </w:tc>
        <w:tc>
          <w:tcPr>
            <w:tcW w:w="655" w:type="pct"/>
          </w:tcPr>
          <w:p w14:paraId="65F69D37" w14:textId="08628221" w:rsidR="00073ACA" w:rsidRPr="001E2549" w:rsidRDefault="00073ACA" w:rsidP="00073ACA">
            <w:pPr>
              <w:widowControl w:val="0"/>
              <w:spacing w:before="120"/>
              <w:jc w:val="right"/>
              <w:rPr>
                <w:szCs w:val="24"/>
                <w:lang w:val="lt-LT"/>
              </w:rPr>
            </w:pPr>
          </w:p>
        </w:tc>
      </w:tr>
      <w:tr w:rsidR="00073ACA" w:rsidRPr="00191487" w14:paraId="0401D1D4" w14:textId="77777777" w:rsidTr="00073ACA">
        <w:tc>
          <w:tcPr>
            <w:tcW w:w="375" w:type="pct"/>
          </w:tcPr>
          <w:p w14:paraId="1CB159BC" w14:textId="4688E07F" w:rsidR="00073ACA" w:rsidRPr="00E00E79" w:rsidRDefault="00073ACA" w:rsidP="00073ACA">
            <w:pPr>
              <w:widowControl w:val="0"/>
              <w:jc w:val="center"/>
              <w:rPr>
                <w:color w:val="000000" w:themeColor="text1"/>
                <w:szCs w:val="24"/>
                <w:lang w:val="lt-LT"/>
              </w:rPr>
            </w:pPr>
            <w:r w:rsidRPr="00E00E79">
              <w:rPr>
                <w:szCs w:val="24"/>
                <w:lang w:val="lt-LT"/>
              </w:rPr>
              <w:t>2.</w:t>
            </w:r>
          </w:p>
        </w:tc>
        <w:tc>
          <w:tcPr>
            <w:tcW w:w="1203" w:type="pct"/>
          </w:tcPr>
          <w:p w14:paraId="5ACC4794" w14:textId="0C1938B0" w:rsidR="00073ACA" w:rsidRPr="00E00E79" w:rsidRDefault="00073ACA" w:rsidP="00073ACA">
            <w:pPr>
              <w:rPr>
                <w:szCs w:val="24"/>
                <w:lang w:val="lt-LT"/>
              </w:rPr>
            </w:pPr>
            <w:r w:rsidRPr="00E00E79">
              <w:rPr>
                <w:szCs w:val="24"/>
                <w:lang w:val="lt-LT"/>
              </w:rPr>
              <w:t>Apsauginių langų plėvelių įrengimas</w:t>
            </w:r>
          </w:p>
        </w:tc>
        <w:tc>
          <w:tcPr>
            <w:tcW w:w="779" w:type="pct"/>
          </w:tcPr>
          <w:p w14:paraId="69E2E123" w14:textId="77777777" w:rsidR="00073ACA" w:rsidRPr="001E2549" w:rsidRDefault="00073ACA" w:rsidP="00073ACA">
            <w:pPr>
              <w:widowControl w:val="0"/>
              <w:spacing w:before="120"/>
              <w:jc w:val="right"/>
              <w:rPr>
                <w:szCs w:val="24"/>
                <w:lang w:val="lt-LT"/>
              </w:rPr>
            </w:pPr>
          </w:p>
        </w:tc>
        <w:tc>
          <w:tcPr>
            <w:tcW w:w="993" w:type="pct"/>
          </w:tcPr>
          <w:p w14:paraId="3FE3FCE4" w14:textId="77777777" w:rsidR="00073ACA" w:rsidRPr="001E2549" w:rsidRDefault="00073ACA" w:rsidP="00073ACA">
            <w:pPr>
              <w:widowControl w:val="0"/>
              <w:spacing w:before="120"/>
              <w:jc w:val="right"/>
              <w:rPr>
                <w:szCs w:val="24"/>
                <w:lang w:val="lt-LT"/>
              </w:rPr>
            </w:pPr>
          </w:p>
        </w:tc>
        <w:tc>
          <w:tcPr>
            <w:tcW w:w="996" w:type="pct"/>
          </w:tcPr>
          <w:p w14:paraId="2869965D" w14:textId="77777777" w:rsidR="00073ACA" w:rsidRPr="001E2549" w:rsidRDefault="00073ACA" w:rsidP="00073ACA">
            <w:pPr>
              <w:widowControl w:val="0"/>
              <w:spacing w:before="120"/>
              <w:jc w:val="right"/>
              <w:rPr>
                <w:szCs w:val="24"/>
                <w:lang w:val="lt-LT"/>
              </w:rPr>
            </w:pPr>
          </w:p>
        </w:tc>
        <w:tc>
          <w:tcPr>
            <w:tcW w:w="655" w:type="pct"/>
          </w:tcPr>
          <w:p w14:paraId="75BA37F6" w14:textId="77777777" w:rsidR="00073ACA" w:rsidRPr="001E2549" w:rsidRDefault="00073ACA" w:rsidP="00073ACA">
            <w:pPr>
              <w:widowControl w:val="0"/>
              <w:spacing w:before="120"/>
              <w:jc w:val="right"/>
              <w:rPr>
                <w:szCs w:val="24"/>
                <w:lang w:val="lt-LT"/>
              </w:rPr>
            </w:pPr>
          </w:p>
        </w:tc>
      </w:tr>
      <w:tr w:rsidR="00073ACA" w:rsidRPr="00191487" w14:paraId="4C990C4B" w14:textId="77777777" w:rsidTr="00073ACA">
        <w:tc>
          <w:tcPr>
            <w:tcW w:w="375" w:type="pct"/>
          </w:tcPr>
          <w:p w14:paraId="7D260A6E" w14:textId="3EA07587" w:rsidR="00073ACA" w:rsidRPr="00E00E79" w:rsidRDefault="00073ACA" w:rsidP="00073ACA">
            <w:pPr>
              <w:widowControl w:val="0"/>
              <w:jc w:val="center"/>
              <w:rPr>
                <w:color w:val="000000" w:themeColor="text1"/>
                <w:szCs w:val="24"/>
                <w:lang w:val="lt-LT"/>
              </w:rPr>
            </w:pPr>
            <w:r w:rsidRPr="00E00E79">
              <w:rPr>
                <w:szCs w:val="24"/>
                <w:lang w:val="lt-LT"/>
              </w:rPr>
              <w:t>3.</w:t>
            </w:r>
          </w:p>
        </w:tc>
        <w:tc>
          <w:tcPr>
            <w:tcW w:w="1203" w:type="pct"/>
          </w:tcPr>
          <w:p w14:paraId="376B0A3C" w14:textId="2CC9A1B9" w:rsidR="00073ACA" w:rsidRPr="00E00E79" w:rsidRDefault="00073ACA" w:rsidP="00073ACA">
            <w:pPr>
              <w:rPr>
                <w:szCs w:val="24"/>
                <w:lang w:val="lt-LT"/>
              </w:rPr>
            </w:pPr>
            <w:r w:rsidRPr="00E00E79">
              <w:rPr>
                <w:szCs w:val="24"/>
                <w:lang w:val="lt-LT"/>
              </w:rPr>
              <w:t>Apsauginių skydų įrengimas</w:t>
            </w:r>
          </w:p>
        </w:tc>
        <w:tc>
          <w:tcPr>
            <w:tcW w:w="779" w:type="pct"/>
          </w:tcPr>
          <w:p w14:paraId="20746568" w14:textId="77777777" w:rsidR="00073ACA" w:rsidRPr="001E2549" w:rsidRDefault="00073ACA" w:rsidP="00073ACA">
            <w:pPr>
              <w:widowControl w:val="0"/>
              <w:spacing w:before="120"/>
              <w:jc w:val="right"/>
              <w:rPr>
                <w:szCs w:val="24"/>
                <w:lang w:val="lt-LT"/>
              </w:rPr>
            </w:pPr>
          </w:p>
        </w:tc>
        <w:tc>
          <w:tcPr>
            <w:tcW w:w="993" w:type="pct"/>
          </w:tcPr>
          <w:p w14:paraId="2C6316CE" w14:textId="77777777" w:rsidR="00073ACA" w:rsidRPr="001E2549" w:rsidRDefault="00073ACA" w:rsidP="00073ACA">
            <w:pPr>
              <w:widowControl w:val="0"/>
              <w:spacing w:before="120"/>
              <w:jc w:val="right"/>
              <w:rPr>
                <w:szCs w:val="24"/>
                <w:lang w:val="lt-LT"/>
              </w:rPr>
            </w:pPr>
          </w:p>
        </w:tc>
        <w:tc>
          <w:tcPr>
            <w:tcW w:w="996" w:type="pct"/>
          </w:tcPr>
          <w:p w14:paraId="706EB65F" w14:textId="77777777" w:rsidR="00073ACA" w:rsidRPr="001E2549" w:rsidRDefault="00073ACA" w:rsidP="00073ACA">
            <w:pPr>
              <w:widowControl w:val="0"/>
              <w:spacing w:before="120"/>
              <w:jc w:val="right"/>
              <w:rPr>
                <w:szCs w:val="24"/>
                <w:lang w:val="lt-LT"/>
              </w:rPr>
            </w:pPr>
          </w:p>
        </w:tc>
        <w:tc>
          <w:tcPr>
            <w:tcW w:w="655" w:type="pct"/>
          </w:tcPr>
          <w:p w14:paraId="62575D09" w14:textId="77777777" w:rsidR="00073ACA" w:rsidRPr="001E2549" w:rsidRDefault="00073ACA" w:rsidP="00073ACA">
            <w:pPr>
              <w:widowControl w:val="0"/>
              <w:spacing w:before="120"/>
              <w:jc w:val="right"/>
              <w:rPr>
                <w:szCs w:val="24"/>
                <w:lang w:val="lt-LT"/>
              </w:rPr>
            </w:pPr>
          </w:p>
        </w:tc>
      </w:tr>
      <w:tr w:rsidR="00073ACA" w:rsidRPr="00F03C46" w14:paraId="7C1FF86D" w14:textId="77777777" w:rsidTr="00073ACA">
        <w:trPr>
          <w:trHeight w:val="277"/>
        </w:trPr>
        <w:tc>
          <w:tcPr>
            <w:tcW w:w="4345" w:type="pct"/>
            <w:gridSpan w:val="5"/>
            <w:vMerge w:val="restart"/>
          </w:tcPr>
          <w:p w14:paraId="45082501" w14:textId="77777777" w:rsidR="00073ACA" w:rsidRPr="00BF6665" w:rsidRDefault="00073ACA" w:rsidP="00073ACA">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64807399" w14:textId="77777777" w:rsidR="00073ACA" w:rsidRPr="001E2549" w:rsidRDefault="00073ACA" w:rsidP="00073ACA">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5C599FD9" w14:textId="4C86181B" w:rsidR="00073ACA" w:rsidRPr="001E2549" w:rsidRDefault="00073ACA" w:rsidP="00073ACA">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655" w:type="pct"/>
          </w:tcPr>
          <w:p w14:paraId="6947A208" w14:textId="569990EC" w:rsidR="00073ACA" w:rsidRPr="001E2549" w:rsidRDefault="00073ACA" w:rsidP="00073ACA">
            <w:pPr>
              <w:widowControl w:val="0"/>
              <w:ind w:left="-1383" w:firstLine="1383"/>
              <w:jc w:val="right"/>
              <w:rPr>
                <w:szCs w:val="24"/>
                <w:lang w:val="lt-LT"/>
              </w:rPr>
            </w:pPr>
          </w:p>
        </w:tc>
      </w:tr>
      <w:tr w:rsidR="00073ACA" w:rsidRPr="00F03C46" w14:paraId="5CDEA500" w14:textId="77777777" w:rsidTr="00073ACA">
        <w:trPr>
          <w:trHeight w:val="147"/>
        </w:trPr>
        <w:tc>
          <w:tcPr>
            <w:tcW w:w="4345" w:type="pct"/>
            <w:gridSpan w:val="5"/>
            <w:vMerge/>
          </w:tcPr>
          <w:p w14:paraId="726B9622" w14:textId="77777777" w:rsidR="00073ACA" w:rsidRPr="001E2549" w:rsidRDefault="00073ACA" w:rsidP="00073ACA">
            <w:pPr>
              <w:widowControl w:val="0"/>
              <w:jc w:val="right"/>
              <w:rPr>
                <w:szCs w:val="24"/>
                <w:lang w:val="lt-LT"/>
              </w:rPr>
            </w:pPr>
          </w:p>
        </w:tc>
        <w:tc>
          <w:tcPr>
            <w:tcW w:w="655" w:type="pct"/>
          </w:tcPr>
          <w:p w14:paraId="64A65A2F" w14:textId="64963B3E" w:rsidR="00073ACA" w:rsidRPr="001E2549" w:rsidRDefault="00073ACA" w:rsidP="00073ACA">
            <w:pPr>
              <w:widowControl w:val="0"/>
              <w:jc w:val="right"/>
              <w:rPr>
                <w:szCs w:val="24"/>
                <w:lang w:val="lt-LT"/>
              </w:rPr>
            </w:pPr>
          </w:p>
        </w:tc>
      </w:tr>
      <w:tr w:rsidR="00073ACA" w:rsidRPr="00F03C46" w14:paraId="5355E44A" w14:textId="77777777" w:rsidTr="00073ACA">
        <w:trPr>
          <w:trHeight w:val="147"/>
        </w:trPr>
        <w:tc>
          <w:tcPr>
            <w:tcW w:w="4345" w:type="pct"/>
            <w:gridSpan w:val="5"/>
            <w:vMerge/>
          </w:tcPr>
          <w:p w14:paraId="0817932C" w14:textId="77777777" w:rsidR="00073ACA" w:rsidRPr="001E2549" w:rsidRDefault="00073ACA" w:rsidP="00073ACA">
            <w:pPr>
              <w:widowControl w:val="0"/>
              <w:jc w:val="right"/>
              <w:rPr>
                <w:szCs w:val="24"/>
                <w:lang w:val="lt-LT"/>
              </w:rPr>
            </w:pPr>
          </w:p>
        </w:tc>
        <w:tc>
          <w:tcPr>
            <w:tcW w:w="655" w:type="pct"/>
          </w:tcPr>
          <w:p w14:paraId="3C4F900C" w14:textId="69193BCA" w:rsidR="00073ACA" w:rsidRPr="001E2549" w:rsidRDefault="00073ACA" w:rsidP="00073ACA">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6D345F"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6D345F"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A8F04D" w14:textId="77777777" w:rsidR="002B4BD9" w:rsidRDefault="002B4BD9" w:rsidP="00C26AE8">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80A679A" w14:textId="77777777" w:rsidR="00C26AE8" w:rsidRDefault="00C26AE8" w:rsidP="00C26AE8">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DA02D48"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6A0CC1"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6D345F"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w:t>
      </w:r>
      <w:proofErr w:type="spellStart"/>
      <w:r w:rsidRPr="006D345F">
        <w:rPr>
          <w:b/>
          <w:bCs/>
          <w:lang w:val="lt-LT"/>
        </w:rPr>
        <w:t>mėn</w:t>
      </w:r>
      <w:proofErr w:type="spellEnd"/>
      <w:r w:rsidRPr="006D345F">
        <w:rPr>
          <w:b/>
          <w:bCs/>
          <w:lang w:val="lt-LT"/>
        </w:rPr>
        <w:t>.</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F03C46"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F03C46"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F03C46"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F03C46"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F03C46"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F03C46"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F03C46"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F03C46"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F03C46"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F03C46"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F03C46"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F03C46"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F03C46"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F03C46"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F03C46"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F03C46"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F03C46"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F03C46"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lastRenderedPageBreak/>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w:t>
      </w:r>
      <w:r w:rsidRPr="006D345F">
        <w:rPr>
          <w:sz w:val="24"/>
          <w:szCs w:val="24"/>
        </w:rPr>
        <w:lastRenderedPageBreak/>
        <w:t>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 xml:space="preserve">25. Trišalės sutarties Šalys susirašinėja lietuvių kalba. Visi pranešimai, sutikimai ir kitas </w:t>
      </w:r>
      <w:r w:rsidRPr="006D345F">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372CE674" w:rsidR="00DA481E" w:rsidRPr="00E00E79" w:rsidRDefault="00E00E79" w:rsidP="00E00E79">
      <w:pPr>
        <w:tabs>
          <w:tab w:val="clear" w:pos="1293"/>
        </w:tabs>
        <w:suppressAutoHyphens w:val="0"/>
        <w:spacing w:after="160" w:line="259" w:lineRule="auto"/>
        <w:textAlignment w:val="auto"/>
        <w:rPr>
          <w:color w:val="000000"/>
          <w:szCs w:val="24"/>
          <w:lang w:val="lt-LT" w:eastAsia="lt-LT"/>
        </w:rPr>
      </w:pPr>
      <w:r>
        <w:rPr>
          <w:szCs w:val="24"/>
        </w:rPr>
        <w:br w:type="page"/>
      </w: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t>ATLIKTŲ DARBŲ AKTAS NR.</w:t>
      </w:r>
      <w:bookmarkEnd w:id="8"/>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F03C46"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F03C46"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F03C46"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F03C46"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B8BF7D3" w:rsidR="00E00E79" w:rsidRDefault="00E00E79">
      <w:pPr>
        <w:rPr>
          <w:lang w:val="lt-LT"/>
        </w:rPr>
      </w:pPr>
    </w:p>
    <w:p w14:paraId="43AF61CC" w14:textId="3A47B623" w:rsidR="00E00E79" w:rsidRDefault="00E00E79">
      <w:pPr>
        <w:tabs>
          <w:tab w:val="clear" w:pos="1293"/>
        </w:tabs>
        <w:suppressAutoHyphens w:val="0"/>
        <w:spacing w:after="160" w:line="259" w:lineRule="auto"/>
        <w:textAlignment w:val="auto"/>
        <w:rPr>
          <w:lang w:val="lt-LT"/>
        </w:rPr>
      </w:pPr>
    </w:p>
    <w:sectPr w:rsidR="00E00E7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6940" w14:textId="77777777" w:rsidR="00C51463" w:rsidRDefault="00C51463">
      <w:r>
        <w:separator/>
      </w:r>
    </w:p>
  </w:endnote>
  <w:endnote w:type="continuationSeparator" w:id="0">
    <w:p w14:paraId="1746A83D" w14:textId="77777777" w:rsidR="00C51463" w:rsidRDefault="00C5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B08A" w14:textId="77777777" w:rsidR="00C51463" w:rsidRDefault="00C51463">
      <w:r>
        <w:separator/>
      </w:r>
    </w:p>
  </w:footnote>
  <w:footnote w:type="continuationSeparator" w:id="0">
    <w:p w14:paraId="3773D456" w14:textId="77777777" w:rsidR="00C51463" w:rsidRDefault="00C5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5"/>
  </w:num>
  <w:num w:numId="9" w16cid:durableId="1311055557">
    <w:abstractNumId w:val="11"/>
  </w:num>
  <w:num w:numId="10" w16cid:durableId="512887402">
    <w:abstractNumId w:val="2"/>
  </w:num>
  <w:num w:numId="11" w16cid:durableId="687367353">
    <w:abstractNumId w:val="14"/>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73ACA"/>
    <w:rsid w:val="00080CC8"/>
    <w:rsid w:val="00081295"/>
    <w:rsid w:val="000B14CB"/>
    <w:rsid w:val="000C7886"/>
    <w:rsid w:val="000F3947"/>
    <w:rsid w:val="00105BED"/>
    <w:rsid w:val="00130384"/>
    <w:rsid w:val="001303A2"/>
    <w:rsid w:val="0014567F"/>
    <w:rsid w:val="001472BB"/>
    <w:rsid w:val="00153137"/>
    <w:rsid w:val="00175156"/>
    <w:rsid w:val="00182E69"/>
    <w:rsid w:val="00191487"/>
    <w:rsid w:val="001B6DD2"/>
    <w:rsid w:val="001B7D52"/>
    <w:rsid w:val="001C093A"/>
    <w:rsid w:val="001D7FDE"/>
    <w:rsid w:val="001E2549"/>
    <w:rsid w:val="001F3746"/>
    <w:rsid w:val="00226052"/>
    <w:rsid w:val="002262BC"/>
    <w:rsid w:val="00254340"/>
    <w:rsid w:val="00256731"/>
    <w:rsid w:val="00265228"/>
    <w:rsid w:val="00270928"/>
    <w:rsid w:val="00274258"/>
    <w:rsid w:val="002755E1"/>
    <w:rsid w:val="00291A99"/>
    <w:rsid w:val="002A36CB"/>
    <w:rsid w:val="002B4BD9"/>
    <w:rsid w:val="002D2027"/>
    <w:rsid w:val="002D3302"/>
    <w:rsid w:val="002E061E"/>
    <w:rsid w:val="00300202"/>
    <w:rsid w:val="00301FE2"/>
    <w:rsid w:val="00323994"/>
    <w:rsid w:val="00325F42"/>
    <w:rsid w:val="0032683D"/>
    <w:rsid w:val="00343CF7"/>
    <w:rsid w:val="00350789"/>
    <w:rsid w:val="00363B54"/>
    <w:rsid w:val="00385A00"/>
    <w:rsid w:val="003A2E07"/>
    <w:rsid w:val="003A3244"/>
    <w:rsid w:val="003F714F"/>
    <w:rsid w:val="00465C5D"/>
    <w:rsid w:val="00475602"/>
    <w:rsid w:val="00484FF1"/>
    <w:rsid w:val="005034F9"/>
    <w:rsid w:val="00510A64"/>
    <w:rsid w:val="00551A07"/>
    <w:rsid w:val="00555863"/>
    <w:rsid w:val="005610DE"/>
    <w:rsid w:val="005644ED"/>
    <w:rsid w:val="00572413"/>
    <w:rsid w:val="005740B0"/>
    <w:rsid w:val="005758A5"/>
    <w:rsid w:val="00591D3B"/>
    <w:rsid w:val="005B0423"/>
    <w:rsid w:val="00600A7C"/>
    <w:rsid w:val="00607468"/>
    <w:rsid w:val="006111AF"/>
    <w:rsid w:val="00614A59"/>
    <w:rsid w:val="00644A89"/>
    <w:rsid w:val="00651F2C"/>
    <w:rsid w:val="00655C4F"/>
    <w:rsid w:val="006973E3"/>
    <w:rsid w:val="006C50E5"/>
    <w:rsid w:val="006C683A"/>
    <w:rsid w:val="006D345F"/>
    <w:rsid w:val="006E4266"/>
    <w:rsid w:val="006E5B1B"/>
    <w:rsid w:val="006F3B19"/>
    <w:rsid w:val="0072338D"/>
    <w:rsid w:val="007308C1"/>
    <w:rsid w:val="007313A7"/>
    <w:rsid w:val="007636EA"/>
    <w:rsid w:val="00776298"/>
    <w:rsid w:val="007A4B14"/>
    <w:rsid w:val="007E2FF9"/>
    <w:rsid w:val="007F77A9"/>
    <w:rsid w:val="008044D8"/>
    <w:rsid w:val="008070D6"/>
    <w:rsid w:val="00833BAD"/>
    <w:rsid w:val="00847486"/>
    <w:rsid w:val="00850509"/>
    <w:rsid w:val="008653E6"/>
    <w:rsid w:val="008762E9"/>
    <w:rsid w:val="00884C6E"/>
    <w:rsid w:val="00896C13"/>
    <w:rsid w:val="008A446F"/>
    <w:rsid w:val="008C5741"/>
    <w:rsid w:val="008F4351"/>
    <w:rsid w:val="008F7089"/>
    <w:rsid w:val="00901E10"/>
    <w:rsid w:val="0090303F"/>
    <w:rsid w:val="00906E42"/>
    <w:rsid w:val="00910D37"/>
    <w:rsid w:val="009566C0"/>
    <w:rsid w:val="009647C9"/>
    <w:rsid w:val="009B55B3"/>
    <w:rsid w:val="009C337D"/>
    <w:rsid w:val="00A24702"/>
    <w:rsid w:val="00A34F4B"/>
    <w:rsid w:val="00A5488E"/>
    <w:rsid w:val="00A561D9"/>
    <w:rsid w:val="00A7206D"/>
    <w:rsid w:val="00A72C7A"/>
    <w:rsid w:val="00A80DFF"/>
    <w:rsid w:val="00AC3D2A"/>
    <w:rsid w:val="00AC629E"/>
    <w:rsid w:val="00AF058E"/>
    <w:rsid w:val="00AF3F07"/>
    <w:rsid w:val="00B06AED"/>
    <w:rsid w:val="00B304D8"/>
    <w:rsid w:val="00B37D9C"/>
    <w:rsid w:val="00B71ADC"/>
    <w:rsid w:val="00B80F35"/>
    <w:rsid w:val="00B82412"/>
    <w:rsid w:val="00B905D6"/>
    <w:rsid w:val="00B97E4D"/>
    <w:rsid w:val="00BA4B52"/>
    <w:rsid w:val="00BB0ECC"/>
    <w:rsid w:val="00BB15B1"/>
    <w:rsid w:val="00BC5633"/>
    <w:rsid w:val="00BD6D49"/>
    <w:rsid w:val="00BE5F85"/>
    <w:rsid w:val="00BF6665"/>
    <w:rsid w:val="00C051B3"/>
    <w:rsid w:val="00C117BF"/>
    <w:rsid w:val="00C21228"/>
    <w:rsid w:val="00C26AE8"/>
    <w:rsid w:val="00C33490"/>
    <w:rsid w:val="00C51463"/>
    <w:rsid w:val="00CA2B2E"/>
    <w:rsid w:val="00CB0383"/>
    <w:rsid w:val="00CB096E"/>
    <w:rsid w:val="00CD3849"/>
    <w:rsid w:val="00CF000C"/>
    <w:rsid w:val="00CF09DA"/>
    <w:rsid w:val="00CF27DF"/>
    <w:rsid w:val="00D12A82"/>
    <w:rsid w:val="00D215B1"/>
    <w:rsid w:val="00D561B6"/>
    <w:rsid w:val="00D61ADA"/>
    <w:rsid w:val="00D70020"/>
    <w:rsid w:val="00D741C1"/>
    <w:rsid w:val="00D82446"/>
    <w:rsid w:val="00D9010B"/>
    <w:rsid w:val="00D94794"/>
    <w:rsid w:val="00DA481E"/>
    <w:rsid w:val="00DB293F"/>
    <w:rsid w:val="00DB4584"/>
    <w:rsid w:val="00DD71FA"/>
    <w:rsid w:val="00DD7B8A"/>
    <w:rsid w:val="00DF0A97"/>
    <w:rsid w:val="00DF31E5"/>
    <w:rsid w:val="00DF528E"/>
    <w:rsid w:val="00E00E79"/>
    <w:rsid w:val="00E04749"/>
    <w:rsid w:val="00E3284A"/>
    <w:rsid w:val="00E41B5B"/>
    <w:rsid w:val="00E87D99"/>
    <w:rsid w:val="00E972C7"/>
    <w:rsid w:val="00EA0F2C"/>
    <w:rsid w:val="00EC57A2"/>
    <w:rsid w:val="00ED720F"/>
    <w:rsid w:val="00EE15BE"/>
    <w:rsid w:val="00EF0C51"/>
    <w:rsid w:val="00EF5BA3"/>
    <w:rsid w:val="00F03C46"/>
    <w:rsid w:val="00F22678"/>
    <w:rsid w:val="00F2279D"/>
    <w:rsid w:val="00F42519"/>
    <w:rsid w:val="00F5141A"/>
    <w:rsid w:val="00F55D22"/>
    <w:rsid w:val="00F631FB"/>
    <w:rsid w:val="00F84570"/>
    <w:rsid w:val="00F9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Pages>
  <Words>56522</Words>
  <Characters>32219</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66</cp:revision>
  <dcterms:created xsi:type="dcterms:W3CDTF">2024-05-27T13:39:00Z</dcterms:created>
  <dcterms:modified xsi:type="dcterms:W3CDTF">2026-06-16T06:26:00Z</dcterms:modified>
</cp:coreProperties>
</file>