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78" w:type="dxa"/>
        <w:tblInd w:w="6949" w:type="dxa"/>
        <w:tblLook w:val="01E0" w:firstRow="1" w:lastRow="1" w:firstColumn="1" w:lastColumn="1" w:noHBand="0" w:noVBand="0"/>
      </w:tblPr>
      <w:tblGrid>
        <w:gridCol w:w="8078"/>
      </w:tblGrid>
      <w:tr w:rsidR="00F024F7" w:rsidRPr="006D7D3A" w14:paraId="593985CB" w14:textId="77777777">
        <w:tc>
          <w:tcPr>
            <w:tcW w:w="8078" w:type="dxa"/>
          </w:tcPr>
          <w:p w14:paraId="4E316D43" w14:textId="4C1B36A6" w:rsidR="00193194" w:rsidRPr="006D7D3A" w:rsidRDefault="00193194">
            <w:pPr>
              <w:pStyle w:val="NoSpacing"/>
              <w:spacing w:line="276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024F7" w:rsidRPr="006D7D3A" w14:paraId="2A565D6B" w14:textId="77777777">
        <w:tc>
          <w:tcPr>
            <w:tcW w:w="8078" w:type="dxa"/>
          </w:tcPr>
          <w:p w14:paraId="0ECEB083" w14:textId="77777777" w:rsidR="00193194" w:rsidRPr="006D7D3A" w:rsidRDefault="00193194">
            <w:pPr>
              <w:pStyle w:val="NoSpacing"/>
              <w:spacing w:line="276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4E4AA4D1" w14:textId="34A3E754" w:rsidR="00193194" w:rsidRPr="006D7D3A" w:rsidRDefault="00442DE4" w:rsidP="00442DE4">
      <w:pPr>
        <w:suppressAutoHyphens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D7D3A">
        <w:rPr>
          <w:rFonts w:asciiTheme="majorHAnsi" w:hAnsiTheme="majorHAnsi"/>
          <w:b/>
          <w:color w:val="000000" w:themeColor="text1"/>
          <w:sz w:val="20"/>
          <w:szCs w:val="20"/>
        </w:rPr>
        <w:t>PARUOŠTŲ NAUDOTI ANTIKŪNŲ, PAPILDOMŲ REAGENTŲ IR PRIEMONIŲ IMUNOHISTOCHEMINĖMS, IMUNOFLUORESCENCINĖMS IR IN</w:t>
      </w:r>
      <w:r w:rsidR="00992D2E" w:rsidRPr="006D7D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6D7D3A">
        <w:rPr>
          <w:rFonts w:asciiTheme="majorHAnsi" w:hAnsiTheme="majorHAnsi"/>
          <w:b/>
          <w:color w:val="000000" w:themeColor="text1"/>
          <w:sz w:val="20"/>
          <w:szCs w:val="20"/>
        </w:rPr>
        <w:t>SITU HIBRIDIZACIJOS REAKCIJOMS ATLIKTI KARTU SU ĮRANGOS ĮSIG</w:t>
      </w:r>
      <w:r w:rsidR="00581A82" w:rsidRPr="006D7D3A">
        <w:rPr>
          <w:rFonts w:asciiTheme="majorHAnsi" w:hAnsiTheme="majorHAnsi"/>
          <w:b/>
          <w:color w:val="000000" w:themeColor="text1"/>
          <w:sz w:val="20"/>
          <w:szCs w:val="20"/>
        </w:rPr>
        <w:t>I</w:t>
      </w:r>
      <w:r w:rsidRPr="006D7D3A">
        <w:rPr>
          <w:rFonts w:asciiTheme="majorHAnsi" w:hAnsiTheme="majorHAnsi"/>
          <w:b/>
          <w:color w:val="000000" w:themeColor="text1"/>
          <w:sz w:val="20"/>
          <w:szCs w:val="20"/>
        </w:rPr>
        <w:t>JIMU PANAUDOS BŪDU TECHNINĖ SPECIFIKACIJA</w:t>
      </w:r>
    </w:p>
    <w:p w14:paraId="20A1C2B0" w14:textId="77777777" w:rsidR="00193194" w:rsidRPr="006D7D3A" w:rsidRDefault="00193194">
      <w:pPr>
        <w:pStyle w:val="NormalWeb"/>
        <w:spacing w:before="0" w:after="0" w:line="22" w:lineRule="atLeast"/>
        <w:ind w:left="360"/>
        <w:jc w:val="center"/>
        <w:rPr>
          <w:rFonts w:asciiTheme="majorHAnsi" w:hAnsiTheme="majorHAnsi"/>
          <w:b/>
          <w:color w:val="000000" w:themeColor="text1"/>
          <w:sz w:val="20"/>
          <w:szCs w:val="20"/>
          <w:lang w:eastAsia="lt-LT"/>
        </w:rPr>
      </w:pPr>
    </w:p>
    <w:p w14:paraId="78B6AED4" w14:textId="4142FD4E" w:rsidR="00442DE4" w:rsidRPr="006D7D3A" w:rsidRDefault="00C00696">
      <w:pPr>
        <w:pStyle w:val="NormalWeb"/>
        <w:spacing w:before="0" w:after="0" w:line="22" w:lineRule="atLeast"/>
        <w:ind w:left="360"/>
        <w:jc w:val="center"/>
        <w:rPr>
          <w:rFonts w:asciiTheme="majorHAnsi" w:hAnsiTheme="majorHAnsi"/>
          <w:b/>
          <w:color w:val="000000" w:themeColor="text1"/>
          <w:sz w:val="20"/>
          <w:szCs w:val="20"/>
          <w:lang w:eastAsia="lt-LT"/>
        </w:rPr>
      </w:pPr>
      <w:r w:rsidRPr="006D7D3A">
        <w:rPr>
          <w:rFonts w:asciiTheme="majorHAnsi" w:hAnsiTheme="majorHAnsi"/>
          <w:b/>
          <w:color w:val="000000" w:themeColor="text1"/>
          <w:sz w:val="20"/>
          <w:szCs w:val="20"/>
          <w:lang w:eastAsia="lt-LT"/>
        </w:rPr>
        <w:t xml:space="preserve">                                                                                      </w:t>
      </w:r>
      <w:r w:rsidR="00373ED3" w:rsidRPr="006D7D3A">
        <w:rPr>
          <w:rFonts w:asciiTheme="majorHAnsi" w:hAnsiTheme="majorHAnsi"/>
          <w:b/>
          <w:color w:val="000000" w:themeColor="text1"/>
          <w:sz w:val="20"/>
          <w:szCs w:val="20"/>
          <w:lang w:eastAsia="lt-LT"/>
        </w:rPr>
        <w:t xml:space="preserve">                                                                                              </w:t>
      </w:r>
      <w:r w:rsidRPr="006D7D3A">
        <w:rPr>
          <w:rFonts w:asciiTheme="majorHAnsi" w:hAnsiTheme="majorHAnsi"/>
          <w:b/>
          <w:color w:val="000000" w:themeColor="text1"/>
          <w:sz w:val="20"/>
          <w:szCs w:val="20"/>
          <w:lang w:eastAsia="lt-LT"/>
        </w:rPr>
        <w:t xml:space="preserve">  </w:t>
      </w:r>
    </w:p>
    <w:p w14:paraId="135DF381" w14:textId="77777777" w:rsidR="00D34F69" w:rsidRPr="006D7D3A" w:rsidRDefault="00D34F69">
      <w:pPr>
        <w:pStyle w:val="NormalWeb"/>
        <w:spacing w:before="0" w:after="0" w:line="22" w:lineRule="atLeast"/>
        <w:ind w:left="360"/>
        <w:jc w:val="center"/>
        <w:rPr>
          <w:rFonts w:asciiTheme="majorHAnsi" w:hAnsiTheme="majorHAnsi"/>
          <w:color w:val="000000" w:themeColor="text1"/>
          <w:sz w:val="20"/>
          <w:szCs w:val="20"/>
          <w:lang w:eastAsia="lt-LT"/>
        </w:rPr>
      </w:pPr>
    </w:p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83"/>
        <w:gridCol w:w="1435"/>
        <w:gridCol w:w="2871"/>
        <w:gridCol w:w="1518"/>
        <w:gridCol w:w="1350"/>
        <w:gridCol w:w="1386"/>
        <w:gridCol w:w="974"/>
        <w:gridCol w:w="1251"/>
        <w:gridCol w:w="1069"/>
        <w:gridCol w:w="862"/>
        <w:gridCol w:w="770"/>
        <w:gridCol w:w="770"/>
        <w:gridCol w:w="1121"/>
      </w:tblGrid>
      <w:tr w:rsidR="006D7D3A" w:rsidRPr="006D7D3A" w14:paraId="51DD7DEB" w14:textId="78D1B8F0" w:rsidTr="006D7D3A">
        <w:trPr>
          <w:trHeight w:val="90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257" w14:textId="257392DE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Eilės Nr.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891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Prekė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9ECE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Reikalavimai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4869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Pageidaujama pakuotė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BC7D" w14:textId="70F1A08A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Orientacinis kiekis pakuotėmis per 60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0CF" w14:textId="04DA9B08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Orientacinis kiekis reakcijomis per 60 mėn.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DAFBA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4962056F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0EC6542E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  <w:p w14:paraId="232D67C6" w14:textId="507760B8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  <w:t>Siūloma pakuotė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CEE7F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D990694" w14:textId="2B5645B5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Siūlomų pakuočių kiekis, reikalingas nurodytam reakcijų skaičiui atlikti</w:t>
            </w:r>
          </w:p>
          <w:p w14:paraId="6EBB2D8D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F937" w14:textId="77777777" w:rsidR="006D7D3A" w:rsidRPr="006D7D3A" w:rsidRDefault="006D7D3A" w:rsidP="007222F8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6A085227" w14:textId="16164B64" w:rsidR="006D7D3A" w:rsidRPr="006D7D3A" w:rsidRDefault="006D7D3A" w:rsidP="007222F8">
            <w:pPr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Pakuotės kaina, EUR be PVM</w:t>
            </w:r>
          </w:p>
          <w:p w14:paraId="24C365C7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7D85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51CF245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703D74B2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4BF9D784" w14:textId="628700FA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PVM tarifas, %</w:t>
            </w:r>
          </w:p>
          <w:p w14:paraId="77244048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9130" w14:textId="477E9AE2" w:rsidR="006D7D3A" w:rsidRPr="006D7D3A" w:rsidRDefault="006D7D3A" w:rsidP="006D7D3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Suma, EUR su PVM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C0C" w14:textId="77568718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11F24584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37D963AF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0B0BBFC" w14:textId="16618FE1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Suma, EUR su PVM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5313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1BEFC49D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0A6100A8" w14:textId="7777777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3728827F" w14:textId="5856860A" w:rsidR="006D7D3A" w:rsidRPr="006D7D3A" w:rsidRDefault="006D7D3A" w:rsidP="006D7D3A">
            <w:pPr>
              <w:tabs>
                <w:tab w:val="left" w:pos="443"/>
              </w:tabs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20"/>
                <w:szCs w:val="20"/>
                <w:lang w:eastAsia="lt-LT"/>
              </w:rPr>
              <w:t>Gamintojas, produkto Nr.</w:t>
            </w:r>
          </w:p>
        </w:tc>
      </w:tr>
      <w:tr w:rsidR="006D7D3A" w:rsidRPr="006D7D3A" w14:paraId="309E9DD8" w14:textId="77777777" w:rsidTr="006D7D3A">
        <w:trPr>
          <w:trHeight w:val="2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36D" w14:textId="61A68F6B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F379" w14:textId="6C36440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B28A" w14:textId="78DCAFF5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B51DB" w14:textId="45574E1A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3C9" w14:textId="415C1E47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BF11" w14:textId="060253AD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3E257" w14:textId="2250CB12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046A" w14:textId="108B465C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9240F" w14:textId="4A170293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2D37" w14:textId="4BC37EE9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EF461" w14:textId="063DDAC0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1B0" w14:textId="59F1A6F8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</w:t>
            </w:r>
            <w:r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85416" w14:textId="4D69BDB5" w:rsidR="006D7D3A" w:rsidRPr="006D7D3A" w:rsidRDefault="006D7D3A" w:rsidP="007222F8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</w:t>
            </w:r>
            <w:r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3</w:t>
            </w:r>
          </w:p>
        </w:tc>
      </w:tr>
      <w:tr w:rsidR="006D7D3A" w:rsidRPr="006D7D3A" w14:paraId="6968291A" w14:textId="282314B6" w:rsidTr="006D7D3A">
        <w:trPr>
          <w:trHeight w:val="49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D78" w14:textId="6279C14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CAD2C" w14:textId="79AF6DF4" w:rsidR="006D7D3A" w:rsidRPr="006D7D3A" w:rsidRDefault="006D7D3A" w:rsidP="000B13CD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Paruošti naudoti antikūnai, papildomi reagentai ir priemonės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imunohistocheminėms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reakcijoms atlikti.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52C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4B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0CBD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D4E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BAA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C86B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9DF1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145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409" w14:textId="4331E66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F6C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71D5F1AF" w14:textId="13DBB3D1" w:rsidTr="006D7D3A">
        <w:trPr>
          <w:trHeight w:val="69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74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B9CC" w14:textId="7777777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Bendrieji reikalavimai paruoštiems naudoti antikūnams, papildomiems reagentams ir priemonėms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E9A20" w14:textId="5A1A347B" w:rsidR="006D7D3A" w:rsidRPr="006D7D3A" w:rsidRDefault="006D7D3A" w:rsidP="00035C7A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1. Paruošti naudoti antikūnai, papildomi reagentai ir priemonės skirti darbui su panaudai siūlomomis 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automatinėmis laboratorinėmis sistemomis audinių patologijos diagnostiniams tyrimams (toliau - Sistemos), </w:t>
            </w:r>
            <w:r w:rsidRPr="006D7D3A">
              <w:rPr>
                <w:rFonts w:asciiTheme="majorHAnsi" w:hAnsiTheme="majorHAnsi" w:cs="Calibri"/>
                <w:color w:val="000000" w:themeColor="text1"/>
                <w:sz w:val="20"/>
                <w:szCs w:val="20"/>
                <w:shd w:val="clear" w:color="auto" w:fill="FFFFFF"/>
              </w:rPr>
              <w:t>atitinkančiomis 1 priede pateiktus reikalavimus</w:t>
            </w:r>
            <w:r w:rsidRPr="006D7D3A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.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       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                       2. Paruošti naudoti antikūnai skirti </w:t>
            </w:r>
            <w:proofErr w:type="spellStart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imunohistocheminėms</w:t>
            </w:r>
            <w:proofErr w:type="spellEnd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reakcijoms atlikti su formalinu fiksuotais į parafiną įlietais audiniais. </w:t>
            </w:r>
          </w:p>
          <w:p w14:paraId="22DBC7B8" w14:textId="4C775D4B" w:rsidR="006D7D3A" w:rsidRPr="006D7D3A" w:rsidRDefault="006D7D3A" w:rsidP="00D3788C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3. Siūlomi antikūnai yra pilnai paruošti naudojimui, pateikiami antikūnų gamintojo dozavimo konteineryje, suderintame su panaudai siūlomomis Sistemomis.                             4. Kiekvienam siūlomam paruoštam naudoti antikūnui 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 xml:space="preserve">pateikimas individualus, antikūno gamintojo patvirtintas, </w:t>
            </w:r>
            <w:proofErr w:type="spellStart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imunohistocheminio</w:t>
            </w:r>
            <w:proofErr w:type="spellEnd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dažymo protokolas, skirtas konkrečiam antikūnui naudoti su panaudai siūloma Sistema.                                                      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5. Siūlomi antikūnai privalo turėti CE-IVD ženklinimą (</w:t>
            </w:r>
            <w:r w:rsidRPr="006D7D3A">
              <w:rPr>
                <w:rFonts w:asciiTheme="majorHAnsi" w:hAnsiTheme="maj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kartu su pasiūlymu konkursui būtina pateikti </w:t>
            </w:r>
            <w:r w:rsidRPr="006D7D3A">
              <w:rPr>
                <w:rFonts w:asciiTheme="majorHAnsi" w:hAnsiTheme="majorHAnsi" w:cstheme="minorHAnsi"/>
                <w:i/>
                <w:iCs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galiojančių</w:t>
            </w:r>
            <w:r w:rsidRPr="006D7D3A">
              <w:rPr>
                <w:rFonts w:asciiTheme="majorHAnsi" w:hAnsiTheme="maj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dokumentų, liudijančių žymėjimą CE-IVD ženklu (CE sertifikatų ir/arba EB atitikties deklaracijų), kopijas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) arba ženklinimas nurodomas pridėtoje siūlomos prekės techninėje specifikacijoje (gamintojo dokumentuose).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                                      6.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Tyrimo metodika, reagentų aprašymai turi būti pateikti anglų ir lietuvių kalbomis (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>kartu su pasiūlymu konkursui pakanka pateikti dokumentus anglų kalba, kartu su prekėmis – lietuvių ir anglų kalbomis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).                                           7. Reagentų galiojimo laikas ne trumpesnis nei 5 mėn. nuo pristatymo datos 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(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>būtinas atitinkamas tiekėjo patvirtinimas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).                                     8. Pateikiami visi papildomi reagentai ir papildomos priemonės, reikalingos reakcijoms atlikti.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AEB1" w14:textId="55EE3D6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5C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1556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A3FD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0F9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8D6C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7C5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266A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101" w14:textId="6355873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198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6A4FE930" w14:textId="3C0114C1" w:rsidTr="006D7D3A">
        <w:trPr>
          <w:trHeight w:val="24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B94A" w14:textId="302ABDF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22951" w14:textId="4B616E5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lygiųjų raumenų aktinas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7F5AD" w14:textId="017B4719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1A4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89B08" w14:textId="1AD24A9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9B1" w14:textId="154F903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7BF3A" w14:textId="178ACB5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456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0923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13EB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0D35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3A93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93F" w14:textId="1F99350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A42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03F6721" w14:textId="44713FC6" w:rsidTr="006D7D3A">
        <w:trPr>
          <w:trHeight w:val="32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2C2" w14:textId="6CE534E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3E40" w14:textId="73D2D92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CA125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0E2A" w14:textId="71632B1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M11 arba OC125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5733" w14:textId="1084CB71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F43" w14:textId="285D55C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8581" w14:textId="42A877F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16DB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BAE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9E11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DB4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842F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31C" w14:textId="62CF060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4CD6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65ED402F" w14:textId="64585576" w:rsidTr="006D7D3A">
        <w:trPr>
          <w:trHeight w:val="58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87D" w14:textId="64C8C73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6EA" w14:textId="7AE13C9A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D413E" w14:textId="1E257AD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AB75 arba MRQ-11, arba EP22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05" w14:textId="517D6B31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B802" w14:textId="1FB11A3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6F68C" w14:textId="5410108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75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7D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48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2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A5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B6E" w14:textId="129CFB0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37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053471C5" w14:textId="3A76A839" w:rsidTr="006D7D3A">
        <w:trPr>
          <w:trHeight w:val="35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BF7" w14:textId="06A4366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>1.1.4.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0F46E" w14:textId="2DDEC9F8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E09FC" w14:textId="2FF016DE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4C7 arba SP19, arba EP77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1E337" w14:textId="53861908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037" w14:textId="6847CF8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5F067" w14:textId="07561EC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567E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E54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D53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5EE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7CB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4F1" w14:textId="705C444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7914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989F182" w14:textId="443CD750" w:rsidTr="006D7D3A">
        <w:trPr>
          <w:trHeight w:val="7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795" w14:textId="36E191D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1.1.5.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A1EA0" w14:textId="56F709D5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5D59D" w14:textId="51C8E09D" w:rsidR="006D7D3A" w:rsidRPr="006D7D3A" w:rsidRDefault="006D7D3A" w:rsidP="00A761BC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DAK-CD10 arba SP67, arba 56C6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0BAAE" w14:textId="5A7B26C4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C77" w14:textId="25F056B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7703F" w14:textId="0DE759B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9D78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30BE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AB9F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C66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F756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A68" w14:textId="0D21240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898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18366B4" w14:textId="325AD61B" w:rsidTr="006D7D3A">
        <w:trPr>
          <w:trHeight w:val="10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47A" w14:textId="31C6E8E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25B7D" w14:textId="5E4108F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829C" w14:textId="794AD7D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val="en-US"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L26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B56FE" w14:textId="418B0565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139" w14:textId="103A7B1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83E1B" w14:textId="7F69756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FED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06C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678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E58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049E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5BE" w14:textId="0DF718D5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655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0E199DCE" w14:textId="09282D27" w:rsidTr="006D7D3A">
        <w:trPr>
          <w:trHeight w:val="27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7C6" w14:textId="118EE3D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1.1.7.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EAD0F" w14:textId="0000FA38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1E206" w14:textId="4746EAA2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1F8 arba 2G9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0E9D" w14:textId="0D5AC584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8C8" w14:textId="2E90594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AAFE" w14:textId="0BC9EBE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41FD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48A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D986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533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DEB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385" w14:textId="639F979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418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0F63A79" w14:textId="6368AF10" w:rsidTr="006D7D3A">
        <w:trPr>
          <w:trHeight w:val="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EE9" w14:textId="09FEDDC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1.1.8.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81788" w14:textId="408BE2B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CD23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B6970" w14:textId="06A4243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DAK-CD23 arba SP23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CDE5" w14:textId="6E5819EA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CBA" w14:textId="72BDB64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20994" w14:textId="5C6BBD9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CC14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46EC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C55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32A0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BC9B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7C8" w14:textId="0378D2C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8BDD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7977836C" w14:textId="07B8E22A" w:rsidTr="006D7D3A">
        <w:trPr>
          <w:trHeight w:val="19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D91" w14:textId="1EF722C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1.1.9.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BFF1F" w14:textId="5184DB3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7343B" w14:textId="05B0F58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FF0000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Klonas JC70A  arba JC70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B1E4" w14:textId="44E7125B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EB3" w14:textId="7307D36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D7112" w14:textId="2C54CD9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D9C1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A05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066F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787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502C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A0A" w14:textId="09B6DAD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B81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FDEB282" w14:textId="77C04A70" w:rsidTr="006D7D3A">
        <w:trPr>
          <w:trHeight w:val="171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C1F" w14:textId="357D3215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1.1.10.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F8A8" w14:textId="70DBEF0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CD34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12790" w14:textId="2EDFBCA9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QBEnd10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793AE" w14:textId="6FB7F9B5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847" w14:textId="0E462D6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2658D" w14:textId="4C6069E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F32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200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330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3EC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6B88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649" w14:textId="407956E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421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D91521B" w14:textId="0C914DF6" w:rsidTr="006D7D3A">
        <w:trPr>
          <w:trHeight w:val="22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85E" w14:textId="3176CC0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90809" w14:textId="406CE18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CD43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0959" w14:textId="40C7E665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DF-T1 arba L60, arba MT1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917F" w14:textId="7FF38DFC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9C6" w14:textId="35487C3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6317" w14:textId="29CCB943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D96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1B5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80D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106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65C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A4B" w14:textId="3EE0DA45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345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CE216A5" w14:textId="607BBACF" w:rsidTr="006D7D3A">
        <w:trPr>
          <w:trHeight w:val="13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0AE" w14:textId="730F6A8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1.1.12.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6B8E" w14:textId="2C144B03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CD45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1733" w14:textId="617AAB9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2B11+PD7/26 arba RP2/18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7FFF5" w14:textId="3D9AF8DA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A5F" w14:textId="38D1515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7631D" w14:textId="2DEC051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54F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B2FA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4A0E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76B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34E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E1D" w14:textId="69A66B0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AC2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2DA4AD2" w14:textId="77777777" w:rsidTr="006D7D3A">
        <w:trPr>
          <w:trHeight w:val="9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50A" w14:textId="0810440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1.1.13.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5E5D" w14:textId="218E8590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CD57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CE7D6" w14:textId="3A1548F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TB01 arba NK-1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6AC40" w14:textId="7D49AA38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CDF" w14:textId="512A8C3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254A4" w14:textId="528C6E0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5D1F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1DD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5EC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F58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25E2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D14" w14:textId="35AA51D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445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C3B6B6E" w14:textId="250BB0E8" w:rsidTr="006D7D3A">
        <w:trPr>
          <w:trHeight w:val="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A68" w14:textId="391C26F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1.1.14.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62BD2" w14:textId="73A6A61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CD68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BC812" w14:textId="6A432313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PG-M1 arba SP251v18, arba KP-1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71788" w14:textId="0E141D2F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0B3" w14:textId="6852CFE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20A21" w14:textId="70666D4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4EE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CA21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E7D8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EA1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B6C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0DC" w14:textId="75B1D43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43D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7AC25D4" w14:textId="1620CF92" w:rsidTr="006D7D3A">
        <w:trPr>
          <w:trHeight w:val="7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3D3" w14:textId="229B411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1.1.15.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0FD3" w14:textId="5B3FF809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CD79a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FA54" w14:textId="1AD5276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JCB117 arba SP18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38EB" w14:textId="34B04AD9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F07" w14:textId="4BFDF52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B71A" w14:textId="247BB32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DCD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AC71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495D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48CF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3B48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652" w14:textId="089B8D9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FE6B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8F3D8AD" w14:textId="321C41AE" w:rsidTr="006D7D3A">
        <w:trPr>
          <w:trHeight w:val="10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DA5" w14:textId="76B5416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106D0" w14:textId="401B460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Citokeratinas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F4DC7" w14:textId="7E54E1B2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AE1/AE3 arba CAM 5.2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79A91" w14:textId="6A343834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D42" w14:textId="68B1DFA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4FBFC" w14:textId="3894E85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888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11C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8BC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DF6B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9A6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F85" w14:textId="078123E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F83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</w:tr>
      <w:tr w:rsidR="006D7D3A" w:rsidRPr="006D7D3A" w14:paraId="50AD3A0A" w14:textId="731E5476" w:rsidTr="006D7D3A">
        <w:trPr>
          <w:trHeight w:val="55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38E" w14:textId="428EADF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1.1.17.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31139" w14:textId="7159CBA3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CK7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8B476" w14:textId="1963569D" w:rsidR="006D7D3A" w:rsidRPr="006D7D3A" w:rsidRDefault="006D7D3A" w:rsidP="00035C7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OV-TL 12/30 arba SP52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FD57" w14:textId="705D06C4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0CB" w14:textId="0ADD323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4BB95" w14:textId="43A301A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4FB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0B3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C51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2EF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FE21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B02" w14:textId="6F70404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BD9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highlight w:val="green"/>
                <w:lang w:eastAsia="lt-LT"/>
              </w:rPr>
            </w:pPr>
          </w:p>
        </w:tc>
      </w:tr>
      <w:tr w:rsidR="006D7D3A" w:rsidRPr="006D7D3A" w14:paraId="07FD074F" w14:textId="6400E94C" w:rsidTr="006D7D3A">
        <w:trPr>
          <w:trHeight w:val="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335" w14:textId="32F02A2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1.1.18.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1E06A" w14:textId="1CE6114C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CK20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AF2EA" w14:textId="12FE7CB6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Ks20.8 arba SP33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BB85" w14:textId="3BD99247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638" w14:textId="62DCB5E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C1136" w14:textId="5F83B45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F64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C96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EC6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756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65D7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1BD" w14:textId="3970F72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08D1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79F1033E" w14:textId="76FB5E61" w:rsidTr="006D7D3A">
        <w:trPr>
          <w:trHeight w:val="24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E5E" w14:textId="04AE6F4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1.1.19.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2D2E" w14:textId="4132456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Citokeratinas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aukšto molekulinio svorio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F202A" w14:textId="48030405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34ßE12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DF07" w14:textId="24CD780D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502" w14:textId="483A7EA3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DE0AC" w14:textId="5AAA68C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F9B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6398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57ED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EE31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8FE1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4FD" w14:textId="7DFDB22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C0A3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66186C1F" w14:textId="41F13560" w:rsidTr="006D7D3A">
        <w:trPr>
          <w:trHeight w:val="31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CC8" w14:textId="5AB8F57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1.1.20.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36DB" w14:textId="409E8F56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EMA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F2D00" w14:textId="36BE0C9B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E29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E30BF" w14:textId="79833E6C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767" w14:textId="0718FD6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89DBE" w14:textId="5682D88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E4E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ECF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013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ACB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6B5B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9B3" w14:textId="562812D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4927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F16F11E" w14:textId="77777777" w:rsidTr="006D7D3A">
        <w:trPr>
          <w:trHeight w:val="313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E93" w14:textId="2E24F432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557B" w14:textId="1DEDB22E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F45D9" w14:textId="219406DE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Poliklonas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arba ZR291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5A78" w14:textId="3AFE9BD0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FC2" w14:textId="64BDDEC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A27DE" w14:textId="74B9E0B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8209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98B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B0B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4445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08DE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146" w14:textId="3155120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16C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7529638" w14:textId="66138C73" w:rsidTr="006D7D3A">
        <w:trPr>
          <w:trHeight w:val="7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934" w14:textId="45677CA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1.1.22.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A007" w14:textId="42D963AE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718F8" w14:textId="32613B4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Poliklonas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arba E20-V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58F34" w14:textId="54AC47AA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EB4" w14:textId="6318AFB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09DCD" w14:textId="19EF1B0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89A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FEB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405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343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FB85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7D5" w14:textId="556F983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0A1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1BFF167F" w14:textId="1F226075" w:rsidTr="006D7D3A">
        <w:trPr>
          <w:trHeight w:val="30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4CA" w14:textId="70DC103A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1.1.23.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42042" w14:textId="28D1E34D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66CE0" w14:textId="4C0A972C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Poliklonas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arba ZR249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B29A" w14:textId="70461B13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6FF" w14:textId="4519F27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65170" w14:textId="04EDE00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CCC1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B491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F7B8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2F84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9483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FA8" w14:textId="02BFE88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178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71F0B733" w14:textId="0168A02E" w:rsidTr="006D7D3A">
        <w:trPr>
          <w:trHeight w:val="7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5B4" w14:textId="2FDA9D9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lastRenderedPageBreak/>
              <w:t>1.1.24.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CCD2" w14:textId="1709D9B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Ki67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15123" w14:textId="08C4DF0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MIB-1 arba 30-9, arba SP6.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24BB6" w14:textId="4C898B55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E19" w14:textId="0F78C503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3F73D" w14:textId="34B8FEC8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14400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33A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E63E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C91C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A79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7A5E5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861" w14:textId="7164E58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566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031AAA11" w14:textId="4B645F22" w:rsidTr="006D7D3A">
        <w:trPr>
          <w:trHeight w:val="7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C7" w14:textId="240D5DF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1.1.25.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E0A6" w14:textId="6FF1112C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MUM1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7137A" w14:textId="15A0B51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Klonas MUM1p arba EP190, arba </w:t>
            </w:r>
            <w:r w:rsidRPr="006D7D3A">
              <w:rPr>
                <w:rFonts w:asciiTheme="majorHAnsi" w:hAnsiTheme="majorHAnsi" w:cs="Calibri"/>
                <w:sz w:val="20"/>
                <w:szCs w:val="20"/>
              </w:rPr>
              <w:t>MUM1/8274R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2FA9F" w14:textId="53B31737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4A8" w14:textId="272AB385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C448" w14:textId="3813110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88B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B74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B61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88D9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678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5E7" w14:textId="7434214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1F94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E0B7A85" w14:textId="21A80191" w:rsidTr="006D7D3A">
        <w:trPr>
          <w:trHeight w:val="24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9FF" w14:textId="0CE0B85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1.1.26.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C576C" w14:textId="0E2CB5D4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MPO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B7A1" w14:textId="033661F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Poliklonas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arba MPO/7118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7CD3" w14:textId="188E82EF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C42" w14:textId="2C35CE55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00CE5" w14:textId="4E801EB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44D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CE8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2ADA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396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F5F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CF7F" w14:textId="44A96B8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215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BB2D53F" w14:textId="394CD727" w:rsidTr="006D7D3A">
        <w:trPr>
          <w:trHeight w:val="17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A85" w14:textId="4C8E5F0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1.1.27.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F447" w14:textId="6257956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PD –L1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117F6" w14:textId="407C65E9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Klonas 22C3 arba SP142 arba 28-8, arba kitas kliniškai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validuotas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klonas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14635" w14:textId="2E41B828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33F" w14:textId="273964A1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DE97A" w14:textId="24282E8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3600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B001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43F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DDCE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0B06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613DD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71F" w14:textId="0B214D1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A5F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0A0F192D" w14:textId="0FDE803B" w:rsidTr="006D7D3A">
        <w:trPr>
          <w:trHeight w:val="42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757" w14:textId="6C7E83A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1.1.28.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AB90" w14:textId="4502C3B7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p16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675" w14:textId="10A10776" w:rsidR="006D7D3A" w:rsidRPr="006D7D3A" w:rsidRDefault="006D7D3A" w:rsidP="00A761BC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Klonas JC8 arba E6H4, arba JC2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8813F" w14:textId="2A42AC40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751" w14:textId="5FD62E7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C158" w14:textId="348D99CE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9960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DDE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9E53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F04D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98E0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63AA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4A" w14:textId="7384CFD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6CD3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B27F7DE" w14:textId="0FB5FE36" w:rsidTr="006D7D3A">
        <w:trPr>
          <w:trHeight w:val="46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3F883" w14:textId="2A49CE5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1.1.29.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78FA" w14:textId="161B2FC1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Antikūnas S100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B0249" w14:textId="238F02DC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Poliklonas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arba 4C4.9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80D7" w14:textId="5AD6E54C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52C" w14:textId="36C2152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5F43F" w14:textId="3752467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1BD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B1E7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23C9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AF3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6D9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5C6" w14:textId="5AA5FB7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F3B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7BDEFE41" w14:textId="77777777" w:rsidTr="006D7D3A">
        <w:trPr>
          <w:trHeight w:val="469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C33" w14:textId="4CF33BC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1.1.30.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609F" w14:textId="2C03C4A6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Antikūnas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5836A" w14:textId="2B54A643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Klonas V9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3035" w14:textId="01276A7B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Ne mažiau 60 reakcijų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BA8" w14:textId="4EB2454B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CB409" w14:textId="6A66C3E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753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994C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E74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7393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55520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DB7" w14:textId="6DF58C54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91F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41F8929" w14:textId="42778A7A" w:rsidTr="006D7D3A">
        <w:trPr>
          <w:trHeight w:val="43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ABD" w14:textId="10B6B96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1.1.31.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C77F" w14:textId="1CD009AF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Trečiųjų šalių antikūnai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72DDF" w14:textId="6838AC90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7C2F1" w14:textId="08AC0A0C" w:rsidR="006D7D3A" w:rsidRPr="006D7D3A" w:rsidRDefault="006D7D3A" w:rsidP="00035C7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5FF" w14:textId="2C8E3FF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BEEA8" w14:textId="2947CBD6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40000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44BF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D21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FF984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3357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01488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3E16" w14:textId="4D6F6199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D50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06C7CFB" w14:textId="70F3D4FE" w:rsidTr="006D7D3A">
        <w:trPr>
          <w:trHeight w:val="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4FD0" w14:textId="11AC0E8C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8A837" w14:textId="6CD710CA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Reagentai ir papildomos priemonės, reikalingos reakcijų atlikimui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A3506" w14:textId="79E5AC25" w:rsidR="006D7D3A" w:rsidRPr="006D7D3A" w:rsidRDefault="006D7D3A" w:rsidP="00035C7A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10883" w14:textId="32C01D04" w:rsidR="006D7D3A" w:rsidRPr="006D7D3A" w:rsidRDefault="006D7D3A" w:rsidP="00035C7A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18F" w14:textId="2DA3A45F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B67DD" w14:textId="55796850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A4DA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81306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E99B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4A2D2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DD8A1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7EC" w14:textId="2F2086BD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5981E" w14:textId="77777777" w:rsidR="006D7D3A" w:rsidRPr="006D7D3A" w:rsidRDefault="006D7D3A" w:rsidP="00035C7A">
            <w:pPr>
              <w:suppressAutoHyphens w:val="0"/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</w:tbl>
    <w:p w14:paraId="3D71E58C" w14:textId="77777777" w:rsidR="00AE17F1" w:rsidRPr="006D7D3A" w:rsidRDefault="00AE17F1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8CC93B4" w14:textId="4346427A" w:rsidR="00AE17F1" w:rsidRPr="006D7D3A" w:rsidRDefault="00AE17F1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9711616" w14:textId="02694D0C" w:rsidR="00BA50A4" w:rsidRPr="006D7D3A" w:rsidRDefault="00BA50A4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CBD6D00" w14:textId="2A0B4FDA" w:rsidR="00BA50A4" w:rsidRPr="006D7D3A" w:rsidRDefault="00BA50A4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F03272E" w14:textId="185DE032" w:rsidR="00BA50A4" w:rsidRPr="006D7D3A" w:rsidRDefault="00BA50A4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46E9F46" w14:textId="02E13AB7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59642BE" w14:textId="408B38B6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80B65C0" w14:textId="284B431B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A5A19CE" w14:textId="36BE1E8A" w:rsidR="00DC2996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6A676DA" w14:textId="2B2A5BC5" w:rsidR="006D7D3A" w:rsidRDefault="006D7D3A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30F4E7D" w14:textId="4D42D48C" w:rsidR="006D7D3A" w:rsidRDefault="006D7D3A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7E0CF1C" w14:textId="77777777" w:rsidR="006D7D3A" w:rsidRPr="006D7D3A" w:rsidRDefault="006D7D3A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568620E" w14:textId="30866C8F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FFF69A4" w14:textId="74847B30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976CCA3" w14:textId="7D9547C7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2EF90D5" w14:textId="1B9418D1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B88D0CF" w14:textId="6ABF6898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C1C6F6D" w14:textId="79EB8B20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5C45455B" w14:textId="6882A247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6985F0C" w14:textId="4E8346B8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D3CE852" w14:textId="44A965B5" w:rsidR="00DC2996" w:rsidRPr="006D7D3A" w:rsidRDefault="00DC2996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7C36306" w14:textId="0FA667FC" w:rsidR="00BA50A4" w:rsidRPr="006D7D3A" w:rsidRDefault="00BA50A4" w:rsidP="009B4F9C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190856A4" w14:textId="557FF450" w:rsidR="004017C5" w:rsidRPr="006D7D3A" w:rsidRDefault="00481EA2" w:rsidP="00481EA2">
      <w:pPr>
        <w:spacing w:after="0" w:line="240" w:lineRule="auto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6D7D3A">
        <w:rPr>
          <w:rFonts w:asciiTheme="majorHAnsi" w:hAnsiTheme="majorHAnsi" w:cstheme="minorHAnsi"/>
          <w:color w:val="000000" w:themeColor="text1"/>
          <w:sz w:val="20"/>
          <w:szCs w:val="20"/>
        </w:rPr>
        <w:lastRenderedPageBreak/>
        <w:t>1 priedas</w:t>
      </w:r>
    </w:p>
    <w:p w14:paraId="79F95293" w14:textId="7BF22C8E" w:rsidR="004017C5" w:rsidRPr="006D7D3A" w:rsidRDefault="00481EA2" w:rsidP="00481EA2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6D7D3A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Laboratorinės įrangos techninė specifikacija</w:t>
      </w:r>
    </w:p>
    <w:p w14:paraId="79F3BF09" w14:textId="77777777" w:rsidR="00B55C74" w:rsidRPr="006D7D3A" w:rsidRDefault="00B55C74" w:rsidP="00481EA2">
      <w:pPr>
        <w:spacing w:after="0" w:line="240" w:lineRule="auto"/>
        <w:ind w:left="709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14:paraId="16F4BF06" w14:textId="77777777" w:rsidR="00B55C74" w:rsidRPr="006D7D3A" w:rsidRDefault="00B55C74" w:rsidP="00A72823">
      <w:pPr>
        <w:spacing w:after="0" w:line="240" w:lineRule="auto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W w:w="1836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9"/>
        <w:gridCol w:w="3923"/>
        <w:gridCol w:w="927"/>
        <w:gridCol w:w="3334"/>
        <w:gridCol w:w="632"/>
        <w:gridCol w:w="3969"/>
        <w:gridCol w:w="3477"/>
      </w:tblGrid>
      <w:tr w:rsidR="006D7D3A" w:rsidRPr="006D7D3A" w14:paraId="5E3FC73B" w14:textId="48DACDCC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50FB4F" w14:textId="77777777" w:rsidR="006D7D3A" w:rsidRPr="006D7D3A" w:rsidRDefault="006D7D3A" w:rsidP="00654D37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  <w:lang w:eastAsia="lt-LT" w:bidi="hi-IN"/>
              </w:rPr>
              <w:t>Eil. Nr.</w:t>
            </w:r>
          </w:p>
        </w:tc>
        <w:tc>
          <w:tcPr>
            <w:tcW w:w="39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BC5CD08" w14:textId="77777777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Pavadinimas</w:t>
            </w:r>
          </w:p>
        </w:tc>
        <w:tc>
          <w:tcPr>
            <w:tcW w:w="48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103" w:type="dxa"/>
            </w:tcMar>
          </w:tcPr>
          <w:p w14:paraId="5E5782BF" w14:textId="77777777" w:rsidR="006D7D3A" w:rsidRPr="006D7D3A" w:rsidRDefault="006D7D3A" w:rsidP="00654D37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Reikalaujami techniniai parametrai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D15D84A" w14:textId="2E3EE6C3" w:rsidR="006D7D3A" w:rsidRPr="006D7D3A" w:rsidRDefault="006D7D3A" w:rsidP="00654D37">
            <w:pPr>
              <w:suppressAutoHyphens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Siūlomos parametrų reikšmės</w:t>
            </w:r>
          </w:p>
        </w:tc>
      </w:tr>
      <w:tr w:rsidR="006D7D3A" w:rsidRPr="006D7D3A" w14:paraId="740741B7" w14:textId="1A1745CF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B0736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I.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D6B1DF" w14:textId="4C47BCDA" w:rsidR="006D7D3A" w:rsidRPr="006D7D3A" w:rsidRDefault="006D7D3A" w:rsidP="00E72E1F">
            <w:pPr>
              <w:suppressAutoHyphens w:val="0"/>
              <w:spacing w:after="0" w:line="22" w:lineRule="atLeas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Automatinė laboratorinė sistema audinių patologijos diagnostiniams tyrimams (toliau - Sistema) – 2 vnt.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729693" w14:textId="77777777" w:rsidR="006D7D3A" w:rsidRPr="006D7D3A" w:rsidRDefault="006D7D3A" w:rsidP="00654D37">
            <w:pPr>
              <w:suppressAutoHyphens w:val="0"/>
              <w:spacing w:after="0" w:line="22" w:lineRule="atLeast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DCF26" w14:textId="77777777" w:rsidR="006D7D3A" w:rsidRPr="006D7D3A" w:rsidRDefault="006D7D3A" w:rsidP="00654D37">
            <w:pPr>
              <w:suppressAutoHyphens w:val="0"/>
              <w:spacing w:after="0" w:line="22" w:lineRule="atLeast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</w:tr>
      <w:tr w:rsidR="006D7D3A" w:rsidRPr="006D7D3A" w14:paraId="74DF8B14" w14:textId="1D609A15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5711226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D221A1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Techniniai reikalavimai Sistemai: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6117EC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3D0BA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64F9746" w14:textId="136B32C9" w:rsidTr="006D7D3A">
        <w:trPr>
          <w:gridAfter w:val="1"/>
          <w:wAfter w:w="3477" w:type="dxa"/>
          <w:trHeight w:val="1380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EE77002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  <w:t>1.1.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0CC60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Sistemos taikomi metodai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6D5BF0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1.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Imunohistochemija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718B18DA" w14:textId="3ADF7371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2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lang w:eastAsia="lt-LT"/>
              </w:rPr>
              <w:t>In</w:t>
            </w:r>
            <w:proofErr w:type="spellEnd"/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lang w:eastAsia="lt-LT"/>
              </w:rPr>
              <w:t>situ</w:t>
            </w:r>
            <w:proofErr w:type="spellEnd"/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hibridizacija.</w:t>
            </w:r>
          </w:p>
          <w:p w14:paraId="01AF8A0C" w14:textId="5B90B776" w:rsidR="006D7D3A" w:rsidRPr="006D7D3A" w:rsidRDefault="006D7D3A" w:rsidP="00654D37">
            <w:pPr>
              <w:suppressAutoHyphens w:val="0"/>
              <w:spacing w:after="0" w:line="22" w:lineRule="atLeast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3. Dvigubas dažymas.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7F9E0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206AFF33" w14:textId="0589CA57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6B2105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1.2.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DEBD79" w14:textId="77777777" w:rsidR="006D7D3A" w:rsidRPr="006D7D3A" w:rsidRDefault="006D7D3A" w:rsidP="00654D37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Sistemos atliekamos procedūros</w:t>
            </w:r>
          </w:p>
          <w:p w14:paraId="2A1779CA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621FCF" w14:textId="5B0C3FB4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Pilnai automatinis, nereikalaujantis papildomų įrenginių ir rankinio darbo reakcijų atlikimas pasirinktu metodu, apimantis visus reakcijų atlikimui reikalingus žingsnius nuo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deparafinizavimo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iki kontrastinio dažymo.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4156B" w14:textId="77777777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14175195" w14:textId="0D566AFD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C1F4FB" w14:textId="5DF104A3" w:rsidR="006D7D3A" w:rsidRPr="006D7D3A" w:rsidRDefault="006D7D3A" w:rsidP="00481EA2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1.3.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E034CD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Sistemos lankstumas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565A5D" w14:textId="474BDD3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1. Galima taikyti individualų protokolą kiekvienam dažomam objektiniam stikleliui.</w:t>
            </w:r>
          </w:p>
          <w:p w14:paraId="6FD57CF9" w14:textId="70A064FD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2. Galima naudoti bet kurio gamintojo antikūnus.</w:t>
            </w:r>
          </w:p>
          <w:p w14:paraId="6C2843F8" w14:textId="7BD5B552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3. Galima kurti ir modifikuoti dažymo protokolus.</w:t>
            </w:r>
          </w:p>
          <w:p w14:paraId="7F12ECE7" w14:textId="3F99301F" w:rsidR="006D7D3A" w:rsidRPr="006D7D3A" w:rsidRDefault="006D7D3A" w:rsidP="00F96C02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4. Galima generuoti pasirinkto laikotarpio reakcijų ataskaitas.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31977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065233BE" w14:textId="5A04D4DA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A177C0" w14:textId="2F1D10B5" w:rsidR="006D7D3A" w:rsidRPr="006D7D3A" w:rsidRDefault="006D7D3A" w:rsidP="00481EA2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1.4.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7BEA8D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Sistemos našumas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6E2190" w14:textId="62F3937C" w:rsidR="006D7D3A" w:rsidRPr="006D7D3A" w:rsidRDefault="006D7D3A" w:rsidP="00E72E1F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1. Galima vienu metu nudažyti ne mažiau nei 30 audinių ant objektinių stiklelių individualiais dažymo protokolais.</w:t>
            </w:r>
          </w:p>
          <w:p w14:paraId="37B3C325" w14:textId="52CCEA76" w:rsidR="006D7D3A" w:rsidRPr="006D7D3A" w:rsidRDefault="006D7D3A" w:rsidP="00E72E1F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2. Galima vienu metu naudoti ne mažiau kaip 30 skirtingų antikūnų ir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detektavimo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sistemą.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69B3F" w14:textId="77777777" w:rsidR="006D7D3A" w:rsidRPr="006D7D3A" w:rsidRDefault="006D7D3A" w:rsidP="00E72E1F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2E086D52" w14:textId="295E7084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FFD9AA" w14:textId="4732D812" w:rsidR="006D7D3A" w:rsidRPr="006D7D3A" w:rsidRDefault="006D7D3A" w:rsidP="00481EA2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1.5.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4E5613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Reagentų maišymas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4D3573" w14:textId="5C90FB98" w:rsidR="006D7D3A" w:rsidRPr="006D7D3A" w:rsidRDefault="006D7D3A" w:rsidP="0078321A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Pilnai automatizuotas.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F4D60" w14:textId="77777777" w:rsidR="006D7D3A" w:rsidRPr="006D7D3A" w:rsidRDefault="006D7D3A" w:rsidP="0078321A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560205B3" w14:textId="1118120D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5FE462" w14:textId="4C2BA283" w:rsidR="006D7D3A" w:rsidRPr="006D7D3A" w:rsidRDefault="006D7D3A" w:rsidP="00481EA2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1.6.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93F79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Cheminių atliekų surinkimas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34E355" w14:textId="4118526F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Ne mažiau nei 2 cheminių atliekų surinkimo konteineriai su detektoriais, apsaugančiais nuo perpildymo.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93CB6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7A7D15C" w14:textId="3D1AF09A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A18B5B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6BE80B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Komplektacija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4C856F" w14:textId="15071D18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Kartu su panaudai pateikiamomis Sistemomis pateikiamas jų valdymui skirtas kompiuteris su programine įranga, monitoriumi, klaviatūra, pele, etikečių spausdintuvu, kodų skaitytuvu, protokolų spausdintuvu ir nepertraukiamu maitinimo šaltiniu.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D1FA8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614A5FA5" w14:textId="3A045675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178EB1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3.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C9CEB9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Valdymas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4DD0A7" w14:textId="4CF3E82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Iš vieno kompiuterio su programine įranga galima valdyti ne mažiau nei 2 atskiras Sistemas.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5ABF5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05CEC231" w14:textId="6452AD98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4439FE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  <w:lastRenderedPageBreak/>
              <w:t>4.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71CB8C" w14:textId="3C170B86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Programinė įranga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260C767" w14:textId="79EFA9D1" w:rsidR="006D7D3A" w:rsidRPr="006D7D3A" w:rsidRDefault="006D7D3A" w:rsidP="002953BC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  <w:t>Programinė įranga turi protokolų, reagentų valdymo modulį, kuris leidžia kurti, saugoti, koreguoti protokolus, sekti reagentų kiekio sunaudojimą, galiojimo laikus, partijos numerius.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A8705" w14:textId="77777777" w:rsidR="006D7D3A" w:rsidRPr="006D7D3A" w:rsidRDefault="006D7D3A" w:rsidP="002953BC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56836190" w14:textId="247AACC0" w:rsidTr="006D7D3A">
        <w:trPr>
          <w:gridAfter w:val="1"/>
          <w:wAfter w:w="3477" w:type="dxa"/>
          <w:trHeight w:val="5920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7FC8A5F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en-US" w:eastAsia="lt-LT" w:bidi="hi-IN"/>
              </w:rPr>
              <w:t>5.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553DAB" w14:textId="77777777" w:rsidR="006D7D3A" w:rsidRPr="006D7D3A" w:rsidRDefault="006D7D3A" w:rsidP="00654D37">
            <w:pPr>
              <w:pStyle w:val="Default"/>
              <w:ind w:left="35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Suderinamumas su LIS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2BBD30" w14:textId="2D0461BE" w:rsidR="006D7D3A" w:rsidRPr="006D7D3A" w:rsidRDefault="006D7D3A" w:rsidP="00654D37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Panaudai pateikiamos Sistemos ir/ar jų valdymo programinė įranga (toliau šiame punkte - Sistema) turi būti tinkami (techniškai ir programiškai suderinami) integravimui į LSMU ligoninėje Kauno klinikose veikiančią Patologijos tyrimų informacinę sistemą (toliau tekste - LIS):</w:t>
            </w:r>
          </w:p>
          <w:p w14:paraId="1A252148" w14:textId="625564FE" w:rsidR="006D7D3A" w:rsidRPr="006D7D3A" w:rsidRDefault="006D7D3A" w:rsidP="002209F5">
            <w:pPr>
              <w:shd w:val="clear" w:color="auto" w:fill="FFFFFF"/>
              <w:suppressAutoHyphens w:val="0"/>
              <w:spacing w:after="0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1.1. Tiekėjas privalo kartu su pasiūlymu konkursui pateikti Sistemos komunikacijos protokolą (angl. „</w:t>
            </w:r>
            <w:proofErr w:type="spellStart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Interface</w:t>
            </w:r>
            <w:proofErr w:type="spellEnd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manual</w:t>
            </w:r>
            <w:proofErr w:type="spellEnd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“), kuriame detaliai pateikiama visa informacija, kaip siūloma Sistema gali būti sujungta su išorinėmis sistemomis.</w:t>
            </w:r>
          </w:p>
          <w:p w14:paraId="41FEC8AD" w14:textId="77777777" w:rsidR="006D7D3A" w:rsidRPr="006D7D3A" w:rsidRDefault="006D7D3A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2. Siūloma įranga turi turėti galimybę standartizuotu komunikacijos protokolu keistis informacija su perkančiosios organizacijos LIS per RS-232 arba LAN sąsajas.</w:t>
            </w:r>
          </w:p>
          <w:p w14:paraId="251C7174" w14:textId="77777777" w:rsidR="006D7D3A" w:rsidRPr="006D7D3A" w:rsidRDefault="006D7D3A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7D3A">
              <w:rPr>
                <w:rFonts w:asciiTheme="majorHAnsi" w:hAnsiTheme="majorHAnsi" w:cstheme="minorHAnsi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Pastaba: 2. p. reikalavimų atitikimo pagrindimui būtina kartu su pasiūlymu konkursui pateikti atitinkamą tiekėjo ir/arba gamintojo patvirtinimą, nurodant konkrečius siūlomos Sistemos komunikavimo parametrus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34059BC7" w14:textId="46361DA7" w:rsidR="006D7D3A" w:rsidRPr="006D7D3A" w:rsidRDefault="006D7D3A" w:rsidP="002209F5">
            <w:pPr>
              <w:shd w:val="clear" w:color="auto" w:fill="FFFFFF"/>
              <w:suppressAutoHyphens w:val="0"/>
              <w:spacing w:after="0"/>
              <w:ind w:hanging="23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3. Pirkimo laimėjimo atveju Tiekėjas privalės savo jėgomis ir lėšomis:</w:t>
            </w:r>
          </w:p>
          <w:p w14:paraId="5635E3C1" w14:textId="77777777" w:rsidR="006D7D3A" w:rsidRPr="006D7D3A" w:rsidRDefault="006D7D3A" w:rsidP="007B0208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3.1. Teikti visokeriopą pagalbą, pateiktą Sistemą  integruojant į perkančiosios organizacijos LIS;</w:t>
            </w:r>
          </w:p>
          <w:p w14:paraId="6C6F415F" w14:textId="77777777" w:rsidR="006D7D3A" w:rsidRPr="006D7D3A" w:rsidRDefault="006D7D3A" w:rsidP="007B0208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 xml:space="preserve">3.2. Dalyvauti Sistemos sąsajos su perkančiosios organizacijos LIS testavime ir/ar </w:t>
            </w:r>
            <w:proofErr w:type="spellStart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validavime</w:t>
            </w:r>
            <w:proofErr w:type="spellEnd"/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4BAD6834" w14:textId="527C10C3" w:rsidR="006D7D3A" w:rsidRPr="006D7D3A" w:rsidRDefault="006D7D3A" w:rsidP="002953BC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  <w:r w:rsidRPr="006D7D3A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lt-LT"/>
              </w:rPr>
              <w:t>Pastaba: 3 p. reikalavimų atitikimo pagrindimui būtina kartu su pasiūlymu konkursui pateikti atitinkamą tiekėjo ir/arba gamintojo įsipareigojimą</w:t>
            </w:r>
            <w:r w:rsidRPr="006D7D3A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204BD" w14:textId="77777777" w:rsidR="006D7D3A" w:rsidRPr="006D7D3A" w:rsidRDefault="006D7D3A" w:rsidP="00654D37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lt-LT"/>
              </w:rPr>
            </w:pPr>
          </w:p>
        </w:tc>
      </w:tr>
      <w:tr w:rsidR="006D7D3A" w:rsidRPr="006D7D3A" w14:paraId="4513BF7E" w14:textId="2CBC88F9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42C6E1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6.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D458FD" w14:textId="77777777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Naudojimo instrukcija 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A66C50B" w14:textId="09929083" w:rsidR="006D7D3A" w:rsidRPr="006D7D3A" w:rsidRDefault="006D7D3A" w:rsidP="002953BC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Kartu su panaudai teikiama įranga pateikiama naudojimo instrukcija (vartotojo vadovas) anglų ir lietuvių kalbomis (elektroninė versija).</w:t>
            </w:r>
          </w:p>
          <w:p w14:paraId="37760111" w14:textId="49002E38" w:rsidR="006D7D3A" w:rsidRPr="006D7D3A" w:rsidRDefault="006D7D3A" w:rsidP="00654D37">
            <w:pPr>
              <w:spacing w:after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Pastaba: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Reikalavimas taikomas vadovaujantis 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Lietuvos Respublikos aplinkos ministro 2022 m. gruodžio 13 d. įsakymu Nr. D1-401 patvirtinto aplinkos apsaugos kriterijų taikymo, vykdant 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žaliuosius pirkimus, tvarkos aprašo II skyriaus 4.4.4.1 punktu.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F88C7" w14:textId="77777777" w:rsidR="006D7D3A" w:rsidRPr="006D7D3A" w:rsidRDefault="006D7D3A" w:rsidP="002953BC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19D3070E" w14:textId="358F2FB5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1A62835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7.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612E26" w14:textId="77777777" w:rsidR="006D7D3A" w:rsidRPr="006D7D3A" w:rsidRDefault="006D7D3A" w:rsidP="00654D3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Žymėjimas CE ženklu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E596B3" w14:textId="26F9F130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bookmarkStart w:id="1" w:name="OLE_LINK1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Panaudai teikiama įranga turi CE ženklinimą pagal Europos Parlamento ir Tarybos reglamento (ES) 2017/746 dėl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diagnostikos medicinos priemonių  reikalavimus (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 xml:space="preserve">kartu su pasiūlymu konkursui būtina pateikti 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  <w:u w:val="single"/>
              </w:rPr>
              <w:t>galiojančių</w:t>
            </w:r>
            <w:r w:rsidRPr="006D7D3A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 xml:space="preserve"> dokumentų, liudijančių žymėjimą CE ženklu, kopijas</w:t>
            </w: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).</w:t>
            </w:r>
            <w:bookmarkEnd w:id="1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5FE6E" w14:textId="77777777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2B4E7EFE" w14:textId="399EAD55" w:rsidTr="006D7D3A">
        <w:trPr>
          <w:gridAfter w:val="1"/>
          <w:wAfter w:w="3477" w:type="dxa"/>
        </w:trPr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C25623" w14:textId="77777777" w:rsidR="006D7D3A" w:rsidRPr="006D7D3A" w:rsidRDefault="006D7D3A" w:rsidP="00654D37">
            <w:pPr>
              <w:suppressAutoHyphens w:val="0"/>
              <w:spacing w:after="0" w:line="22" w:lineRule="atLeast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eastAsia="lt-LT" w:bidi="hi-IN"/>
              </w:rPr>
              <w:t>8.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6F6370" w14:textId="77777777" w:rsidR="006D7D3A" w:rsidRPr="006D7D3A" w:rsidRDefault="006D7D3A" w:rsidP="00654D37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Priežiūra sutarties galiojimo laikotarpiu</w:t>
            </w:r>
          </w:p>
        </w:tc>
        <w:tc>
          <w:tcPr>
            <w:tcW w:w="48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9B42CFF" w14:textId="77777777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application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) specialistų pagalbą),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(būtinas atitinkamas tiekėjo patvirtinimas).</w:t>
            </w:r>
          </w:p>
          <w:p w14:paraId="66677DB5" w14:textId="665AEFF3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savalaikiškai</w:t>
            </w:r>
            <w:proofErr w:type="spellEnd"/>
            <w:r w:rsidRPr="006D7D3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atlikti tyrimus (būtinas atitinkamas tiekėjo patvirtinimas).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C7AE3" w14:textId="77777777" w:rsidR="006D7D3A" w:rsidRPr="006D7D3A" w:rsidRDefault="006D7D3A" w:rsidP="00654D37">
            <w:pPr>
              <w:suppressAutoHyphens w:val="0"/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7D3A" w:rsidRPr="006D7D3A" w14:paraId="70539CF2" w14:textId="77777777" w:rsidTr="006D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6949" w:type="dxa"/>
        </w:trPr>
        <w:tc>
          <w:tcPr>
            <w:tcW w:w="3334" w:type="dxa"/>
          </w:tcPr>
          <w:p w14:paraId="69B6BE0D" w14:textId="77777777" w:rsidR="006D7D3A" w:rsidRPr="006D7D3A" w:rsidRDefault="006D7D3A" w:rsidP="008C71DD">
            <w:pPr>
              <w:pStyle w:val="NoSpacing"/>
              <w:spacing w:line="276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78" w:type="dxa"/>
            <w:gridSpan w:val="3"/>
          </w:tcPr>
          <w:p w14:paraId="295D0348" w14:textId="37B3043F" w:rsidR="006D7D3A" w:rsidRPr="006D7D3A" w:rsidRDefault="006D7D3A" w:rsidP="008C71DD">
            <w:pPr>
              <w:pStyle w:val="NoSpacing"/>
              <w:spacing w:line="276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BBDBA5C" w14:textId="6B3693C4" w:rsidR="000150E7" w:rsidRPr="006D7D3A" w:rsidRDefault="000150E7" w:rsidP="009B4F9C">
      <w:pPr>
        <w:pStyle w:val="Skaiiai2lygis"/>
        <w:numPr>
          <w:ilvl w:val="0"/>
          <w:numId w:val="0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val="lt-LT"/>
        </w:rPr>
      </w:pPr>
    </w:p>
    <w:p w14:paraId="38E015C5" w14:textId="07AFFF5C" w:rsidR="000150E7" w:rsidRPr="006D7D3A" w:rsidRDefault="000150E7" w:rsidP="002953BC">
      <w:pPr>
        <w:pStyle w:val="Skaiiai2lygis"/>
        <w:numPr>
          <w:ilvl w:val="0"/>
          <w:numId w:val="0"/>
        </w:numPr>
        <w:spacing w:line="276" w:lineRule="auto"/>
        <w:ind w:firstLine="284"/>
        <w:rPr>
          <w:rFonts w:asciiTheme="majorHAnsi" w:hAnsiTheme="majorHAnsi"/>
          <w:color w:val="000000" w:themeColor="text1"/>
          <w:sz w:val="20"/>
          <w:szCs w:val="20"/>
          <w:lang w:val="lt-LT"/>
        </w:rPr>
      </w:pPr>
    </w:p>
    <w:p w14:paraId="05E42944" w14:textId="77777777" w:rsidR="000150E7" w:rsidRPr="006D7D3A" w:rsidRDefault="000150E7" w:rsidP="002953BC">
      <w:pPr>
        <w:pStyle w:val="Skaiiai2lygis"/>
        <w:numPr>
          <w:ilvl w:val="0"/>
          <w:numId w:val="0"/>
        </w:numPr>
        <w:spacing w:line="276" w:lineRule="auto"/>
        <w:ind w:firstLine="284"/>
        <w:rPr>
          <w:rFonts w:asciiTheme="majorHAnsi" w:hAnsiTheme="majorHAnsi"/>
          <w:color w:val="000000" w:themeColor="text1"/>
          <w:sz w:val="20"/>
          <w:szCs w:val="20"/>
          <w:lang w:val="lt-LT"/>
        </w:rPr>
      </w:pPr>
    </w:p>
    <w:sectPr w:rsidR="000150E7" w:rsidRPr="006D7D3A">
      <w:pgSz w:w="16838" w:h="11906" w:orient="landscape"/>
      <w:pgMar w:top="568" w:right="1701" w:bottom="567" w:left="1134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E86"/>
    <w:multiLevelType w:val="hybridMultilevel"/>
    <w:tmpl w:val="11C63920"/>
    <w:lvl w:ilvl="0" w:tplc="F5FC7E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771"/>
    <w:multiLevelType w:val="multilevel"/>
    <w:tmpl w:val="56CE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E071B"/>
    <w:multiLevelType w:val="multilevel"/>
    <w:tmpl w:val="70C4A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5452A"/>
    <w:multiLevelType w:val="multilevel"/>
    <w:tmpl w:val="E1A8AE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9608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F4AB9"/>
    <w:multiLevelType w:val="hybridMultilevel"/>
    <w:tmpl w:val="B7D01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5223"/>
    <w:multiLevelType w:val="multilevel"/>
    <w:tmpl w:val="B83ED36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FE9002E"/>
    <w:multiLevelType w:val="hybridMultilevel"/>
    <w:tmpl w:val="669E4B58"/>
    <w:lvl w:ilvl="0" w:tplc="A9826E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345"/>
    <w:multiLevelType w:val="multilevel"/>
    <w:tmpl w:val="A5322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52E55"/>
    <w:multiLevelType w:val="hybridMultilevel"/>
    <w:tmpl w:val="FFBEB95A"/>
    <w:lvl w:ilvl="0" w:tplc="5CE4F9CE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1" w15:restartNumberingAfterBreak="0">
    <w:nsid w:val="69C912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724D75"/>
    <w:multiLevelType w:val="multilevel"/>
    <w:tmpl w:val="A8F2C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94"/>
    <w:rsid w:val="00002F9A"/>
    <w:rsid w:val="00004016"/>
    <w:rsid w:val="000101F4"/>
    <w:rsid w:val="000150E7"/>
    <w:rsid w:val="00030848"/>
    <w:rsid w:val="00035C7A"/>
    <w:rsid w:val="0004082B"/>
    <w:rsid w:val="00043C9A"/>
    <w:rsid w:val="0005092B"/>
    <w:rsid w:val="00067DBC"/>
    <w:rsid w:val="000843D1"/>
    <w:rsid w:val="000879A6"/>
    <w:rsid w:val="000A0337"/>
    <w:rsid w:val="000B13CD"/>
    <w:rsid w:val="000B14D1"/>
    <w:rsid w:val="000B3979"/>
    <w:rsid w:val="000C1CE4"/>
    <w:rsid w:val="000D004C"/>
    <w:rsid w:val="000E3291"/>
    <w:rsid w:val="000F7579"/>
    <w:rsid w:val="00105588"/>
    <w:rsid w:val="0010736A"/>
    <w:rsid w:val="001127B1"/>
    <w:rsid w:val="00116502"/>
    <w:rsid w:val="0012697F"/>
    <w:rsid w:val="001351CF"/>
    <w:rsid w:val="001464C3"/>
    <w:rsid w:val="00147C1D"/>
    <w:rsid w:val="0015076D"/>
    <w:rsid w:val="001548B0"/>
    <w:rsid w:val="001659F2"/>
    <w:rsid w:val="00175CE2"/>
    <w:rsid w:val="001826E7"/>
    <w:rsid w:val="0018559F"/>
    <w:rsid w:val="00193194"/>
    <w:rsid w:val="001974D0"/>
    <w:rsid w:val="001C1E17"/>
    <w:rsid w:val="001E02FE"/>
    <w:rsid w:val="001E271E"/>
    <w:rsid w:val="001E2CB6"/>
    <w:rsid w:val="001E3B30"/>
    <w:rsid w:val="001E5767"/>
    <w:rsid w:val="001E63A9"/>
    <w:rsid w:val="001F035B"/>
    <w:rsid w:val="001F0572"/>
    <w:rsid w:val="002076E8"/>
    <w:rsid w:val="00212642"/>
    <w:rsid w:val="0021487C"/>
    <w:rsid w:val="00216459"/>
    <w:rsid w:val="002209F5"/>
    <w:rsid w:val="00221AC9"/>
    <w:rsid w:val="0022532E"/>
    <w:rsid w:val="00230B23"/>
    <w:rsid w:val="00231CBF"/>
    <w:rsid w:val="0023571B"/>
    <w:rsid w:val="00237E0B"/>
    <w:rsid w:val="002474E3"/>
    <w:rsid w:val="0025672F"/>
    <w:rsid w:val="00256EAF"/>
    <w:rsid w:val="002629B8"/>
    <w:rsid w:val="002740E9"/>
    <w:rsid w:val="00292B3C"/>
    <w:rsid w:val="00294BC7"/>
    <w:rsid w:val="002953BC"/>
    <w:rsid w:val="00295FF0"/>
    <w:rsid w:val="00297A31"/>
    <w:rsid w:val="002A17AB"/>
    <w:rsid w:val="002B25A7"/>
    <w:rsid w:val="002C7329"/>
    <w:rsid w:val="002D4DB3"/>
    <w:rsid w:val="002D4E9E"/>
    <w:rsid w:val="002E6AE9"/>
    <w:rsid w:val="002F6A5B"/>
    <w:rsid w:val="00301F8D"/>
    <w:rsid w:val="003210D9"/>
    <w:rsid w:val="0032110D"/>
    <w:rsid w:val="00323BEA"/>
    <w:rsid w:val="00332C20"/>
    <w:rsid w:val="00333A45"/>
    <w:rsid w:val="003347B3"/>
    <w:rsid w:val="003358D0"/>
    <w:rsid w:val="003512A8"/>
    <w:rsid w:val="003537B0"/>
    <w:rsid w:val="0036414E"/>
    <w:rsid w:val="00373ED3"/>
    <w:rsid w:val="00376746"/>
    <w:rsid w:val="003911C7"/>
    <w:rsid w:val="00391391"/>
    <w:rsid w:val="003928B4"/>
    <w:rsid w:val="003A3C8E"/>
    <w:rsid w:val="003B0401"/>
    <w:rsid w:val="003D4E70"/>
    <w:rsid w:val="004017C5"/>
    <w:rsid w:val="00406FE0"/>
    <w:rsid w:val="00423511"/>
    <w:rsid w:val="0042797F"/>
    <w:rsid w:val="004313CC"/>
    <w:rsid w:val="004414C4"/>
    <w:rsid w:val="00442DE4"/>
    <w:rsid w:val="00452136"/>
    <w:rsid w:val="00456C49"/>
    <w:rsid w:val="0046089E"/>
    <w:rsid w:val="00460ECB"/>
    <w:rsid w:val="0046401D"/>
    <w:rsid w:val="00466BD5"/>
    <w:rsid w:val="00472216"/>
    <w:rsid w:val="00473F5F"/>
    <w:rsid w:val="00477488"/>
    <w:rsid w:val="00481EA2"/>
    <w:rsid w:val="004860E5"/>
    <w:rsid w:val="00486F62"/>
    <w:rsid w:val="00495192"/>
    <w:rsid w:val="004A062E"/>
    <w:rsid w:val="004A3729"/>
    <w:rsid w:val="004A574B"/>
    <w:rsid w:val="004B0F3A"/>
    <w:rsid w:val="004B57E6"/>
    <w:rsid w:val="004C07D8"/>
    <w:rsid w:val="004C36B3"/>
    <w:rsid w:val="004D742D"/>
    <w:rsid w:val="004E0FE5"/>
    <w:rsid w:val="004F3E32"/>
    <w:rsid w:val="004F4C97"/>
    <w:rsid w:val="00507AF6"/>
    <w:rsid w:val="00516DD0"/>
    <w:rsid w:val="00522EBF"/>
    <w:rsid w:val="00531E8F"/>
    <w:rsid w:val="005339DD"/>
    <w:rsid w:val="00535B72"/>
    <w:rsid w:val="0053739A"/>
    <w:rsid w:val="00540782"/>
    <w:rsid w:val="005409F6"/>
    <w:rsid w:val="00541847"/>
    <w:rsid w:val="005431F9"/>
    <w:rsid w:val="00554058"/>
    <w:rsid w:val="005548D6"/>
    <w:rsid w:val="00577C0F"/>
    <w:rsid w:val="00581A82"/>
    <w:rsid w:val="0059503B"/>
    <w:rsid w:val="005979F4"/>
    <w:rsid w:val="005A3B9E"/>
    <w:rsid w:val="005A4D3F"/>
    <w:rsid w:val="005B4BBF"/>
    <w:rsid w:val="005B521C"/>
    <w:rsid w:val="005B6AEC"/>
    <w:rsid w:val="005C175B"/>
    <w:rsid w:val="005D1458"/>
    <w:rsid w:val="005D3379"/>
    <w:rsid w:val="005D3EE1"/>
    <w:rsid w:val="005D5EF6"/>
    <w:rsid w:val="005E281F"/>
    <w:rsid w:val="005E3A94"/>
    <w:rsid w:val="005F4CF0"/>
    <w:rsid w:val="006021AE"/>
    <w:rsid w:val="006162D3"/>
    <w:rsid w:val="006179A1"/>
    <w:rsid w:val="00654D37"/>
    <w:rsid w:val="00667416"/>
    <w:rsid w:val="00667AB0"/>
    <w:rsid w:val="0067392E"/>
    <w:rsid w:val="006835F1"/>
    <w:rsid w:val="00695E7A"/>
    <w:rsid w:val="006965CD"/>
    <w:rsid w:val="006A636C"/>
    <w:rsid w:val="006B0A34"/>
    <w:rsid w:val="006C3B83"/>
    <w:rsid w:val="006C481D"/>
    <w:rsid w:val="006D2AC9"/>
    <w:rsid w:val="006D2B4E"/>
    <w:rsid w:val="006D7D3A"/>
    <w:rsid w:val="006E52E9"/>
    <w:rsid w:val="006E69BB"/>
    <w:rsid w:val="006F12F5"/>
    <w:rsid w:val="0070075B"/>
    <w:rsid w:val="007036A6"/>
    <w:rsid w:val="00715A7D"/>
    <w:rsid w:val="00721CC3"/>
    <w:rsid w:val="007222F8"/>
    <w:rsid w:val="0072458E"/>
    <w:rsid w:val="00727D0F"/>
    <w:rsid w:val="007421A1"/>
    <w:rsid w:val="00743283"/>
    <w:rsid w:val="00743B8A"/>
    <w:rsid w:val="00745D2D"/>
    <w:rsid w:val="007530CC"/>
    <w:rsid w:val="00753FBF"/>
    <w:rsid w:val="00757E02"/>
    <w:rsid w:val="00760D36"/>
    <w:rsid w:val="00763DF7"/>
    <w:rsid w:val="007742F1"/>
    <w:rsid w:val="0078321A"/>
    <w:rsid w:val="00784960"/>
    <w:rsid w:val="00786321"/>
    <w:rsid w:val="007B0208"/>
    <w:rsid w:val="007D00FF"/>
    <w:rsid w:val="007E0805"/>
    <w:rsid w:val="007E261D"/>
    <w:rsid w:val="007E4334"/>
    <w:rsid w:val="007F3D43"/>
    <w:rsid w:val="00804084"/>
    <w:rsid w:val="00833940"/>
    <w:rsid w:val="00841D89"/>
    <w:rsid w:val="00845D6E"/>
    <w:rsid w:val="0085201E"/>
    <w:rsid w:val="00852440"/>
    <w:rsid w:val="00865B65"/>
    <w:rsid w:val="00874C39"/>
    <w:rsid w:val="00880905"/>
    <w:rsid w:val="008B22FD"/>
    <w:rsid w:val="008B7A95"/>
    <w:rsid w:val="008C71DD"/>
    <w:rsid w:val="008D62B6"/>
    <w:rsid w:val="008F29E9"/>
    <w:rsid w:val="008F3579"/>
    <w:rsid w:val="0090348A"/>
    <w:rsid w:val="009358EC"/>
    <w:rsid w:val="009378C8"/>
    <w:rsid w:val="00942781"/>
    <w:rsid w:val="00964BB9"/>
    <w:rsid w:val="0097444A"/>
    <w:rsid w:val="00977536"/>
    <w:rsid w:val="00982014"/>
    <w:rsid w:val="00984D27"/>
    <w:rsid w:val="0099275F"/>
    <w:rsid w:val="00992D2E"/>
    <w:rsid w:val="009A0097"/>
    <w:rsid w:val="009A030F"/>
    <w:rsid w:val="009A6122"/>
    <w:rsid w:val="009B4F9C"/>
    <w:rsid w:val="009E0F12"/>
    <w:rsid w:val="009E4BE2"/>
    <w:rsid w:val="009F34C7"/>
    <w:rsid w:val="009F3F6A"/>
    <w:rsid w:val="009F4691"/>
    <w:rsid w:val="009F5948"/>
    <w:rsid w:val="00A229AF"/>
    <w:rsid w:val="00A36021"/>
    <w:rsid w:val="00A36A0D"/>
    <w:rsid w:val="00A46F92"/>
    <w:rsid w:val="00A4781D"/>
    <w:rsid w:val="00A47E33"/>
    <w:rsid w:val="00A51F5C"/>
    <w:rsid w:val="00A72823"/>
    <w:rsid w:val="00A7348D"/>
    <w:rsid w:val="00A75398"/>
    <w:rsid w:val="00A761BC"/>
    <w:rsid w:val="00A77541"/>
    <w:rsid w:val="00A8709B"/>
    <w:rsid w:val="00A92A65"/>
    <w:rsid w:val="00AA157F"/>
    <w:rsid w:val="00AA55B4"/>
    <w:rsid w:val="00AB14E1"/>
    <w:rsid w:val="00AB332C"/>
    <w:rsid w:val="00AC3B43"/>
    <w:rsid w:val="00AC7CD9"/>
    <w:rsid w:val="00AD24A7"/>
    <w:rsid w:val="00AD5912"/>
    <w:rsid w:val="00AD71E5"/>
    <w:rsid w:val="00AE17F1"/>
    <w:rsid w:val="00AF50C8"/>
    <w:rsid w:val="00AF70C7"/>
    <w:rsid w:val="00B01D20"/>
    <w:rsid w:val="00B0775C"/>
    <w:rsid w:val="00B16EBC"/>
    <w:rsid w:val="00B22F91"/>
    <w:rsid w:val="00B3510C"/>
    <w:rsid w:val="00B35359"/>
    <w:rsid w:val="00B55C74"/>
    <w:rsid w:val="00B80392"/>
    <w:rsid w:val="00B81D68"/>
    <w:rsid w:val="00B85807"/>
    <w:rsid w:val="00B9263A"/>
    <w:rsid w:val="00B934C6"/>
    <w:rsid w:val="00B93CB3"/>
    <w:rsid w:val="00B953D9"/>
    <w:rsid w:val="00B97E36"/>
    <w:rsid w:val="00BA45A8"/>
    <w:rsid w:val="00BA50A4"/>
    <w:rsid w:val="00BA5DFB"/>
    <w:rsid w:val="00BA7748"/>
    <w:rsid w:val="00BB11E3"/>
    <w:rsid w:val="00BD0497"/>
    <w:rsid w:val="00BD17E1"/>
    <w:rsid w:val="00BD3E23"/>
    <w:rsid w:val="00BF76FC"/>
    <w:rsid w:val="00C00696"/>
    <w:rsid w:val="00C078CB"/>
    <w:rsid w:val="00C25403"/>
    <w:rsid w:val="00C31E55"/>
    <w:rsid w:val="00C47A7E"/>
    <w:rsid w:val="00C47AA0"/>
    <w:rsid w:val="00C50872"/>
    <w:rsid w:val="00C57514"/>
    <w:rsid w:val="00C6545F"/>
    <w:rsid w:val="00C74823"/>
    <w:rsid w:val="00C74F5F"/>
    <w:rsid w:val="00C839F5"/>
    <w:rsid w:val="00C83BD4"/>
    <w:rsid w:val="00C864EC"/>
    <w:rsid w:val="00C865CE"/>
    <w:rsid w:val="00C97B50"/>
    <w:rsid w:val="00C97E14"/>
    <w:rsid w:val="00CA3647"/>
    <w:rsid w:val="00CA622A"/>
    <w:rsid w:val="00CC3A28"/>
    <w:rsid w:val="00CC3A99"/>
    <w:rsid w:val="00CD5FE3"/>
    <w:rsid w:val="00CF7956"/>
    <w:rsid w:val="00CF7979"/>
    <w:rsid w:val="00D20C25"/>
    <w:rsid w:val="00D23F5D"/>
    <w:rsid w:val="00D26285"/>
    <w:rsid w:val="00D271E8"/>
    <w:rsid w:val="00D34F69"/>
    <w:rsid w:val="00D359D9"/>
    <w:rsid w:val="00D36367"/>
    <w:rsid w:val="00D3788C"/>
    <w:rsid w:val="00D44C36"/>
    <w:rsid w:val="00D70B64"/>
    <w:rsid w:val="00D75E66"/>
    <w:rsid w:val="00D90DA8"/>
    <w:rsid w:val="00D93BCD"/>
    <w:rsid w:val="00D94DB5"/>
    <w:rsid w:val="00DA1693"/>
    <w:rsid w:val="00DB1480"/>
    <w:rsid w:val="00DC2996"/>
    <w:rsid w:val="00DD1194"/>
    <w:rsid w:val="00DD2513"/>
    <w:rsid w:val="00DD63CD"/>
    <w:rsid w:val="00DE623E"/>
    <w:rsid w:val="00DF0460"/>
    <w:rsid w:val="00DF43CF"/>
    <w:rsid w:val="00E1064E"/>
    <w:rsid w:val="00E13E40"/>
    <w:rsid w:val="00E2100C"/>
    <w:rsid w:val="00E3142E"/>
    <w:rsid w:val="00E35446"/>
    <w:rsid w:val="00E413C0"/>
    <w:rsid w:val="00E41645"/>
    <w:rsid w:val="00E44BCE"/>
    <w:rsid w:val="00E5187B"/>
    <w:rsid w:val="00E55152"/>
    <w:rsid w:val="00E63D29"/>
    <w:rsid w:val="00E65BE0"/>
    <w:rsid w:val="00E65D34"/>
    <w:rsid w:val="00E72E1F"/>
    <w:rsid w:val="00E83280"/>
    <w:rsid w:val="00EA2A51"/>
    <w:rsid w:val="00EA6974"/>
    <w:rsid w:val="00EB6EDE"/>
    <w:rsid w:val="00EB7F82"/>
    <w:rsid w:val="00EC010C"/>
    <w:rsid w:val="00EC0D51"/>
    <w:rsid w:val="00ED38DE"/>
    <w:rsid w:val="00EE212A"/>
    <w:rsid w:val="00EE371C"/>
    <w:rsid w:val="00EE7687"/>
    <w:rsid w:val="00EF0B22"/>
    <w:rsid w:val="00EF5DEB"/>
    <w:rsid w:val="00F024F7"/>
    <w:rsid w:val="00F02B14"/>
    <w:rsid w:val="00F0363E"/>
    <w:rsid w:val="00F04771"/>
    <w:rsid w:val="00F060B1"/>
    <w:rsid w:val="00F37914"/>
    <w:rsid w:val="00F4009E"/>
    <w:rsid w:val="00F40CB7"/>
    <w:rsid w:val="00F53F88"/>
    <w:rsid w:val="00F73DAA"/>
    <w:rsid w:val="00F80C77"/>
    <w:rsid w:val="00F813EC"/>
    <w:rsid w:val="00F87BBD"/>
    <w:rsid w:val="00F96C02"/>
    <w:rsid w:val="00FA14AA"/>
    <w:rsid w:val="00FC3919"/>
    <w:rsid w:val="00FD1167"/>
    <w:rsid w:val="00FD51DF"/>
    <w:rsid w:val="00FE54C6"/>
    <w:rsid w:val="00FE753B"/>
    <w:rsid w:val="00FF2547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2DF"/>
  <w15:docId w15:val="{B7F8E353-4DB8-4C95-A924-ADE0C4CE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2ED"/>
    <w:pPr>
      <w:suppressAutoHyphens/>
      <w:spacing w:after="200"/>
    </w:pPr>
    <w:rPr>
      <w:rFonts w:ascii="Times New Roman" w:hAnsi="Times New Roman" w:cs="Times New Roman"/>
      <w:color w:val="00000A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qFormat/>
    <w:locked/>
    <w:rsid w:val="008F62ED"/>
    <w:rPr>
      <w:rFonts w:ascii="Times New Roman" w:eastAsia="Calibri" w:hAnsi="Times New Roman" w:cs="Times New Roman"/>
      <w:sz w:val="24"/>
      <w:lang w:eastAsia="zh-CN"/>
    </w:rPr>
  </w:style>
  <w:style w:type="character" w:customStyle="1" w:styleId="Bodytext29pt">
    <w:name w:val="Body text (2) + 9 pt"/>
    <w:uiPriority w:val="99"/>
    <w:qFormat/>
    <w:rsid w:val="008F62ED"/>
    <w:rPr>
      <w:rFonts w:ascii="Times New Roman" w:hAnsi="Times New Roman" w:cs="Times New Roman"/>
      <w:color w:val="000000"/>
      <w:spacing w:val="10"/>
      <w:w w:val="100"/>
      <w:sz w:val="18"/>
      <w:effect w:val="none"/>
      <w:shd w:val="clear" w:color="auto" w:fill="FFFFFF"/>
      <w:lang w:val="lt-LT" w:eastAsia="lt-L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ntrat1">
    <w:name w:val="Antraštė1"/>
    <w:basedOn w:val="Normal"/>
    <w:next w:val="Pagrindinistekstas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Pagrindinistekstas1">
    <w:name w:val="Pagrindinis tekstas1"/>
    <w:basedOn w:val="Normal"/>
    <w:pPr>
      <w:spacing w:after="140" w:line="288" w:lineRule="auto"/>
    </w:pPr>
  </w:style>
  <w:style w:type="paragraph" w:customStyle="1" w:styleId="Sraas1">
    <w:name w:val="Sąrašas1"/>
    <w:basedOn w:val="Pagrindinistekstas1"/>
    <w:rPr>
      <w:rFonts w:cs="Arial Unicode MS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8F62ED"/>
    <w:pPr>
      <w:spacing w:before="280" w:after="119" w:line="240" w:lineRule="auto"/>
    </w:pPr>
    <w:rPr>
      <w:szCs w:val="24"/>
      <w:lang w:eastAsia="ar-SA"/>
    </w:rPr>
  </w:style>
  <w:style w:type="paragraph" w:styleId="NoSpacing">
    <w:name w:val="No Spacing"/>
    <w:uiPriority w:val="1"/>
    <w:qFormat/>
    <w:rsid w:val="008F62ED"/>
    <w:pPr>
      <w:suppressAutoHyphens/>
      <w:spacing w:line="240" w:lineRule="auto"/>
    </w:pPr>
    <w:rPr>
      <w:rFonts w:ascii="Times New Roman" w:hAnsi="Times New Roman" w:cs="Times New Roman"/>
      <w:color w:val="00000A"/>
      <w:sz w:val="24"/>
      <w:lang w:eastAsia="zh-CN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Lentele"/>
    <w:basedOn w:val="Normal"/>
    <w:link w:val="ListParagraphChar"/>
    <w:uiPriority w:val="34"/>
    <w:qFormat/>
    <w:rsid w:val="008F62ED"/>
    <w:pPr>
      <w:ind w:left="720"/>
      <w:contextualSpacing/>
    </w:pPr>
  </w:style>
  <w:style w:type="table" w:styleId="TableGrid">
    <w:name w:val="Table Grid"/>
    <w:basedOn w:val="TableNormal"/>
    <w:uiPriority w:val="39"/>
    <w:rsid w:val="00BA6436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3BD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34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48A"/>
    <w:rPr>
      <w:color w:val="954F72"/>
      <w:u w:val="single"/>
    </w:rPr>
  </w:style>
  <w:style w:type="paragraph" w:customStyle="1" w:styleId="msonormal0">
    <w:name w:val="msonormal"/>
    <w:basedOn w:val="Normal"/>
    <w:rsid w:val="0090348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lt-LT"/>
    </w:rPr>
  </w:style>
  <w:style w:type="paragraph" w:customStyle="1" w:styleId="xl64">
    <w:name w:val="xl64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5">
    <w:name w:val="xl65"/>
    <w:basedOn w:val="Normal"/>
    <w:rsid w:val="009034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6">
    <w:name w:val="xl66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7">
    <w:name w:val="xl67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8">
    <w:name w:val="xl68"/>
    <w:basedOn w:val="Normal"/>
    <w:rsid w:val="009034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xl69">
    <w:name w:val="xl69"/>
    <w:basedOn w:val="Normal"/>
    <w:rsid w:val="009034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Cs w:val="24"/>
      <w:lang w:eastAsia="lt-LT"/>
    </w:rPr>
  </w:style>
  <w:style w:type="paragraph" w:customStyle="1" w:styleId="Pa22">
    <w:name w:val="Pa22"/>
    <w:basedOn w:val="Default"/>
    <w:next w:val="Default"/>
    <w:uiPriority w:val="99"/>
    <w:rsid w:val="00845D6E"/>
    <w:pPr>
      <w:spacing w:line="141" w:lineRule="atLeast"/>
    </w:pPr>
    <w:rPr>
      <w:rFonts w:ascii="Roboto" w:hAnsi="Roboto" w:cstheme="minorBidi"/>
      <w:color w:val="auto"/>
    </w:rPr>
  </w:style>
  <w:style w:type="paragraph" w:customStyle="1" w:styleId="Skaiiai2lygis">
    <w:name w:val="Skaičiai_2 lygis"/>
    <w:basedOn w:val="Normal"/>
    <w:link w:val="Skaiiai2lygisChar"/>
    <w:qFormat/>
    <w:rsid w:val="0004082B"/>
    <w:pPr>
      <w:numPr>
        <w:ilvl w:val="1"/>
        <w:numId w:val="13"/>
      </w:numPr>
      <w:suppressAutoHyphens w:val="0"/>
      <w:spacing w:after="0" w:line="240" w:lineRule="auto"/>
      <w:jc w:val="both"/>
    </w:pPr>
    <w:rPr>
      <w:rFonts w:eastAsia="Times New Roman"/>
      <w:color w:val="000000"/>
      <w:sz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04082B"/>
    <w:rPr>
      <w:rFonts w:ascii="Times New Roman" w:eastAsia="Times New Roman" w:hAnsi="Times New Roman" w:cs="Times New Roman"/>
      <w:color w:val="000000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D5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098">
          <w:marLeft w:val="3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133">
          <w:marLeft w:val="3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78641-63C1-4682-B86B-AB72727C1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A52927-A033-40F1-B9BE-641B503B8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BA215-3961-40FA-90E9-E542D5E71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6695</Words>
  <Characters>3817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</dc:creator>
  <cp:lastModifiedBy>Monika Vaitkevičiūtė</cp:lastModifiedBy>
  <cp:revision>5</cp:revision>
  <cp:lastPrinted>2026-06-18T11:23:00Z</cp:lastPrinted>
  <dcterms:created xsi:type="dcterms:W3CDTF">2026-06-11T05:08:00Z</dcterms:created>
  <dcterms:modified xsi:type="dcterms:W3CDTF">2026-06-18T11:29:00Z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0x010100C67D48B3863A4C44A14B2D98D006F7EA</vt:lpwstr>
  </property>
</Properties>
</file>