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6B65" w:rsidRDefault="00000000">
      <w:pPr>
        <w:spacing w:before="60" w:after="60" w:line="276" w:lineRule="auto"/>
        <w:jc w:val="both"/>
      </w:pPr>
      <w:r>
        <w:rPr>
          <w:i/>
          <w:iCs/>
        </w:rPr>
        <w:t>Sutarties 4 priedas</w:t>
      </w:r>
    </w:p>
    <w:p w:rsidR="009A6B65" w:rsidRDefault="00000000">
      <w:pPr>
        <w:spacing w:before="120" w:after="360" w:line="276" w:lineRule="auto"/>
        <w:jc w:val="center"/>
      </w:pPr>
      <w:r>
        <w:rPr>
          <w:b/>
          <w:bCs/>
          <w:sz w:val="26"/>
          <w:szCs w:val="26"/>
        </w:rPr>
        <w:t>DARBŲ PRIĖMIMO TVARKA</w:t>
      </w:r>
    </w:p>
    <w:p w:rsidR="009A6B65" w:rsidRDefault="00000000">
      <w:pPr>
        <w:pStyle w:val="Heading1"/>
      </w:pPr>
      <w:r>
        <w:rPr>
          <w:sz w:val="22"/>
          <w:szCs w:val="22"/>
        </w:rPr>
        <w:t>1. Bendrosios nuostatos</w:t>
      </w:r>
    </w:p>
    <w:p w:rsidR="009A6B65" w:rsidRDefault="00000000">
      <w:pPr>
        <w:spacing w:before="60" w:after="60" w:line="276" w:lineRule="auto"/>
        <w:jc w:val="both"/>
      </w:pPr>
      <w:r>
        <w:t>1.1. Ši Darbų priėmimo tvarka (toliau – Tvarka) nustato Sutartyje numatytų darbų priėmimo procedūras, tvarkaraščius, reikalavimus dokumentacijai ir bandymams.</w:t>
      </w:r>
    </w:p>
    <w:p w:rsidR="009A6B65" w:rsidRDefault="00000000">
      <w:pPr>
        <w:spacing w:before="60" w:after="60" w:line="276" w:lineRule="auto"/>
        <w:jc w:val="both"/>
      </w:pPr>
      <w:r>
        <w:t>1.2. Tvarkoje vartojamos sąvokos suprantamos taip, kaip jos apibrėžtos Sutarties Bendrosiose sąlygose.</w:t>
      </w:r>
    </w:p>
    <w:p w:rsidR="009A6B65" w:rsidRDefault="00000000">
      <w:pPr>
        <w:spacing w:before="60" w:after="60" w:line="276" w:lineRule="auto"/>
        <w:jc w:val="both"/>
      </w:pPr>
      <w:r>
        <w:t>1.3. Darbų priėmimas atliekamas trimis etapais: paslėptų darbų priėmimas, tarpinis darbų priėmimas ir galutinis darbų priėmimas.</w:t>
      </w:r>
    </w:p>
    <w:p w:rsidR="009A6B65" w:rsidRDefault="00000000">
      <w:pPr>
        <w:pStyle w:val="Heading1"/>
      </w:pPr>
      <w:r>
        <w:rPr>
          <w:sz w:val="22"/>
          <w:szCs w:val="22"/>
        </w:rPr>
        <w:t>2. Paslėptų darbų priėmimas</w:t>
      </w:r>
    </w:p>
    <w:p w:rsidR="009A6B65" w:rsidRDefault="00000000">
      <w:pPr>
        <w:spacing w:before="60" w:after="60" w:line="276" w:lineRule="auto"/>
        <w:jc w:val="both"/>
      </w:pPr>
      <w:r>
        <w:t>2.1. Rangovas privalo kviesti Užsakovo atstovą (techninės priežiūros vadovą) patikrinti paslėptus darbus prieš juos uždengiant. Kvietimas pateikiamas raštu ne vėliau kaip prieš 2 darbo dienas.</w:t>
      </w:r>
    </w:p>
    <w:p w:rsidR="009A6B65" w:rsidRDefault="00000000">
      <w:pPr>
        <w:spacing w:before="60" w:after="60" w:line="276" w:lineRule="auto"/>
        <w:jc w:val="both"/>
      </w:pPr>
      <w:r>
        <w:t>2.2. Paslėptiems darbams priskiriami:</w:t>
      </w:r>
    </w:p>
    <w:p w:rsidR="009A6B65" w:rsidRDefault="00000000">
      <w:pPr>
        <w:spacing w:before="60" w:after="60" w:line="276" w:lineRule="auto"/>
        <w:ind w:left="360"/>
        <w:jc w:val="both"/>
      </w:pPr>
      <w:r>
        <w:t>– tranšėjų paruošimas (pagrindo įrengimas, profilis, patalpė);</w:t>
      </w:r>
    </w:p>
    <w:p w:rsidR="009A6B65" w:rsidRDefault="00000000">
      <w:pPr>
        <w:spacing w:before="60" w:after="60" w:line="276" w:lineRule="auto"/>
        <w:ind w:left="360"/>
        <w:jc w:val="both"/>
      </w:pPr>
      <w:r>
        <w:t>– vamzdynų klojimas (padėtis, jungčių kokybė);</w:t>
      </w:r>
    </w:p>
    <w:p w:rsidR="009A6B65" w:rsidRDefault="00000000">
      <w:pPr>
        <w:spacing w:before="60" w:after="60" w:line="276" w:lineRule="auto"/>
        <w:ind w:left="360"/>
        <w:jc w:val="both"/>
      </w:pPr>
      <w:r>
        <w:t>– vamzdynų apsauginė juosta ir pirminis užpylimas;</w:t>
      </w:r>
    </w:p>
    <w:p w:rsidR="009A6B65" w:rsidRDefault="00000000">
      <w:pPr>
        <w:spacing w:before="60" w:after="60" w:line="276" w:lineRule="auto"/>
        <w:ind w:left="360"/>
        <w:jc w:val="both"/>
      </w:pPr>
      <w:r>
        <w:t>– šulinių montavimas;</w:t>
      </w:r>
    </w:p>
    <w:p w:rsidR="009A6B65" w:rsidRDefault="00000000">
      <w:pPr>
        <w:spacing w:before="60" w:after="60" w:line="276" w:lineRule="auto"/>
        <w:ind w:left="360"/>
        <w:jc w:val="both"/>
      </w:pPr>
      <w:r>
        <w:t>– kiti darbai, kurie bus užslėpti vėlesniais darbų etapais.</w:t>
      </w:r>
    </w:p>
    <w:p w:rsidR="009A6B65" w:rsidRDefault="00000000">
      <w:pPr>
        <w:spacing w:before="60" w:after="60" w:line="276" w:lineRule="auto"/>
        <w:jc w:val="both"/>
      </w:pPr>
      <w:r>
        <w:t>2.3. Paslėptų darbų priėmimas įforminamas paslėptų darbų patikrinimo aktu, kurį pasirašo Rangovas ir techninės priežiūros vadovas.</w:t>
      </w:r>
    </w:p>
    <w:p w:rsidR="009A6B65" w:rsidRDefault="00000000">
      <w:pPr>
        <w:spacing w:before="60" w:after="60" w:line="276" w:lineRule="auto"/>
        <w:jc w:val="both"/>
      </w:pPr>
      <w:r>
        <w:t>2.4. Jei Rangovas uždengė paslėptus darbus be Užsakovo atstovo patikrinimo, Užsakovas turi teisę reikalauti atidengti darbus Rangovo lėšomis.</w:t>
      </w:r>
    </w:p>
    <w:p w:rsidR="009A6B65" w:rsidRDefault="00000000">
      <w:pPr>
        <w:pStyle w:val="Heading1"/>
      </w:pPr>
      <w:r>
        <w:rPr>
          <w:sz w:val="22"/>
          <w:szCs w:val="22"/>
        </w:rPr>
        <w:t>3. Tarpinis darbų priėmimas</w:t>
      </w:r>
    </w:p>
    <w:p w:rsidR="009A6B65" w:rsidRDefault="00000000">
      <w:pPr>
        <w:spacing w:before="60" w:after="60" w:line="276" w:lineRule="auto"/>
        <w:jc w:val="both"/>
      </w:pPr>
      <w:r>
        <w:t>3.1. Tarpinis darbų priėmimas atliekamas kas mėnesį arba užbaigus atskirą darbų etapą, Rangovo prašymu.</w:t>
      </w:r>
    </w:p>
    <w:p w:rsidR="009A6B65" w:rsidRDefault="00000000">
      <w:pPr>
        <w:spacing w:before="60" w:after="60" w:line="276" w:lineRule="auto"/>
        <w:jc w:val="both"/>
      </w:pPr>
      <w:r>
        <w:t>3.2. Rangovas pateikia Užsakovui:</w:t>
      </w:r>
    </w:p>
    <w:p w:rsidR="009A6B65" w:rsidRDefault="00000000">
      <w:pPr>
        <w:spacing w:before="60" w:after="60" w:line="276" w:lineRule="auto"/>
        <w:ind w:left="360"/>
        <w:jc w:val="both"/>
      </w:pPr>
      <w:r>
        <w:t>– tarpinę darbų atlikimo pažymą, kurioje nurodyti per ataskaitinį laikotarpį atlikti darbai ir jų vertė;</w:t>
      </w:r>
    </w:p>
    <w:p w:rsidR="009A6B65" w:rsidRDefault="00000000">
      <w:pPr>
        <w:spacing w:before="60" w:after="60" w:line="276" w:lineRule="auto"/>
        <w:ind w:left="360"/>
        <w:jc w:val="both"/>
      </w:pPr>
      <w:r>
        <w:t>– atliktų darbų kiekio apskaičiavimus;</w:t>
      </w:r>
    </w:p>
    <w:p w:rsidR="009A6B65" w:rsidRDefault="00000000">
      <w:pPr>
        <w:spacing w:before="60" w:after="60" w:line="276" w:lineRule="auto"/>
        <w:ind w:left="360"/>
        <w:jc w:val="both"/>
      </w:pPr>
      <w:r>
        <w:t>– paslėptų darbų patikrinimo aktus (jei taikoma);</w:t>
      </w:r>
    </w:p>
    <w:p w:rsidR="009A6B65" w:rsidRDefault="00000000">
      <w:pPr>
        <w:spacing w:before="60" w:after="60" w:line="276" w:lineRule="auto"/>
        <w:ind w:left="360"/>
        <w:jc w:val="both"/>
      </w:pPr>
      <w:r>
        <w:t>– bandymų protokolus (jei taikoma).</w:t>
      </w:r>
    </w:p>
    <w:p w:rsidR="009A6B65" w:rsidRDefault="00000000">
      <w:pPr>
        <w:spacing w:before="60" w:after="60" w:line="276" w:lineRule="auto"/>
        <w:jc w:val="both"/>
      </w:pPr>
      <w:r>
        <w:t>3.3. Užsakovas per 10 darbo dienų nuo tarpinės pažymos gavimo patikrina pateiktus duomenis ir:</w:t>
      </w:r>
    </w:p>
    <w:p w:rsidR="009A6B65" w:rsidRDefault="00000000">
      <w:pPr>
        <w:spacing w:before="60" w:after="60" w:line="276" w:lineRule="auto"/>
        <w:ind w:left="360"/>
        <w:jc w:val="both"/>
      </w:pPr>
      <w:r>
        <w:t>a) patvirtina tarpinę pažymą ir inicijuoja mokėjimą; arba</w:t>
      </w:r>
    </w:p>
    <w:p w:rsidR="009A6B65" w:rsidRDefault="00000000">
      <w:pPr>
        <w:spacing w:before="60" w:after="60" w:line="276" w:lineRule="auto"/>
        <w:ind w:left="360"/>
        <w:jc w:val="both"/>
      </w:pPr>
      <w:r>
        <w:t>b) pateikia motyvuotas pastabas raštu. Rangovas per 5 darbo dienas ištaiso pastabas arba pateikia paaiškinimus.</w:t>
      </w:r>
    </w:p>
    <w:p w:rsidR="009A6B65" w:rsidRDefault="00000000">
      <w:pPr>
        <w:spacing w:before="60" w:after="60" w:line="276" w:lineRule="auto"/>
        <w:jc w:val="both"/>
      </w:pPr>
      <w:r>
        <w:t>3.4. Tarpinis darbų priėmimas nereiškia galutinio darbų priėmimo ir neatleidžia Rangovo nuo atsakomybės už darbų kokybę.</w:t>
      </w:r>
    </w:p>
    <w:p w:rsidR="009A6B65" w:rsidRDefault="00000000">
      <w:pPr>
        <w:pStyle w:val="Heading1"/>
      </w:pPr>
      <w:r>
        <w:rPr>
          <w:sz w:val="22"/>
          <w:szCs w:val="22"/>
        </w:rPr>
        <w:t>4. Bandymai ir patikrinimai</w:t>
      </w:r>
    </w:p>
    <w:p w:rsidR="009A6B65" w:rsidRDefault="00000000">
      <w:pPr>
        <w:spacing w:before="60" w:after="60" w:line="276" w:lineRule="auto"/>
        <w:jc w:val="both"/>
      </w:pPr>
      <w:r>
        <w:t>4.1. Prieš galutinį darbų priėmimą, Rangovas privalo atlikti šiuos bandymus ir patikrinimus savo lėšomis:</w:t>
      </w:r>
    </w:p>
    <w:p w:rsidR="009A6B65" w:rsidRDefault="009A6B65">
      <w:pPr>
        <w:spacing w:before="60" w:after="60" w:line="276" w:lineRule="auto"/>
        <w:jc w:val="both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3200"/>
        <w:gridCol w:w="2800"/>
        <w:gridCol w:w="2572"/>
      </w:tblGrid>
      <w:tr w:rsidR="009A6B65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Bandymo / patikros rūšis</w:t>
            </w:r>
          </w:p>
        </w:tc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Taikomas standartas / metodas</w:t>
            </w:r>
          </w:p>
        </w:tc>
        <w:tc>
          <w:tcPr>
            <w:tcW w:w="25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Priėmimo kriterijus</w:t>
            </w:r>
          </w:p>
        </w:tc>
      </w:tr>
      <w:tr w:rsidR="009A6B65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Vamzdynų hidraulinis slėgio bandymas</w:t>
            </w:r>
          </w:p>
        </w:tc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LST EN 805, LST EN 1610</w:t>
            </w:r>
          </w:p>
        </w:tc>
        <w:tc>
          <w:tcPr>
            <w:tcW w:w="25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Nėra slėgio kritimo, viršijančio leistinas normas per nustatytą bandymo laikotarpį</w:t>
            </w:r>
          </w:p>
        </w:tc>
      </w:tr>
      <w:tr w:rsidR="009A6B65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2.</w:t>
            </w:r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Nuotekų vamzdynų sandarinamojo bandymas (oro arba vandens)</w:t>
            </w:r>
          </w:p>
        </w:tc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LST EN 1610</w:t>
            </w:r>
          </w:p>
        </w:tc>
        <w:tc>
          <w:tcPr>
            <w:tcW w:w="25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Nuotėkis neviršija leistino pagal LST EN 1610 nustatytų normatyvų</w:t>
            </w:r>
          </w:p>
        </w:tc>
      </w:tr>
      <w:tr w:rsidR="009A6B65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3.</w:t>
            </w:r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Gravitacinių vamzdynų vaizdinė inspekcija (CCTV)</w:t>
            </w:r>
          </w:p>
        </w:tc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LST EN 13508-2</w:t>
            </w:r>
          </w:p>
        </w:tc>
        <w:tc>
          <w:tcPr>
            <w:tcW w:w="25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Nėra struktūrinių defektų, atitinkancių 4 ar aukštesnę klasę. Vamzdynai švarūs, be nuosėdų</w:t>
            </w:r>
          </w:p>
        </w:tc>
      </w:tr>
      <w:tr w:rsidR="009A6B65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4.</w:t>
            </w:r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Šulinių sandarinamojo bandymas</w:t>
            </w:r>
          </w:p>
        </w:tc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LST EN 1917, gamintojo rekomendacijos</w:t>
            </w:r>
          </w:p>
        </w:tc>
        <w:tc>
          <w:tcPr>
            <w:tcW w:w="25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Nuotėkis neviršija leistino pagal standarto normatyvų</w:t>
            </w:r>
          </w:p>
        </w:tc>
      </w:tr>
      <w:tr w:rsidR="009A6B65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5.</w:t>
            </w:r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Siurblinių įrangos veikimo bandymas</w:t>
            </w:r>
          </w:p>
        </w:tc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Gamintojo techniniai reikalavimai</w:t>
            </w:r>
          </w:p>
        </w:tc>
        <w:tc>
          <w:tcPr>
            <w:tcW w:w="25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Siurbliai veikia pagal projektinius parametrus (našumas, slėgis). Automatika funkcionuoja tinkamai</w:t>
            </w:r>
          </w:p>
        </w:tc>
      </w:tr>
      <w:tr w:rsidR="009A6B65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6.</w:t>
            </w:r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Geodėziniai matavimai (vamzdynų padėtis ir aukščių žymės)</w:t>
            </w:r>
          </w:p>
        </w:tc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Statybos techninis reglamentas, projektas</w:t>
            </w:r>
          </w:p>
        </w:tc>
        <w:tc>
          <w:tcPr>
            <w:tcW w:w="25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Vamzdynų padėtis ir aukščių žymės atitinka techninį projektą (leistini nukrypimai pagal STR)</w:t>
            </w:r>
          </w:p>
        </w:tc>
      </w:tr>
      <w:tr w:rsidR="009A6B65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7.</w:t>
            </w:r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Žemės darbų kokybė (tranšėjų užpylimas, sutankinimas)</w:t>
            </w:r>
          </w:p>
        </w:tc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STR, projektas</w:t>
            </w:r>
          </w:p>
        </w:tc>
        <w:tc>
          <w:tcPr>
            <w:tcW w:w="25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Grunto sutankinimo koeficientas ne mažesnis nei nustatytas projekte. Paviršius atstatytas į pirminę būklę</w:t>
            </w:r>
          </w:p>
        </w:tc>
      </w:tr>
      <w:tr w:rsidR="009A6B65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8.</w:t>
            </w:r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Kelio dangos atstatymo kokybė (jei taikoma)</w:t>
            </w:r>
          </w:p>
        </w:tc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Kelių techninis reglamentas, projektas</w:t>
            </w:r>
          </w:p>
        </w:tc>
        <w:tc>
          <w:tcPr>
            <w:tcW w:w="25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Dangos storis, lygumas ir kokybė atitinka projektą ir keliamus reikalavimus</w:t>
            </w:r>
          </w:p>
        </w:tc>
      </w:tr>
    </w:tbl>
    <w:p w:rsidR="009A6B65" w:rsidRDefault="009A6B65">
      <w:pPr>
        <w:spacing w:before="60" w:after="60" w:line="276" w:lineRule="auto"/>
        <w:jc w:val="both"/>
      </w:pPr>
    </w:p>
    <w:p w:rsidR="009A6B65" w:rsidRDefault="00000000">
      <w:pPr>
        <w:spacing w:before="60" w:after="60" w:line="276" w:lineRule="auto"/>
        <w:jc w:val="both"/>
      </w:pPr>
      <w:r>
        <w:t>4.2. Apie kiekvieną bandymą Rangovas informuoja Užsakovą raštu ne vėliau kaip prieš 3 darbo dienas. Užsakovas arba jo atstovas turi teisę dalyvauti visuose bandymuose.</w:t>
      </w:r>
    </w:p>
    <w:p w:rsidR="009A6B65" w:rsidRDefault="00000000">
      <w:pPr>
        <w:spacing w:before="60" w:after="60" w:line="276" w:lineRule="auto"/>
        <w:jc w:val="both"/>
      </w:pPr>
      <w:r>
        <w:t>4.3. Kiekvieno bandymo rezultatai įforminami bandymo protokolu, kurį pasirašo Rangovas ir Užsakovo atstovas (jei dalyvavo).</w:t>
      </w:r>
    </w:p>
    <w:p w:rsidR="009A6B65" w:rsidRDefault="00000000">
      <w:pPr>
        <w:spacing w:before="60" w:after="60" w:line="276" w:lineRule="auto"/>
        <w:jc w:val="both"/>
      </w:pPr>
      <w:r>
        <w:t>4.4. Jei bandymo rezultatai neatitinka priėmimo kriterijų, Rangovas savo lėšomis šalina defektus ir pakartotinai atlieka bandymą.</w:t>
      </w:r>
    </w:p>
    <w:p w:rsidR="009A6B65" w:rsidRDefault="00000000">
      <w:pPr>
        <w:spacing w:before="60" w:after="60" w:line="276" w:lineRule="auto"/>
        <w:jc w:val="both"/>
      </w:pPr>
      <w:r>
        <w:t>4.5. CCTV vaizdinė inspekcija atliekama visiems gravitaciniams vamzdynams. Vaizdo įrašai ir ataskaita (pagal LST EN 13508-2) perduodami Užsakovui skaitmenine forma.</w:t>
      </w:r>
    </w:p>
    <w:p w:rsidR="009A6B65" w:rsidRDefault="00000000">
      <w:pPr>
        <w:pStyle w:val="Heading1"/>
      </w:pPr>
      <w:r>
        <w:rPr>
          <w:sz w:val="22"/>
          <w:szCs w:val="22"/>
        </w:rPr>
        <w:t>5. Galutinis darbų priėmimas</w:t>
      </w:r>
    </w:p>
    <w:p w:rsidR="009A6B65" w:rsidRDefault="00000000">
      <w:pPr>
        <w:spacing w:before="60" w:after="60" w:line="276" w:lineRule="auto"/>
        <w:jc w:val="both"/>
      </w:pPr>
      <w:r>
        <w:t>5.1. Atlikus visus Darbus, sėkmingai įvykdžius visus bandymus ir pateikus visą būtiną dokumentaciją, Rangovas raštu kreipiasi į Užsakovą dėl galutinio darbų priėmimo.</w:t>
      </w:r>
    </w:p>
    <w:p w:rsidR="009A6B65" w:rsidRDefault="00000000">
      <w:pPr>
        <w:spacing w:before="60" w:after="60" w:line="276" w:lineRule="auto"/>
        <w:jc w:val="both"/>
      </w:pPr>
      <w:r>
        <w:t>5.2. Užsakovas per 15 darbo dienų nuo Rangovo kreipimosi gavimo atlieka darbų patikrą ir:</w:t>
      </w:r>
    </w:p>
    <w:p w:rsidR="009A6B65" w:rsidRDefault="00000000">
      <w:pPr>
        <w:spacing w:before="60" w:after="60" w:line="276" w:lineRule="auto"/>
        <w:ind w:left="360"/>
        <w:jc w:val="both"/>
      </w:pPr>
      <w:r>
        <w:t>a) pasirašo Darbų užbaigimo aktą, jei Darbai atlikti tinkamai; arba</w:t>
      </w:r>
    </w:p>
    <w:p w:rsidR="009A6B65" w:rsidRDefault="00000000">
      <w:pPr>
        <w:spacing w:before="60" w:after="60" w:line="276" w:lineRule="auto"/>
        <w:ind w:left="360"/>
        <w:jc w:val="both"/>
      </w:pPr>
      <w:r>
        <w:t>b) pateikia motyvuotą atsisakymą priimti Darbus, nurodydamas konkrečius defektus ar trūkumus, kuriuos Rangovas turi pašalinti.</w:t>
      </w:r>
    </w:p>
    <w:p w:rsidR="009A6B65" w:rsidRDefault="00000000">
      <w:pPr>
        <w:spacing w:before="60" w:after="60" w:line="276" w:lineRule="auto"/>
        <w:jc w:val="both"/>
      </w:pPr>
      <w:r>
        <w:t>5.3. Rangovas pašalina nurodytus defektus per Užsakovo nustatytą protingą terminą ir pakartotinai kreipiasi dėl darbų priėmimo.</w:t>
      </w:r>
    </w:p>
    <w:p w:rsidR="009A6B65" w:rsidRDefault="00000000">
      <w:pPr>
        <w:spacing w:before="60" w:after="60" w:line="276" w:lineRule="auto"/>
        <w:jc w:val="both"/>
      </w:pPr>
      <w:r>
        <w:t>5.4. Darbų užbaigimo aktą pasirašo: Rangovas, Užsakovas, techninės priežiūros vadovas ir projekto vykdymo priežiūros vadovas.</w:t>
      </w:r>
    </w:p>
    <w:p w:rsidR="009A6B65" w:rsidRDefault="00000000">
      <w:pPr>
        <w:spacing w:before="60" w:after="60" w:line="276" w:lineRule="auto"/>
        <w:jc w:val="both"/>
      </w:pPr>
      <w:r>
        <w:t>5.5. Nuo Darbų užbaigimo akto pasirašymo dienos prasideda garantinis laikotarpis.</w:t>
      </w:r>
    </w:p>
    <w:p w:rsidR="009A6B65" w:rsidRDefault="00000000">
      <w:pPr>
        <w:pStyle w:val="Heading1"/>
      </w:pPr>
      <w:r>
        <w:rPr>
          <w:sz w:val="22"/>
          <w:szCs w:val="22"/>
        </w:rPr>
        <w:lastRenderedPageBreak/>
        <w:t>6. Statybos užbaigimo procedūros</w:t>
      </w:r>
    </w:p>
    <w:p w:rsidR="009A6B65" w:rsidRDefault="00000000">
      <w:pPr>
        <w:spacing w:before="60" w:after="60" w:line="276" w:lineRule="auto"/>
        <w:jc w:val="both"/>
      </w:pPr>
      <w:r>
        <w:t>6.1. Po galutinio darbų priėmimo Rangovas, kartu su Užsakovu, inicijuoja statybos užbaigimo procedūras pagal Statybos įstatymo ir statybos techninių reglamentų reikalavimus:</w:t>
      </w:r>
    </w:p>
    <w:p w:rsidR="009A6B65" w:rsidRDefault="00000000">
      <w:pPr>
        <w:spacing w:before="60" w:after="60" w:line="276" w:lineRule="auto"/>
        <w:ind w:left="360"/>
        <w:jc w:val="both"/>
      </w:pPr>
      <w:r>
        <w:t>– statybos užbaigimo akto surašymas;</w:t>
      </w:r>
    </w:p>
    <w:p w:rsidR="009A6B65" w:rsidRDefault="00000000">
      <w:pPr>
        <w:spacing w:before="60" w:after="60" w:line="276" w:lineRule="auto"/>
        <w:ind w:left="360"/>
        <w:jc w:val="both"/>
      </w:pPr>
      <w:r>
        <w:t>– statinio kadastriniai matavimai ir registravimas (jei taikoma);</w:t>
      </w:r>
    </w:p>
    <w:p w:rsidR="009A6B65" w:rsidRDefault="00000000">
      <w:pPr>
        <w:spacing w:before="60" w:after="60" w:line="276" w:lineRule="auto"/>
        <w:ind w:left="360"/>
        <w:jc w:val="both"/>
      </w:pPr>
      <w:r>
        <w:t>– visu būtinos dokumentacijos perdavimas Užsakovui.</w:t>
      </w:r>
    </w:p>
    <w:p w:rsidR="009A6B65" w:rsidRDefault="00000000">
      <w:pPr>
        <w:spacing w:before="60" w:after="60" w:line="276" w:lineRule="auto"/>
        <w:jc w:val="both"/>
      </w:pPr>
      <w:r>
        <w:t>6.2. Statybos užbaigimo aktas surašomas Valstybinės teritorijų planavimo ir statybos inspekcijos informacinėje sistemoje „Infostatyba“.</w:t>
      </w:r>
    </w:p>
    <w:p w:rsidR="009A6B65" w:rsidRDefault="00000000">
      <w:pPr>
        <w:pStyle w:val="Heading1"/>
      </w:pPr>
      <w:r>
        <w:rPr>
          <w:sz w:val="22"/>
          <w:szCs w:val="22"/>
        </w:rPr>
        <w:t>7. Perduodama dokumentacija</w:t>
      </w:r>
    </w:p>
    <w:p w:rsidR="009A6B65" w:rsidRDefault="00000000">
      <w:pPr>
        <w:spacing w:before="60" w:after="60" w:line="276" w:lineRule="auto"/>
        <w:jc w:val="both"/>
      </w:pPr>
      <w:r>
        <w:t>7.1. Kartu su prašymu dėl galutinio darbų priėmimo Rangovas perduoda Užsakovui šiuos dokumentus:</w:t>
      </w:r>
    </w:p>
    <w:p w:rsidR="009A6B65" w:rsidRDefault="009A6B65">
      <w:pPr>
        <w:spacing w:before="60" w:after="60" w:line="276" w:lineRule="auto"/>
        <w:jc w:val="both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5000"/>
        <w:gridCol w:w="3572"/>
      </w:tblGrid>
      <w:tr w:rsidR="009A6B65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5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Dokumentas</w:t>
            </w:r>
          </w:p>
        </w:tc>
        <w:tc>
          <w:tcPr>
            <w:tcW w:w="35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Pastabos</w:t>
            </w:r>
          </w:p>
        </w:tc>
      </w:tr>
      <w:tr w:rsidR="009A6B65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1.</w:t>
            </w:r>
          </w:p>
        </w:tc>
        <w:tc>
          <w:tcPr>
            <w:tcW w:w="5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Techninis projektas (suderintas, su statybos leidimu)</w:t>
            </w:r>
          </w:p>
        </w:tc>
        <w:tc>
          <w:tcPr>
            <w:tcW w:w="35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Originalas arba patvirtinta kopija</w:t>
            </w:r>
          </w:p>
        </w:tc>
      </w:tr>
      <w:tr w:rsidR="009A6B65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2.</w:t>
            </w:r>
          </w:p>
        </w:tc>
        <w:tc>
          <w:tcPr>
            <w:tcW w:w="5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Statybos darbų žurnalas</w:t>
            </w:r>
          </w:p>
        </w:tc>
        <w:tc>
          <w:tcPr>
            <w:tcW w:w="35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Užpildytas pagal STR reikalavimus</w:t>
            </w:r>
          </w:p>
        </w:tc>
      </w:tr>
      <w:tr w:rsidR="009A6B65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3.</w:t>
            </w:r>
          </w:p>
        </w:tc>
        <w:tc>
          <w:tcPr>
            <w:tcW w:w="5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Paslėptų darbų patikrinimo aktai</w:t>
            </w:r>
          </w:p>
        </w:tc>
        <w:tc>
          <w:tcPr>
            <w:tcW w:w="35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Pasirašyti Rangovo ir techninės priežiūros vadovo</w:t>
            </w:r>
          </w:p>
        </w:tc>
      </w:tr>
      <w:tr w:rsidR="009A6B65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4.</w:t>
            </w:r>
          </w:p>
        </w:tc>
        <w:tc>
          <w:tcPr>
            <w:tcW w:w="5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Bandymų protokolai ir aktai (slėgio, sandarinamojo, CCTV ir kt.)</w:t>
            </w:r>
          </w:p>
        </w:tc>
        <w:tc>
          <w:tcPr>
            <w:tcW w:w="35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Kiekvienam bandymui atskiras protokolas</w:t>
            </w:r>
          </w:p>
        </w:tc>
      </w:tr>
      <w:tr w:rsidR="009A6B65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5.</w:t>
            </w:r>
          </w:p>
        </w:tc>
        <w:tc>
          <w:tcPr>
            <w:tcW w:w="5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Geodėzinė nuotrauka (kontrolė po statybos)</w:t>
            </w:r>
          </w:p>
        </w:tc>
        <w:tc>
          <w:tcPr>
            <w:tcW w:w="35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Parengta licencijuoto matininko</w:t>
            </w:r>
          </w:p>
        </w:tc>
      </w:tr>
      <w:tr w:rsidR="009A6B65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6.</w:t>
            </w:r>
          </w:p>
        </w:tc>
        <w:tc>
          <w:tcPr>
            <w:tcW w:w="5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Medžiagų ir įrenginių sertifikatai, atitikties deklaracijos</w:t>
            </w:r>
          </w:p>
        </w:tc>
        <w:tc>
          <w:tcPr>
            <w:tcW w:w="35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Visiems naudotiems gaminiams</w:t>
            </w:r>
          </w:p>
        </w:tc>
      </w:tr>
      <w:tr w:rsidR="009A6B65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7.</w:t>
            </w:r>
          </w:p>
        </w:tc>
        <w:tc>
          <w:tcPr>
            <w:tcW w:w="5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Statybos atliekų tvarkymo dokumentai</w:t>
            </w:r>
          </w:p>
        </w:tc>
        <w:tc>
          <w:tcPr>
            <w:tcW w:w="35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Atliekų perdavimo aktai, lydraščiai</w:t>
            </w:r>
          </w:p>
        </w:tc>
      </w:tr>
      <w:tr w:rsidR="009A6B65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8.</w:t>
            </w:r>
          </w:p>
        </w:tc>
        <w:tc>
          <w:tcPr>
            <w:tcW w:w="5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Aplinkos apsaugos priemonių įgyvendinimo ataskaita</w:t>
            </w:r>
          </w:p>
        </w:tc>
        <w:tc>
          <w:tcPr>
            <w:tcW w:w="35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Pagal D1-508 Tvarkos aprašo reikalavimus</w:t>
            </w:r>
          </w:p>
        </w:tc>
      </w:tr>
      <w:tr w:rsidR="009A6B65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9.</w:t>
            </w:r>
          </w:p>
        </w:tc>
        <w:tc>
          <w:tcPr>
            <w:tcW w:w="5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Garantinis pasas / naudojimo ir priežiūros instrukcija</w:t>
            </w:r>
          </w:p>
        </w:tc>
        <w:tc>
          <w:tcPr>
            <w:tcW w:w="35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Siurblinių įrangai ir kt. inžineriniams įrenginiams</w:t>
            </w:r>
          </w:p>
        </w:tc>
      </w:tr>
      <w:tr w:rsidR="009A6B65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10.</w:t>
            </w:r>
          </w:p>
        </w:tc>
        <w:tc>
          <w:tcPr>
            <w:tcW w:w="5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Statinio kadastrinės bylos (jei taikoma)</w:t>
            </w:r>
          </w:p>
        </w:tc>
        <w:tc>
          <w:tcPr>
            <w:tcW w:w="35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A6B65" w:rsidRDefault="00000000">
            <w:r>
              <w:rPr>
                <w:sz w:val="20"/>
                <w:szCs w:val="20"/>
              </w:rPr>
              <w:t>Pagal Registrų centro reikalavimus</w:t>
            </w:r>
          </w:p>
        </w:tc>
      </w:tr>
    </w:tbl>
    <w:p w:rsidR="009A6B65" w:rsidRDefault="009A6B65">
      <w:pPr>
        <w:spacing w:before="60" w:after="60" w:line="276" w:lineRule="auto"/>
        <w:jc w:val="both"/>
      </w:pPr>
    </w:p>
    <w:p w:rsidR="009A6B65" w:rsidRDefault="00000000">
      <w:pPr>
        <w:spacing w:before="60" w:after="60" w:line="276" w:lineRule="auto"/>
        <w:jc w:val="both"/>
      </w:pPr>
      <w:r>
        <w:t>7.2. Dokumentacija perduodama dviem egzemplioriais popierine forma ir vienu egzemplioriumi skaitmenine forma (PDF ir, kur taikoma, redaguojamu formatu).</w:t>
      </w:r>
    </w:p>
    <w:p w:rsidR="009A6B65" w:rsidRDefault="00000000">
      <w:pPr>
        <w:spacing w:before="60" w:after="60" w:line="276" w:lineRule="auto"/>
        <w:jc w:val="both"/>
      </w:pPr>
      <w:r>
        <w:t>7.3. Užsakovas turi teisę reikalauti papildomų dokumentų, jei jie būtini statinio naudojimui ar registravimui.</w:t>
      </w:r>
    </w:p>
    <w:p w:rsidR="009A6B65" w:rsidRDefault="00000000">
      <w:pPr>
        <w:pStyle w:val="Heading1"/>
      </w:pPr>
      <w:r>
        <w:rPr>
          <w:sz w:val="22"/>
          <w:szCs w:val="22"/>
        </w:rPr>
        <w:t>8. Garantinio laikotarpio priežiūra ir galutinis atsiskaitymas</w:t>
      </w:r>
    </w:p>
    <w:p w:rsidR="009A6B65" w:rsidRDefault="00000000">
      <w:pPr>
        <w:spacing w:before="60" w:after="60" w:line="276" w:lineRule="auto"/>
        <w:jc w:val="both"/>
      </w:pPr>
      <w:r>
        <w:t>8.1. Garantinio laikotarpio metu Rangovas įsipareigoja nemokamai šalinti visus darbų defektus, kurie atsirado dėl netinkamos darbų kokybės, medžiagų ar įrengimų.</w:t>
      </w:r>
    </w:p>
    <w:p w:rsidR="009A6B65" w:rsidRDefault="00000000">
      <w:pPr>
        <w:spacing w:before="60" w:after="60" w:line="276" w:lineRule="auto"/>
        <w:jc w:val="both"/>
      </w:pPr>
      <w:r>
        <w:t>8.2. Apie pastebėtus defektus Užsakovas informuoja Rangovą raštu. Rangovas privalo pradėti defektų šalinimą per 10 darbo dienų nuo pranešimo gavimo (skubiais atvejais – per 24 valandas).</w:t>
      </w:r>
    </w:p>
    <w:p w:rsidR="009A6B65" w:rsidRDefault="00000000">
      <w:pPr>
        <w:spacing w:before="60" w:after="60" w:line="276" w:lineRule="auto"/>
        <w:jc w:val="both"/>
      </w:pPr>
      <w:r>
        <w:t>8.3. Pasibaigus garantiniam laikotarpiui, Šalys atlieka galutinę darbų apžiūrą. Jei defektų nenustatoma arba visi defektai pašalinti, surašomas garantinio laikotarpio pabaigos aktas.</w:t>
      </w:r>
    </w:p>
    <w:p w:rsidR="009A6B65" w:rsidRDefault="00000000">
      <w:pPr>
        <w:spacing w:before="60" w:after="60" w:line="276" w:lineRule="auto"/>
        <w:jc w:val="both"/>
      </w:pPr>
      <w:r>
        <w:t>8.4. Garantinio laikotarpio pabaigos akto pasirašymo diena laikoma galutinės prievolių įvykdymo data, po kurios grąžinama garantinio laikotarpio garantija.</w:t>
      </w:r>
    </w:p>
    <w:p w:rsidR="009A6B65" w:rsidRDefault="00000000">
      <w:pPr>
        <w:spacing w:before="60" w:after="60" w:line="276" w:lineRule="auto"/>
        <w:jc w:val="both"/>
      </w:pPr>
      <w:r>
        <w:t>8.5. Jei per galutinę apžiūrą nustatomi neištaisyti defektai, garantinis laikotarpis pratęsiamas iki defektų pašalinimo.</w:t>
      </w:r>
    </w:p>
    <w:sectPr w:rsidR="009A6B65">
      <w:headerReference w:type="default" r:id="rId7"/>
      <w:footerReference w:type="default" r:id="rId8"/>
      <w:pgSz w:w="11906" w:h="16838"/>
      <w:pgMar w:top="1134" w:right="1134" w:bottom="1134" w:left="141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6C3E" w:rsidRDefault="001A6C3E">
      <w:r>
        <w:separator/>
      </w:r>
    </w:p>
  </w:endnote>
  <w:endnote w:type="continuationSeparator" w:id="0">
    <w:p w:rsidR="001A6C3E" w:rsidRDefault="001A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6B65" w:rsidRDefault="00000000">
    <w:pPr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4D4398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6C3E" w:rsidRDefault="001A6C3E">
      <w:r>
        <w:separator/>
      </w:r>
    </w:p>
  </w:footnote>
  <w:footnote w:type="continuationSeparator" w:id="0">
    <w:p w:rsidR="001A6C3E" w:rsidRDefault="001A6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6B65" w:rsidRDefault="00000000">
    <w:pPr>
      <w:jc w:val="right"/>
    </w:pPr>
    <w:r>
      <w:rPr>
        <w:i/>
        <w:iCs/>
        <w:sz w:val="16"/>
        <w:szCs w:val="16"/>
      </w:rPr>
      <w:t>Sutarties 4 priedas – Darbų priėmimo tvarka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57FB7"/>
    <w:multiLevelType w:val="hybridMultilevel"/>
    <w:tmpl w:val="D2023A7C"/>
    <w:lvl w:ilvl="0" w:tplc="2DF21DD0">
      <w:start w:val="1"/>
      <w:numFmt w:val="bullet"/>
      <w:lvlText w:val="●"/>
      <w:lvlJc w:val="left"/>
      <w:pPr>
        <w:ind w:left="720" w:hanging="360"/>
      </w:pPr>
    </w:lvl>
    <w:lvl w:ilvl="1" w:tplc="15C0E6D4">
      <w:start w:val="1"/>
      <w:numFmt w:val="bullet"/>
      <w:lvlText w:val="○"/>
      <w:lvlJc w:val="left"/>
      <w:pPr>
        <w:ind w:left="1440" w:hanging="360"/>
      </w:pPr>
    </w:lvl>
    <w:lvl w:ilvl="2" w:tplc="0C42BFF6">
      <w:start w:val="1"/>
      <w:numFmt w:val="bullet"/>
      <w:lvlText w:val="■"/>
      <w:lvlJc w:val="left"/>
      <w:pPr>
        <w:ind w:left="2160" w:hanging="360"/>
      </w:pPr>
    </w:lvl>
    <w:lvl w:ilvl="3" w:tplc="B16AB616">
      <w:start w:val="1"/>
      <w:numFmt w:val="bullet"/>
      <w:lvlText w:val="●"/>
      <w:lvlJc w:val="left"/>
      <w:pPr>
        <w:ind w:left="2880" w:hanging="360"/>
      </w:pPr>
    </w:lvl>
    <w:lvl w:ilvl="4" w:tplc="0346D656">
      <w:start w:val="1"/>
      <w:numFmt w:val="bullet"/>
      <w:lvlText w:val="○"/>
      <w:lvlJc w:val="left"/>
      <w:pPr>
        <w:ind w:left="3600" w:hanging="360"/>
      </w:pPr>
    </w:lvl>
    <w:lvl w:ilvl="5" w:tplc="5AA8494C">
      <w:start w:val="1"/>
      <w:numFmt w:val="bullet"/>
      <w:lvlText w:val="■"/>
      <w:lvlJc w:val="left"/>
      <w:pPr>
        <w:ind w:left="4320" w:hanging="360"/>
      </w:pPr>
    </w:lvl>
    <w:lvl w:ilvl="6" w:tplc="4B380A9C">
      <w:start w:val="1"/>
      <w:numFmt w:val="bullet"/>
      <w:lvlText w:val="●"/>
      <w:lvlJc w:val="left"/>
      <w:pPr>
        <w:ind w:left="5040" w:hanging="360"/>
      </w:pPr>
    </w:lvl>
    <w:lvl w:ilvl="7" w:tplc="699AC194">
      <w:start w:val="1"/>
      <w:numFmt w:val="bullet"/>
      <w:lvlText w:val="●"/>
      <w:lvlJc w:val="left"/>
      <w:pPr>
        <w:ind w:left="5760" w:hanging="360"/>
      </w:pPr>
    </w:lvl>
    <w:lvl w:ilvl="8" w:tplc="D9E491A6">
      <w:start w:val="1"/>
      <w:numFmt w:val="bullet"/>
      <w:lvlText w:val="●"/>
      <w:lvlJc w:val="left"/>
      <w:pPr>
        <w:ind w:left="6480" w:hanging="360"/>
      </w:pPr>
    </w:lvl>
  </w:abstractNum>
  <w:num w:numId="1" w16cid:durableId="1290559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B65"/>
    <w:rsid w:val="001A6C3E"/>
    <w:rsid w:val="004D4398"/>
    <w:rsid w:val="009A6B65"/>
    <w:rsid w:val="009E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docId w15:val="{E73C633C-BD63-D54D-9EE3-C00B1403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sz w:val="24"/>
      <w:szCs w:val="24"/>
    </w:rPr>
  </w:style>
  <w:style w:type="paragraph" w:styleId="Heading2">
    <w:name w:val="heading 2"/>
    <w:uiPriority w:val="9"/>
    <w:semiHidden/>
    <w:unhideWhenUsed/>
    <w:qFormat/>
    <w:pPr>
      <w:spacing w:before="180" w:after="80"/>
      <w:outlineLvl w:val="1"/>
    </w:pPr>
    <w:rPr>
      <w:b/>
      <w:bCs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1135</Words>
  <Characters>6470</Characters>
  <Application>Microsoft Office Word</Application>
  <DocSecurity>0</DocSecurity>
  <Lines>53</Lines>
  <Paragraphs>15</Paragraphs>
  <ScaleCrop>false</ScaleCrop>
  <Company/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Microsoft Office User</cp:lastModifiedBy>
  <cp:revision>2</cp:revision>
  <dcterms:created xsi:type="dcterms:W3CDTF">2026-05-27T13:01:00Z</dcterms:created>
  <dcterms:modified xsi:type="dcterms:W3CDTF">2026-05-27T13:01:00Z</dcterms:modified>
</cp:coreProperties>
</file>