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0CDE9249" w:rsidR="00901430" w:rsidRPr="0001423F" w:rsidRDefault="006849F2"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1F84EC76" w:rsidR="000D294F" w:rsidRPr="000D294F" w:rsidRDefault="002C5252" w:rsidP="000D294F">
      <w:pPr>
        <w:widowControl w:val="0"/>
        <w:jc w:val="center"/>
        <w:rPr>
          <w:b/>
          <w:caps/>
          <w:spacing w:val="-4"/>
          <w:sz w:val="36"/>
          <w:szCs w:val="36"/>
        </w:rPr>
      </w:pPr>
      <w:r w:rsidRPr="002C5252">
        <w:rPr>
          <w:b/>
          <w:bCs/>
          <w:color w:val="000000"/>
          <w:sz w:val="24"/>
          <w:szCs w:val="24"/>
          <w:lang w:eastAsia="lt-LT"/>
        </w:rPr>
        <w:t xml:space="preserve">DĖL </w:t>
      </w:r>
      <w:r w:rsidRPr="002C5252">
        <w:rPr>
          <w:b/>
          <w:bCs/>
          <w:iCs/>
          <w:sz w:val="24"/>
          <w:szCs w:val="24"/>
        </w:rPr>
        <w:t>PATALPŲ REMONTO KAZLŲ RŪDOS „</w:t>
      </w:r>
      <w:proofErr w:type="gramStart"/>
      <w:r w:rsidRPr="002C5252">
        <w:rPr>
          <w:b/>
          <w:bCs/>
          <w:iCs/>
          <w:sz w:val="24"/>
          <w:szCs w:val="24"/>
        </w:rPr>
        <w:t>SAULĖS“ MOKYKLOJE</w:t>
      </w:r>
      <w:proofErr w:type="gramEnd"/>
      <w:r w:rsidRPr="002C5252">
        <w:rPr>
          <w:b/>
          <w:bCs/>
          <w:iCs/>
          <w:sz w:val="24"/>
          <w:szCs w:val="24"/>
        </w:rPr>
        <w:t xml:space="preserve"> – DAUGIAFUNKCIAME CENTRE</w:t>
      </w:r>
      <w:r w:rsidRPr="002A39CD">
        <w:rPr>
          <w:iCs/>
          <w:szCs w:val="24"/>
        </w:rPr>
        <w:t xml:space="preserve"> </w:t>
      </w:r>
      <w:r w:rsidR="00142F90"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CE69D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 xml:space="preserve">už </w:t>
      </w:r>
      <w:r w:rsidR="00FB0B14">
        <w:rPr>
          <w:sz w:val="24"/>
          <w:szCs w:val="24"/>
          <w:lang w:val="lt-LT" w:eastAsia="lt-LT"/>
        </w:rPr>
        <w:t xml:space="preserve">fiksuotą </w:t>
      </w:r>
      <w:r w:rsidRPr="00BB00F2">
        <w:rPr>
          <w:sz w:val="24"/>
          <w:szCs w:val="24"/>
          <w:lang w:val="lt-LT" w:eastAsia="lt-LT"/>
        </w:rPr>
        <w:t>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4FA25412" w:rsidR="00427538" w:rsidRPr="00165085" w:rsidRDefault="005B381E" w:rsidP="00165085">
            <w:pPr>
              <w:rPr>
                <w:sz w:val="24"/>
                <w:szCs w:val="32"/>
                <w:lang w:val="lt-LT"/>
              </w:rPr>
            </w:pPr>
            <w:r>
              <w:rPr>
                <w:sz w:val="24"/>
                <w:szCs w:val="32"/>
                <w:lang w:val="lt-LT"/>
              </w:rPr>
              <w:t>K</w:t>
            </w:r>
            <w:r w:rsidR="00FB0B14">
              <w:rPr>
                <w:sz w:val="24"/>
                <w:szCs w:val="32"/>
                <w:lang w:val="lt-LT"/>
              </w:rPr>
              <w:t>aina</w:t>
            </w:r>
            <w:r w:rsidR="00427538"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2539BA5E" w:rsidR="00427538" w:rsidRPr="00165085" w:rsidRDefault="005B381E" w:rsidP="00165085">
            <w:pPr>
              <w:rPr>
                <w:sz w:val="24"/>
                <w:szCs w:val="32"/>
                <w:lang w:val="lt-LT"/>
              </w:rPr>
            </w:pPr>
            <w:r>
              <w:rPr>
                <w:sz w:val="24"/>
                <w:szCs w:val="32"/>
                <w:lang w:val="lt-LT"/>
              </w:rPr>
              <w:t>K</w:t>
            </w:r>
            <w:r w:rsidR="00427538" w:rsidRPr="00165085">
              <w:rPr>
                <w:sz w:val="24"/>
                <w:szCs w:val="32"/>
                <w:lang w:val="lt-LT"/>
              </w:rPr>
              <w:t>aina, EUR su PVM</w:t>
            </w:r>
          </w:p>
        </w:tc>
      </w:tr>
      <w:tr w:rsidR="00D01F7D" w:rsidRPr="00165085" w14:paraId="3DA8FD4B" w14:textId="77777777" w:rsidTr="00116E40">
        <w:trPr>
          <w:trHeight w:val="399"/>
        </w:trPr>
        <w:tc>
          <w:tcPr>
            <w:tcW w:w="644" w:type="dxa"/>
            <w:tcBorders>
              <w:top w:val="single" w:sz="4" w:space="0" w:color="auto"/>
              <w:left w:val="single" w:sz="4" w:space="0" w:color="auto"/>
              <w:bottom w:val="single" w:sz="4" w:space="0" w:color="auto"/>
              <w:right w:val="nil"/>
            </w:tcBorders>
          </w:tcPr>
          <w:p w14:paraId="000CA091" w14:textId="75CBFC7F" w:rsidR="00D01F7D" w:rsidRPr="00165085" w:rsidRDefault="00D01F7D"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7F789916" w14:textId="4A03C15E" w:rsidR="00D01F7D" w:rsidRPr="00165085" w:rsidRDefault="00D01F7D" w:rsidP="00165085">
            <w:pPr>
              <w:jc w:val="both"/>
              <w:rPr>
                <w:sz w:val="24"/>
                <w:szCs w:val="32"/>
                <w:lang w:val="lt-LT"/>
              </w:rPr>
            </w:pPr>
            <w:r>
              <w:rPr>
                <w:sz w:val="24"/>
                <w:szCs w:val="32"/>
                <w:lang w:val="lt-LT"/>
              </w:rPr>
              <w:t>Paprastojo remonto apraš</w:t>
            </w:r>
            <w:r w:rsidR="00C37D28">
              <w:rPr>
                <w:sz w:val="24"/>
                <w:szCs w:val="32"/>
                <w:lang w:val="lt-LT"/>
              </w:rPr>
              <w:t>as</w:t>
            </w:r>
          </w:p>
        </w:tc>
        <w:tc>
          <w:tcPr>
            <w:tcW w:w="1194" w:type="dxa"/>
            <w:tcBorders>
              <w:top w:val="single" w:sz="4" w:space="0" w:color="auto"/>
              <w:left w:val="single" w:sz="2" w:space="0" w:color="000000"/>
              <w:bottom w:val="single" w:sz="4" w:space="0" w:color="auto"/>
              <w:right w:val="single" w:sz="4" w:space="0" w:color="auto"/>
            </w:tcBorders>
          </w:tcPr>
          <w:p w14:paraId="5095ECF5" w14:textId="77777777" w:rsidR="00D01F7D" w:rsidRDefault="00D01F7D"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2B06652" w14:textId="77777777" w:rsidR="00D01F7D" w:rsidRPr="00165085" w:rsidRDefault="00D01F7D"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452202B" w14:textId="77777777" w:rsidR="00D01F7D" w:rsidRDefault="00D01F7D" w:rsidP="00165085">
            <w:pPr>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tcPr>
          <w:p w14:paraId="080234D2" w14:textId="07A16423" w:rsidR="002B2CEB" w:rsidRPr="00165085" w:rsidRDefault="00BF2603" w:rsidP="00165085">
            <w:pPr>
              <w:jc w:val="both"/>
              <w:rPr>
                <w:sz w:val="24"/>
                <w:szCs w:val="32"/>
                <w:lang w:val="lt-LT"/>
              </w:rPr>
            </w:pPr>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tcPr>
          <w:p w14:paraId="57B1008E" w14:textId="0AEEFDF6" w:rsidR="002B2CEB" w:rsidRPr="002C5252" w:rsidRDefault="002C5252" w:rsidP="00165085">
            <w:pPr>
              <w:jc w:val="both"/>
              <w:rPr>
                <w:color w:val="000000"/>
                <w:sz w:val="24"/>
                <w:szCs w:val="24"/>
                <w:lang w:eastAsia="lt-LT"/>
              </w:rPr>
            </w:pPr>
            <w:proofErr w:type="spellStart"/>
            <w:r w:rsidRPr="002C5252">
              <w:rPr>
                <w:iCs/>
                <w:sz w:val="24"/>
                <w:szCs w:val="24"/>
              </w:rPr>
              <w:t>Patalpų</w:t>
            </w:r>
            <w:proofErr w:type="spellEnd"/>
            <w:r w:rsidRPr="002C5252">
              <w:rPr>
                <w:iCs/>
                <w:sz w:val="24"/>
                <w:szCs w:val="24"/>
              </w:rPr>
              <w:t xml:space="preserve"> </w:t>
            </w:r>
            <w:proofErr w:type="spellStart"/>
            <w:r w:rsidRPr="002C5252">
              <w:rPr>
                <w:iCs/>
                <w:sz w:val="24"/>
                <w:szCs w:val="24"/>
              </w:rPr>
              <w:t>remonto</w:t>
            </w:r>
            <w:proofErr w:type="spellEnd"/>
            <w:r w:rsidRPr="002C5252">
              <w:rPr>
                <w:iCs/>
                <w:sz w:val="24"/>
                <w:szCs w:val="24"/>
              </w:rPr>
              <w:t xml:space="preserve"> Kazlų Rūdos „</w:t>
            </w:r>
            <w:proofErr w:type="spellStart"/>
            <w:proofErr w:type="gramStart"/>
            <w:r w:rsidRPr="002C5252">
              <w:rPr>
                <w:iCs/>
                <w:sz w:val="24"/>
                <w:szCs w:val="24"/>
              </w:rPr>
              <w:t>Saulės</w:t>
            </w:r>
            <w:proofErr w:type="spellEnd"/>
            <w:r w:rsidRPr="002C5252">
              <w:rPr>
                <w:iCs/>
                <w:sz w:val="24"/>
                <w:szCs w:val="24"/>
              </w:rPr>
              <w:t xml:space="preserve">“ </w:t>
            </w:r>
            <w:proofErr w:type="spellStart"/>
            <w:r w:rsidRPr="002C5252">
              <w:rPr>
                <w:iCs/>
                <w:sz w:val="24"/>
                <w:szCs w:val="24"/>
              </w:rPr>
              <w:t>mokykloje</w:t>
            </w:r>
            <w:proofErr w:type="spellEnd"/>
            <w:proofErr w:type="gramEnd"/>
            <w:r w:rsidRPr="002C5252">
              <w:rPr>
                <w:iCs/>
                <w:sz w:val="24"/>
                <w:szCs w:val="24"/>
              </w:rPr>
              <w:t xml:space="preserve"> – </w:t>
            </w:r>
            <w:proofErr w:type="spellStart"/>
            <w:r w:rsidRPr="002C5252">
              <w:rPr>
                <w:iCs/>
                <w:sz w:val="24"/>
                <w:szCs w:val="24"/>
              </w:rPr>
              <w:t>daugiafunkciame</w:t>
            </w:r>
            <w:proofErr w:type="spellEnd"/>
            <w:r w:rsidRPr="002C5252">
              <w:rPr>
                <w:iCs/>
                <w:sz w:val="24"/>
                <w:szCs w:val="24"/>
              </w:rPr>
              <w:t xml:space="preserve"> </w:t>
            </w:r>
            <w:proofErr w:type="spellStart"/>
            <w:r w:rsidRPr="002C5252">
              <w:rPr>
                <w:iCs/>
                <w:sz w:val="24"/>
                <w:szCs w:val="24"/>
              </w:rPr>
              <w:t>centre</w:t>
            </w:r>
            <w:proofErr w:type="spellEnd"/>
            <w:r w:rsidRPr="002C5252">
              <w:rPr>
                <w:iCs/>
                <w:sz w:val="24"/>
                <w:szCs w:val="24"/>
              </w:rPr>
              <w:t xml:space="preserve"> </w:t>
            </w:r>
            <w:proofErr w:type="spellStart"/>
            <w:r w:rsidR="006935BD" w:rsidRPr="002C5252">
              <w:rPr>
                <w:color w:val="000000"/>
                <w:sz w:val="24"/>
                <w:szCs w:val="24"/>
                <w:lang w:eastAsia="lt-LT"/>
              </w:rPr>
              <w:t>darbai</w:t>
            </w:r>
            <w:proofErr w:type="spellEnd"/>
          </w:p>
        </w:tc>
        <w:tc>
          <w:tcPr>
            <w:tcW w:w="1194" w:type="dxa"/>
            <w:tcBorders>
              <w:top w:val="single" w:sz="4" w:space="0" w:color="auto"/>
              <w:left w:val="single" w:sz="2" w:space="0" w:color="000000"/>
              <w:bottom w:val="single" w:sz="4" w:space="0" w:color="auto"/>
              <w:right w:val="single" w:sz="4" w:space="0" w:color="auto"/>
            </w:tcBorders>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1FC1144" w14:textId="77777777" w:rsidR="002B2CEB" w:rsidRPr="00165085" w:rsidRDefault="002B2CEB"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lastRenderedPageBreak/>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72B04BA8" w:rsidR="00F629DA" w:rsidRDefault="002E6523" w:rsidP="00F629DA">
            <w:pPr>
              <w:jc w:val="both"/>
              <w:rPr>
                <w:sz w:val="24"/>
                <w:szCs w:val="24"/>
                <w:lang w:val="lt-LT"/>
              </w:rPr>
            </w:pPr>
            <w:bookmarkStart w:id="6" w:name="_Hlk189955189"/>
            <w:bookmarkStart w:id="7" w:name="_Hlk189955010"/>
            <w:r>
              <w:rPr>
                <w:sz w:val="24"/>
                <w:szCs w:val="24"/>
                <w:lang w:val="lt-LT"/>
              </w:rPr>
              <w:t xml:space="preserve">Užpildytas </w:t>
            </w:r>
            <w:bookmarkEnd w:id="6"/>
            <w:r w:rsidR="00666699">
              <w:rPr>
                <w:sz w:val="24"/>
                <w:szCs w:val="24"/>
                <w:lang w:val="lt-LT"/>
              </w:rPr>
              <w:t>darbų kiekių žiniaraštis</w:t>
            </w:r>
            <w:r>
              <w:rPr>
                <w:sz w:val="24"/>
                <w:szCs w:val="24"/>
                <w:lang w:val="lt-LT"/>
              </w:rPr>
              <w:t xml:space="preserve"> </w:t>
            </w:r>
            <w:bookmarkEnd w:id="7"/>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23B7C95" w:rsidR="00F629DA" w:rsidRDefault="00FB0B14"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lastRenderedPageBreak/>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29BD41B1" w14:textId="4B3D293F" w:rsidR="00B43B4F" w:rsidRPr="0076044F" w:rsidRDefault="00B43B4F" w:rsidP="00DF2B3D">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5252"/>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381E"/>
    <w:rsid w:val="005B5C23"/>
    <w:rsid w:val="005B616D"/>
    <w:rsid w:val="005B76F2"/>
    <w:rsid w:val="005C6ECE"/>
    <w:rsid w:val="005E549F"/>
    <w:rsid w:val="005F4291"/>
    <w:rsid w:val="00602255"/>
    <w:rsid w:val="00637CE6"/>
    <w:rsid w:val="00641307"/>
    <w:rsid w:val="0065095F"/>
    <w:rsid w:val="0065155E"/>
    <w:rsid w:val="00661F58"/>
    <w:rsid w:val="00666699"/>
    <w:rsid w:val="00682F8E"/>
    <w:rsid w:val="006849F2"/>
    <w:rsid w:val="0069293D"/>
    <w:rsid w:val="006935BD"/>
    <w:rsid w:val="006C25C8"/>
    <w:rsid w:val="006C3F5F"/>
    <w:rsid w:val="006F746D"/>
    <w:rsid w:val="00700A4B"/>
    <w:rsid w:val="00707AD9"/>
    <w:rsid w:val="00713ABC"/>
    <w:rsid w:val="0072784C"/>
    <w:rsid w:val="007314E6"/>
    <w:rsid w:val="0073404D"/>
    <w:rsid w:val="00743040"/>
    <w:rsid w:val="0074726B"/>
    <w:rsid w:val="007536F3"/>
    <w:rsid w:val="007875A8"/>
    <w:rsid w:val="00787DDB"/>
    <w:rsid w:val="0079232D"/>
    <w:rsid w:val="007C1DA6"/>
    <w:rsid w:val="007D56DA"/>
    <w:rsid w:val="007E19BC"/>
    <w:rsid w:val="007F5FE0"/>
    <w:rsid w:val="00807F2A"/>
    <w:rsid w:val="008247C0"/>
    <w:rsid w:val="008479A0"/>
    <w:rsid w:val="00850E3D"/>
    <w:rsid w:val="00873F38"/>
    <w:rsid w:val="00884433"/>
    <w:rsid w:val="008974E8"/>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9F57D2"/>
    <w:rsid w:val="00A12120"/>
    <w:rsid w:val="00A16D40"/>
    <w:rsid w:val="00A40055"/>
    <w:rsid w:val="00A41B11"/>
    <w:rsid w:val="00A4384F"/>
    <w:rsid w:val="00A466C3"/>
    <w:rsid w:val="00A6083F"/>
    <w:rsid w:val="00A90FD1"/>
    <w:rsid w:val="00A97B7B"/>
    <w:rsid w:val="00AD0F5F"/>
    <w:rsid w:val="00AD0FD8"/>
    <w:rsid w:val="00AD584F"/>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BF2603"/>
    <w:rsid w:val="00C00455"/>
    <w:rsid w:val="00C03B73"/>
    <w:rsid w:val="00C05CE8"/>
    <w:rsid w:val="00C0623F"/>
    <w:rsid w:val="00C10026"/>
    <w:rsid w:val="00C37D28"/>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01F7D"/>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2B3D"/>
    <w:rsid w:val="00DF4CC4"/>
    <w:rsid w:val="00E4006F"/>
    <w:rsid w:val="00E47B8E"/>
    <w:rsid w:val="00E51C55"/>
    <w:rsid w:val="00E6435A"/>
    <w:rsid w:val="00E6502C"/>
    <w:rsid w:val="00E736B7"/>
    <w:rsid w:val="00E902EB"/>
    <w:rsid w:val="00E90AD0"/>
    <w:rsid w:val="00EC46D9"/>
    <w:rsid w:val="00EC4E62"/>
    <w:rsid w:val="00ED3B3D"/>
    <w:rsid w:val="00EE45B2"/>
    <w:rsid w:val="00EE5F75"/>
    <w:rsid w:val="00F26717"/>
    <w:rsid w:val="00F31DFA"/>
    <w:rsid w:val="00F3648F"/>
    <w:rsid w:val="00F405BE"/>
    <w:rsid w:val="00F534D0"/>
    <w:rsid w:val="00F61D88"/>
    <w:rsid w:val="00F6285E"/>
    <w:rsid w:val="00F629DA"/>
    <w:rsid w:val="00F74BE4"/>
    <w:rsid w:val="00F905B1"/>
    <w:rsid w:val="00F934F6"/>
    <w:rsid w:val="00FB0B14"/>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4</Pages>
  <Words>1260</Words>
  <Characters>7182</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528</cp:revision>
  <cp:lastPrinted>2022-10-05T12:41:00Z</cp:lastPrinted>
  <dcterms:created xsi:type="dcterms:W3CDTF">2022-05-26T05:44:00Z</dcterms:created>
  <dcterms:modified xsi:type="dcterms:W3CDTF">2026-05-19T09:24:00Z</dcterms:modified>
</cp:coreProperties>
</file>