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0195"/>
      </w:tblGrid>
      <w:tr w:rsidR="00735D34" w:rsidRPr="00BE4C39" w14:paraId="16E191C6" w14:textId="77777777" w:rsidTr="0032187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BE4C39" w:rsidRDefault="001E7A02" w:rsidP="00F072B9">
            <w:pPr>
              <w:spacing w:after="0" w:line="240" w:lineRule="auto"/>
            </w:pPr>
            <w:r>
              <w:rPr>
                <w:rFonts w:ascii="Calibri Light" w:hAnsi="Calibri Light" w:cs="Calibri Light"/>
                <w:b/>
                <w:color w:val="FFFFFF"/>
              </w:rPr>
              <w:t xml:space="preserve">IŠTEKLIŲ AGENTŪRA </w:t>
            </w:r>
            <w:r w:rsidR="00735D34" w:rsidRPr="00BE4C39">
              <w:rPr>
                <w:rFonts w:ascii="Calibri Light" w:hAnsi="Calibri Light" w:cs="Calibri Light"/>
                <w:b/>
                <w:color w:val="FFFFFF"/>
              </w:rPr>
              <w:t xml:space="preserve"> &gt; PIRKIMO DOKUMENTAI &gt; </w:t>
            </w:r>
            <w:r w:rsidR="00735D34">
              <w:rPr>
                <w:rFonts w:ascii="Calibri Light" w:hAnsi="Calibri Light" w:cs="Calibri Light"/>
                <w:b/>
                <w:color w:val="FFFFFF"/>
              </w:rPr>
              <w:t>TECHNINĖ SPECIFIKACIJA</w:t>
            </w:r>
          </w:p>
        </w:tc>
      </w:tr>
    </w:tbl>
    <w:p w14:paraId="66A20C7A" w14:textId="77777777" w:rsidR="00735D34" w:rsidRPr="00BE4C39" w:rsidRDefault="00735D34" w:rsidP="00735D34">
      <w:pPr>
        <w:spacing w:after="0" w:line="120" w:lineRule="auto"/>
        <w:jc w:val="center"/>
        <w:rPr>
          <w:rFonts w:ascii="Calibri Light" w:hAnsi="Calibri Light" w:cs="Calibri Light"/>
          <w:szCs w:val="24"/>
        </w:rPr>
      </w:pPr>
    </w:p>
    <w:tbl>
      <w:tblPr>
        <w:tblW w:w="5000" w:type="pct"/>
        <w:tblCellMar>
          <w:left w:w="10" w:type="dxa"/>
          <w:right w:w="10" w:type="dxa"/>
        </w:tblCellMar>
        <w:tblLook w:val="0000" w:firstRow="0" w:lastRow="0" w:firstColumn="0" w:lastColumn="0" w:noHBand="0" w:noVBand="0"/>
      </w:tblPr>
      <w:tblGrid>
        <w:gridCol w:w="10195"/>
      </w:tblGrid>
      <w:tr w:rsidR="00735D34" w:rsidRPr="00BE4C39" w14:paraId="46177C6C" w14:textId="77777777" w:rsidTr="00321874">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5965E856" w:rsidR="00735D34" w:rsidRPr="00BE4C39" w:rsidRDefault="00000000" w:rsidP="00F072B9">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15C7A8614ABC443BABB1C9FF0C4382F7"/>
                </w:placeholder>
              </w:sdtPr>
              <w:sdtContent>
                <w:sdt>
                  <w:sdtPr>
                    <w:rPr>
                      <w:rFonts w:ascii="Calibri Light" w:hAnsi="Calibri Light" w:cs="Calibri Light"/>
                      <w:b/>
                      <w:sz w:val="22"/>
                    </w:rPr>
                    <w:alias w:val="Įrašomas pirkimo pavadinimas ir Nr."/>
                    <w:tag w:val="Įrašomas pirkimo pavadinimas ir Nr."/>
                    <w:id w:val="-1311480434"/>
                    <w:placeholder>
                      <w:docPart w:val="15C7A8614ABC443BABB1C9FF0C4382F7"/>
                    </w:placeholder>
                    <w:text/>
                  </w:sdtPr>
                  <w:sdtContent>
                    <w:r w:rsidR="005119DD" w:rsidRPr="005119DD">
                      <w:rPr>
                        <w:rFonts w:ascii="Calibri Light" w:hAnsi="Calibri Light" w:cs="Calibri Light"/>
                        <w:b/>
                        <w:sz w:val="22"/>
                      </w:rPr>
                      <w:t>Telefono stoties AVAYA modernizavimas Nr. PPR-445</w:t>
                    </w:r>
                  </w:sdtContent>
                </w:sdt>
              </w:sdtContent>
            </w:sdt>
          </w:p>
        </w:tc>
      </w:tr>
    </w:tbl>
    <w:p w14:paraId="693B8896" w14:textId="77777777" w:rsidR="00321874" w:rsidRPr="00E72249" w:rsidRDefault="00321874" w:rsidP="00735D34">
      <w:pPr>
        <w:spacing w:before="60" w:after="60" w:line="240" w:lineRule="auto"/>
        <w:jc w:val="both"/>
        <w:rPr>
          <w:rFonts w:ascii="Calibri Light" w:hAnsi="Calibri Light" w:cs="Calibri Light"/>
          <w:b/>
          <w:i/>
          <w:color w:val="000000" w:themeColor="text1"/>
          <w:sz w:val="20"/>
          <w:szCs w:val="20"/>
        </w:rPr>
      </w:pPr>
    </w:p>
    <w:p w14:paraId="65C4F7D8" w14:textId="0231CA9D" w:rsidR="00735D34" w:rsidRPr="00E72249" w:rsidRDefault="00E72249" w:rsidP="00735D34">
      <w:pPr>
        <w:spacing w:before="60" w:after="60" w:line="240" w:lineRule="auto"/>
        <w:jc w:val="both"/>
        <w:rPr>
          <w:rFonts w:ascii="Calibri Light" w:hAnsi="Calibri Light" w:cs="Calibri Light"/>
          <w:b/>
          <w:i/>
          <w:color w:val="000000" w:themeColor="text1"/>
          <w:sz w:val="20"/>
          <w:szCs w:val="20"/>
        </w:rPr>
      </w:pPr>
      <w:r w:rsidRPr="00E72249">
        <w:rPr>
          <w:rFonts w:ascii="Calibri Light" w:hAnsi="Calibri Light" w:cs="Calibri Light"/>
          <w:b/>
          <w:i/>
          <w:color w:val="000000" w:themeColor="text1"/>
          <w:sz w:val="20"/>
          <w:szCs w:val="20"/>
        </w:rPr>
        <w:t>P</w:t>
      </w:r>
      <w:r w:rsidR="00735D34" w:rsidRPr="00E72249">
        <w:rPr>
          <w:rFonts w:ascii="Calibri Light" w:hAnsi="Calibri Light" w:cs="Calibri Light"/>
          <w:b/>
          <w:i/>
          <w:color w:val="000000" w:themeColor="text1"/>
          <w:sz w:val="20"/>
          <w:szCs w:val="20"/>
        </w:rPr>
        <w:t>irkimo objektui taikomi VPĮ 37 str.</w:t>
      </w:r>
      <w:r w:rsidR="00D12884" w:rsidRPr="00E72249">
        <w:rPr>
          <w:rFonts w:ascii="Calibri Light" w:hAnsi="Calibri Light" w:cs="Calibri Light"/>
          <w:b/>
          <w:i/>
          <w:color w:val="000000" w:themeColor="text1"/>
          <w:sz w:val="20"/>
          <w:szCs w:val="20"/>
        </w:rPr>
        <w:t xml:space="preserve"> </w:t>
      </w:r>
      <w:r w:rsidR="00735D34" w:rsidRPr="00E72249">
        <w:rPr>
          <w:rFonts w:ascii="Calibri Light" w:hAnsi="Calibri Light" w:cs="Calibri Light"/>
          <w:b/>
          <w:i/>
          <w:color w:val="000000" w:themeColor="text1"/>
          <w:sz w:val="20"/>
          <w:szCs w:val="20"/>
        </w:rPr>
        <w:t>8 dalies reikalavimai</w:t>
      </w:r>
      <w:r w:rsidR="00683C0C" w:rsidRPr="00E72249">
        <w:rPr>
          <w:rFonts w:ascii="Calibri Light" w:hAnsi="Calibri Light" w:cs="Calibri Light"/>
          <w:b/>
          <w:i/>
          <w:color w:val="000000" w:themeColor="text1"/>
          <w:sz w:val="20"/>
          <w:szCs w:val="20"/>
        </w:rPr>
        <w:t>,</w:t>
      </w:r>
      <w:r w:rsidR="00735D34" w:rsidRPr="00E72249">
        <w:rPr>
          <w:rFonts w:ascii="Calibri Light" w:hAnsi="Calibri Light" w:cs="Calibri Light"/>
          <w:b/>
          <w:i/>
          <w:color w:val="000000" w:themeColor="text1"/>
          <w:sz w:val="20"/>
          <w:szCs w:val="20"/>
        </w:rPr>
        <w:t xml:space="preserve"> susiję su nacionaliniu saugumu</w:t>
      </w:r>
      <w:r w:rsidR="001D3FDB" w:rsidRPr="00E72249">
        <w:rPr>
          <w:rFonts w:ascii="Calibri Light" w:hAnsi="Calibri Light" w:cs="Calibri Light"/>
          <w:b/>
          <w:i/>
          <w:color w:val="000000" w:themeColor="text1"/>
          <w:sz w:val="20"/>
          <w:szCs w:val="20"/>
        </w:rPr>
        <w:t>:</w:t>
      </w:r>
      <w:r w:rsidR="00735D34" w:rsidRPr="00E72249">
        <w:rPr>
          <w:rFonts w:ascii="Calibri Light" w:hAnsi="Calibri Light" w:cs="Calibri Light"/>
          <w:b/>
          <w:i/>
          <w:color w:val="000000" w:themeColor="text1"/>
          <w:sz w:val="20"/>
          <w:szCs w:val="20"/>
        </w:rPr>
        <w:t xml:space="preserve"> </w:t>
      </w:r>
    </w:p>
    <w:p w14:paraId="4C5E094B" w14:textId="5B0F7643" w:rsidR="00735D34" w:rsidRPr="00E72249" w:rsidRDefault="000D77EF" w:rsidP="00735D34">
      <w:pPr>
        <w:spacing w:before="60" w:after="60" w:line="240" w:lineRule="auto"/>
        <w:jc w:val="both"/>
        <w:rPr>
          <w:rFonts w:ascii="Calibri Light" w:hAnsi="Calibri Light" w:cs="Calibri Light"/>
          <w:color w:val="000000" w:themeColor="text1"/>
          <w:sz w:val="20"/>
          <w:szCs w:val="20"/>
        </w:rPr>
      </w:pPr>
      <w:bookmarkStart w:id="0" w:name="_Hlk199854523"/>
      <w:r w:rsidRPr="00E72249">
        <w:rPr>
          <w:rFonts w:ascii="Calibri Light" w:eastAsia="Times New Roman" w:hAnsi="Calibri Light" w:cs="Calibri Light"/>
          <w:sz w:val="20"/>
          <w:szCs w:val="20"/>
        </w:rPr>
        <w:t xml:space="preserve">Tiekėjo siūlomos </w:t>
      </w:r>
      <w:r w:rsidRPr="00E72249">
        <w:rPr>
          <w:rFonts w:ascii="Calibri Light" w:eastAsia="Times New Roman" w:hAnsi="Calibri Light" w:cs="Calibri Light"/>
          <w:b/>
          <w:bCs/>
          <w:color w:val="000000" w:themeColor="text1"/>
          <w:sz w:val="20"/>
          <w:szCs w:val="20"/>
        </w:rPr>
        <w:t>prekės (įskaitant jų gamintojus)</w:t>
      </w:r>
      <w:r w:rsidRPr="00E72249">
        <w:rPr>
          <w:rFonts w:ascii="Calibri Light" w:eastAsia="Times New Roman" w:hAnsi="Calibri Light" w:cs="Calibri Light"/>
          <w:color w:val="000000" w:themeColor="text1"/>
          <w:sz w:val="20"/>
          <w:szCs w:val="20"/>
        </w:rPr>
        <w:t xml:space="preserve"> </w:t>
      </w:r>
      <w:r w:rsidRPr="00E72249">
        <w:rPr>
          <w:rFonts w:ascii="Calibri Light" w:eastAsia="Times New Roman" w:hAnsi="Calibri Light" w:cs="Calibri Light"/>
          <w:sz w:val="20"/>
          <w:szCs w:val="20"/>
        </w:rPr>
        <w:t>turi nekelti grėsmės nacionaliniam saugumui, kaip nurodyta VPĮ 37 straipsnio 8 dalyje. Perkančioji organizacija</w:t>
      </w:r>
      <w:r w:rsidRPr="00E72249">
        <w:rPr>
          <w:rFonts w:ascii="Calibri Light" w:eastAsia="Times New Roman" w:hAnsi="Calibri Light" w:cs="Calibri Light"/>
          <w:sz w:val="20"/>
          <w:szCs w:val="20"/>
          <w:u w:val="single"/>
        </w:rPr>
        <w:t xml:space="preserve"> reikalauja, kad </w:t>
      </w:r>
      <w:r w:rsidRPr="00E72249">
        <w:rPr>
          <w:rFonts w:ascii="Calibri Light" w:eastAsia="Times New Roman" w:hAnsi="Calibri Light" w:cs="Calibri Light"/>
          <w:sz w:val="20"/>
          <w:szCs w:val="20"/>
        </w:rPr>
        <w:t xml:space="preserve">tiekėjo siūlomos </w:t>
      </w:r>
      <w:r w:rsidRPr="00E72249">
        <w:rPr>
          <w:rFonts w:ascii="Calibri Light" w:eastAsia="Times New Roman" w:hAnsi="Calibri Light" w:cs="Calibri Light"/>
          <w:b/>
          <w:bCs/>
          <w:color w:val="000000" w:themeColor="text1"/>
          <w:sz w:val="20"/>
          <w:szCs w:val="20"/>
        </w:rPr>
        <w:t>prekės (įskaitant jų gamintojus)</w:t>
      </w:r>
      <w:r w:rsidRPr="00E72249">
        <w:rPr>
          <w:rFonts w:ascii="Calibri Light" w:eastAsia="Times New Roman" w:hAnsi="Calibri Light" w:cs="Calibri Light"/>
          <w:color w:val="000000" w:themeColor="text1"/>
          <w:sz w:val="20"/>
          <w:szCs w:val="20"/>
        </w:rPr>
        <w:t xml:space="preserve"> </w:t>
      </w:r>
      <w:r w:rsidRPr="00E72249">
        <w:rPr>
          <w:rFonts w:ascii="Calibri Light" w:eastAsia="Times New Roman" w:hAnsi="Calibri Light" w:cs="Calibri Light"/>
          <w:sz w:val="20"/>
          <w:szCs w:val="20"/>
        </w:rPr>
        <w:t>nekeltų grėsmės nacionaliniam saugumui, kai sandorio pagrindu susidarytų aplinkybės, nurodytos Nacionaliniam saugumui užtikrinti svarbių objektų apsaugos įstatymo 13 straipsnio 4 dalies 1 punkte.</w:t>
      </w:r>
      <w:r w:rsidRPr="00E72249" w:rsidDel="00A660A0">
        <w:rPr>
          <w:rFonts w:ascii="Calibri Light" w:eastAsia="Times New Roman" w:hAnsi="Calibri Light" w:cs="Calibri Light"/>
          <w:sz w:val="20"/>
          <w:szCs w:val="20"/>
        </w:rPr>
        <w:t xml:space="preserve"> </w:t>
      </w:r>
      <w:r w:rsidRPr="00E72249">
        <w:rPr>
          <w:rFonts w:ascii="Calibri Light" w:eastAsia="Times New Roman" w:hAnsi="Calibri Light" w:cs="Calibri Light"/>
          <w:sz w:val="20"/>
          <w:szCs w:val="20"/>
        </w:rPr>
        <w:t>Laikoma, kad tiekėjo siūlomos</w:t>
      </w:r>
      <w:r w:rsidRPr="00E72249">
        <w:rPr>
          <w:rFonts w:ascii="Calibri Light" w:eastAsia="Times New Roman" w:hAnsi="Calibri Light" w:cs="Calibri Light"/>
          <w:b/>
          <w:bCs/>
          <w:color w:val="000000" w:themeColor="text1"/>
          <w:sz w:val="20"/>
          <w:szCs w:val="20"/>
        </w:rPr>
        <w:t xml:space="preserve"> prekės (įskaitant jų gamintojus)</w:t>
      </w:r>
      <w:r w:rsidRPr="00E72249">
        <w:rPr>
          <w:rFonts w:ascii="Calibri Light" w:eastAsia="Times New Roman" w:hAnsi="Calibri Light" w:cs="Calibri Light"/>
          <w:color w:val="000000" w:themeColor="text1"/>
          <w:sz w:val="20"/>
          <w:szCs w:val="20"/>
        </w:rPr>
        <w:t xml:space="preserve"> </w:t>
      </w:r>
      <w:r w:rsidRPr="00E72249">
        <w:rPr>
          <w:rFonts w:ascii="Calibri Light" w:eastAsia="Times New Roman" w:hAnsi="Calibri Light" w:cs="Calibri Light"/>
          <w:sz w:val="20"/>
          <w:szCs w:val="20"/>
        </w:rPr>
        <w:t xml:space="preserve">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w:t>
      </w:r>
      <w:r w:rsidRPr="00E72249">
        <w:rPr>
          <w:rFonts w:ascii="Calibri Light" w:eastAsia="Times New Roman" w:hAnsi="Calibri Light" w:cs="Calibri Light"/>
          <w:color w:val="000000" w:themeColor="text1"/>
          <w:sz w:val="20"/>
          <w:szCs w:val="20"/>
        </w:rPr>
        <w:t>tiekėjo pašalinimo pagrindų nebuvimą</w:t>
      </w:r>
      <w:r w:rsidR="004440E7" w:rsidRPr="00E72249">
        <w:rPr>
          <w:rFonts w:ascii="Calibri Light" w:eastAsia="Times New Roman" w:hAnsi="Calibri Light" w:cs="Calibri Light"/>
          <w:color w:val="000000" w:themeColor="text1"/>
          <w:sz w:val="20"/>
          <w:szCs w:val="20"/>
        </w:rPr>
        <w:t xml:space="preserve"> [jei taikoma]</w:t>
      </w:r>
      <w:r w:rsidRPr="00E72249">
        <w:rPr>
          <w:rFonts w:ascii="Calibri Light" w:eastAsia="Times New Roman" w:hAnsi="Calibri Light" w:cs="Calibri Light"/>
          <w:color w:val="000000" w:themeColor="text1"/>
          <w:sz w:val="20"/>
          <w:szCs w:val="20"/>
        </w:rPr>
        <w:t>, atitikimą SS nustatytiems kvalifikacijos reikalavimams</w:t>
      </w:r>
      <w:r w:rsidR="004440E7" w:rsidRPr="00E72249">
        <w:rPr>
          <w:rFonts w:ascii="Calibri Light" w:eastAsia="Times New Roman" w:hAnsi="Calibri Light" w:cs="Calibri Light"/>
          <w:color w:val="000000" w:themeColor="text1"/>
          <w:sz w:val="20"/>
          <w:szCs w:val="20"/>
        </w:rPr>
        <w:t xml:space="preserve"> [jei taikoma]</w:t>
      </w:r>
      <w:r w:rsidRPr="00E72249">
        <w:rPr>
          <w:rFonts w:ascii="Calibri Light" w:eastAsia="Times New Roman" w:hAnsi="Calibri Light" w:cs="Calibri Light"/>
          <w:color w:val="000000" w:themeColor="text1"/>
          <w:sz w:val="20"/>
          <w:szCs w:val="20"/>
        </w:rPr>
        <w:t>, kokybės vadybos sistemos ir (arba) aplinkos apsaugos vadybos sistemos standartams</w:t>
      </w:r>
      <w:r w:rsidR="004440E7" w:rsidRPr="00E72249">
        <w:rPr>
          <w:rFonts w:ascii="Calibri Light" w:eastAsia="Times New Roman" w:hAnsi="Calibri Light" w:cs="Calibri Light"/>
          <w:color w:val="000000" w:themeColor="text1"/>
          <w:sz w:val="20"/>
          <w:szCs w:val="20"/>
        </w:rPr>
        <w:t xml:space="preserve"> [jei taikoma]</w:t>
      </w:r>
      <w:r w:rsidRPr="00E72249">
        <w:rPr>
          <w:rFonts w:ascii="Calibri Light" w:eastAsia="Times New Roman" w:hAnsi="Calibri Light" w:cs="Calibri Light"/>
          <w:color w:val="000000" w:themeColor="text1"/>
          <w:sz w:val="20"/>
          <w:szCs w:val="20"/>
        </w:rPr>
        <w:t xml:space="preserve"> bei </w:t>
      </w:r>
      <w:r w:rsidRPr="00E72249">
        <w:rPr>
          <w:rFonts w:ascii="Calibri Light" w:eastAsia="Times New Roman" w:hAnsi="Calibri Light" w:cs="Calibri Light"/>
          <w:bCs/>
          <w:color w:val="000000" w:themeColor="text1"/>
          <w:sz w:val="20"/>
          <w:szCs w:val="20"/>
        </w:rPr>
        <w:t>Lietuvos Respublikos viešųjų pirkimų įstatymo</w:t>
      </w:r>
      <w:r w:rsidRPr="00E72249">
        <w:rPr>
          <w:rFonts w:ascii="Calibri Light" w:eastAsia="Times New Roman" w:hAnsi="Calibri Light" w:cs="Calibri Light"/>
          <w:color w:val="000000" w:themeColor="text1"/>
          <w:sz w:val="20"/>
          <w:szCs w:val="20"/>
        </w:rPr>
        <w:t xml:space="preserve"> 37 straipsnio 9 dalies reikalavimams, susijusiems su nacionaliniu saugumu</w:t>
      </w:r>
      <w:r w:rsidR="004440E7" w:rsidRPr="00E72249">
        <w:rPr>
          <w:rFonts w:ascii="Calibri Light" w:eastAsia="Times New Roman" w:hAnsi="Calibri Light" w:cs="Calibri Light"/>
          <w:color w:val="000000" w:themeColor="text1"/>
          <w:sz w:val="20"/>
          <w:szCs w:val="20"/>
        </w:rPr>
        <w:t xml:space="preserve"> [jei taikoma]</w:t>
      </w:r>
      <w:r w:rsidR="00735D34" w:rsidRPr="00E72249">
        <w:rPr>
          <w:rFonts w:ascii="Calibri Light" w:hAnsi="Calibri Light" w:cs="Calibri Light"/>
          <w:color w:val="000000" w:themeColor="text1"/>
          <w:sz w:val="20"/>
          <w:szCs w:val="20"/>
        </w:rPr>
        <w:t>.</w:t>
      </w:r>
    </w:p>
    <w:p w14:paraId="2200878C" w14:textId="77777777" w:rsidR="00D12884" w:rsidRPr="00766551" w:rsidRDefault="00D12884" w:rsidP="00735D34">
      <w:pPr>
        <w:spacing w:before="60" w:after="60" w:line="240" w:lineRule="auto"/>
        <w:jc w:val="both"/>
        <w:rPr>
          <w:rFonts w:ascii="Calibri Light" w:hAnsi="Calibri Light" w:cs="Calibri Light"/>
          <w:color w:val="000000" w:themeColor="text1"/>
          <w:sz w:val="20"/>
          <w:szCs w:val="20"/>
        </w:rPr>
      </w:pPr>
    </w:p>
    <w:p w14:paraId="35A5660C" w14:textId="4CC9C3C1" w:rsidR="00E53C87" w:rsidRPr="00766551" w:rsidRDefault="00E72249" w:rsidP="00D12884">
      <w:pPr>
        <w:spacing w:before="60" w:after="60" w:line="240" w:lineRule="auto"/>
        <w:jc w:val="both"/>
        <w:rPr>
          <w:rFonts w:ascii="Calibri Light" w:hAnsi="Calibri Light" w:cs="Calibri Light"/>
          <w:b/>
          <w:i/>
          <w:color w:val="000000" w:themeColor="text1"/>
          <w:sz w:val="20"/>
          <w:szCs w:val="20"/>
        </w:rPr>
      </w:pPr>
      <w:r w:rsidRPr="00766551">
        <w:rPr>
          <w:rFonts w:ascii="Calibri Light" w:hAnsi="Calibri Light" w:cs="Calibri Light"/>
          <w:b/>
          <w:i/>
          <w:color w:val="000000" w:themeColor="text1"/>
          <w:sz w:val="20"/>
          <w:szCs w:val="20"/>
        </w:rPr>
        <w:t>P</w:t>
      </w:r>
      <w:r w:rsidR="00D12884" w:rsidRPr="00766551">
        <w:rPr>
          <w:rFonts w:ascii="Calibri Light" w:hAnsi="Calibri Light" w:cs="Calibri Light"/>
          <w:b/>
          <w:i/>
          <w:color w:val="000000" w:themeColor="text1"/>
          <w:sz w:val="20"/>
          <w:szCs w:val="20"/>
        </w:rPr>
        <w:t>irkimo objektui taikomi VPĮ 37 str. 9 dalies reikalavimai susiję su nacionaliniu saugumu</w:t>
      </w:r>
      <w:r w:rsidR="00E53C87" w:rsidRPr="00766551">
        <w:rPr>
          <w:rFonts w:ascii="Calibri Light" w:hAnsi="Calibri Light" w:cs="Calibri Light"/>
          <w:b/>
          <w:i/>
          <w:color w:val="000000" w:themeColor="text1"/>
          <w:sz w:val="20"/>
          <w:szCs w:val="20"/>
        </w:rPr>
        <w:t>:</w:t>
      </w:r>
    </w:p>
    <w:p w14:paraId="77DB0B8A" w14:textId="6F97ECD2" w:rsidR="00D12884" w:rsidRPr="00766551" w:rsidRDefault="00E53C87" w:rsidP="00D12884">
      <w:pPr>
        <w:spacing w:before="60" w:after="60" w:line="240" w:lineRule="auto"/>
        <w:jc w:val="both"/>
        <w:rPr>
          <w:rFonts w:ascii="Calibri Light" w:hAnsi="Calibri Light" w:cs="Calibri Light"/>
          <w:b/>
          <w:i/>
          <w:color w:val="000000" w:themeColor="text1"/>
          <w:sz w:val="20"/>
          <w:szCs w:val="20"/>
        </w:rPr>
      </w:pPr>
      <w:r w:rsidRPr="00766551">
        <w:rPr>
          <w:rFonts w:ascii="Calibri Light" w:hAnsi="Calibri Light" w:cs="Calibri Light"/>
          <w:b/>
          <w:color w:val="000000" w:themeColor="text1"/>
          <w:sz w:val="20"/>
          <w:szCs w:val="20"/>
          <w:u w:val="single"/>
        </w:rPr>
        <w:t>Pirkimo objektui taikomi Lietuvos Respublikos viešųjų pirkimų įstatymo 37 str. 9 dalies reikalavimai susiję su nacionaliniu saugumu</w:t>
      </w:r>
      <w:r w:rsidRPr="00766551">
        <w:rPr>
          <w:rFonts w:ascii="Calibri Light" w:hAnsi="Calibri Light" w:cs="Calibri Light"/>
          <w:color w:val="000000" w:themeColor="text1"/>
          <w:sz w:val="20"/>
          <w:szCs w:val="20"/>
        </w:rPr>
        <w:t xml:space="preserve">. </w:t>
      </w:r>
      <w:r w:rsidR="00D12884" w:rsidRPr="00766551">
        <w:rPr>
          <w:rFonts w:ascii="Calibri Light" w:hAnsi="Calibri Light" w:cs="Calibri Light"/>
          <w:b/>
          <w:i/>
          <w:color w:val="000000" w:themeColor="text1"/>
          <w:sz w:val="20"/>
          <w:szCs w:val="20"/>
        </w:rPr>
        <w:t xml:space="preserve"> </w:t>
      </w:r>
    </w:p>
    <w:p w14:paraId="4E9759C3" w14:textId="77777777" w:rsidR="00735D34" w:rsidRPr="00766551" w:rsidRDefault="00735D34" w:rsidP="00735D34">
      <w:pPr>
        <w:spacing w:before="60" w:after="60" w:line="240" w:lineRule="auto"/>
        <w:jc w:val="both"/>
        <w:rPr>
          <w:rFonts w:ascii="Calibri Light" w:hAnsi="Calibri Light" w:cs="Calibri Light"/>
          <w:color w:val="000000" w:themeColor="text1"/>
          <w:sz w:val="20"/>
          <w:szCs w:val="20"/>
        </w:rPr>
      </w:pPr>
      <w:r w:rsidRPr="00766551">
        <w:rPr>
          <w:rFonts w:ascii="Calibri Light" w:hAnsi="Calibri Light" w:cs="Calibri Light"/>
          <w:color w:val="000000" w:themeColor="text1"/>
          <w:sz w:val="20"/>
          <w:szCs w:val="20"/>
        </w:rPr>
        <w:t xml:space="preserve">Tiekėjas privalo įrodyti, kad prekės ar paslaugos nekelia grėsmės nacionaliniam saugumui, nėra toliau nurodytų aplinkybių: </w:t>
      </w:r>
    </w:p>
    <w:p w14:paraId="1F5B6DAD" w14:textId="401B8523" w:rsidR="00735D34" w:rsidRPr="00E7788A" w:rsidRDefault="00735D34" w:rsidP="00735D34">
      <w:pPr>
        <w:spacing w:before="60" w:after="60" w:line="240" w:lineRule="auto"/>
        <w:jc w:val="both"/>
        <w:rPr>
          <w:rFonts w:ascii="Calibri Light" w:hAnsi="Calibri Light" w:cs="Calibri Light"/>
          <w:sz w:val="20"/>
          <w:szCs w:val="20"/>
        </w:rPr>
      </w:pPr>
      <w:r w:rsidRPr="00766551">
        <w:rPr>
          <w:rFonts w:ascii="Calibri Light" w:hAnsi="Calibri Light" w:cs="Calibri Light"/>
          <w:color w:val="000000" w:themeColor="text1"/>
          <w:sz w:val="20"/>
          <w:szCs w:val="20"/>
        </w:rPr>
        <w:t xml:space="preserve">1) </w:t>
      </w:r>
      <w:r w:rsidR="00D40DF5" w:rsidRPr="00766551">
        <w:rPr>
          <w:rFonts w:ascii="Calibri Light" w:hAnsi="Calibri Light" w:cs="Calibri Light"/>
          <w:color w:val="000000" w:themeColor="text1"/>
          <w:sz w:val="20"/>
          <w:szCs w:val="20"/>
        </w:rPr>
        <w:t xml:space="preserve">prekių </w:t>
      </w:r>
      <w:r w:rsidRPr="00766551">
        <w:rPr>
          <w:rFonts w:ascii="Calibri Light" w:hAnsi="Calibri Light" w:cs="Calibri Light"/>
          <w:color w:val="000000" w:themeColor="text1"/>
          <w:sz w:val="20"/>
          <w:szCs w:val="20"/>
        </w:rPr>
        <w:t xml:space="preserve">gamintojas ar </w:t>
      </w:r>
      <w:r w:rsidRPr="00E7788A">
        <w:rPr>
          <w:rFonts w:ascii="Calibri Light" w:hAnsi="Calibri Light" w:cs="Calibri Light"/>
          <w:sz w:val="20"/>
          <w:szCs w:val="20"/>
        </w:rPr>
        <w:t>jį kontroliuojantis asmuo yra registruoti (jeigu gamintojas ar jį kontroliuojantis asmuo yra fizinis asmuo – nuolat gyvenantis ar turintis pilietybę) VPĮ 92 straipsnio 14 dalyje numatytame sąraše nurodytose valstybėse ar teritorijose;</w:t>
      </w:r>
    </w:p>
    <w:p w14:paraId="586D7271" w14:textId="333631CA" w:rsidR="001D3FDB" w:rsidRPr="00E7788A" w:rsidRDefault="001D3FDB" w:rsidP="00E7788A">
      <w:pPr>
        <w:spacing w:before="60" w:after="60" w:line="240" w:lineRule="auto"/>
        <w:jc w:val="both"/>
        <w:rPr>
          <w:rFonts w:ascii="Calibri Light" w:hAnsi="Calibri Light" w:cs="Calibri Light"/>
          <w:b/>
          <w:sz w:val="20"/>
          <w:szCs w:val="20"/>
        </w:rPr>
      </w:pPr>
      <w:r w:rsidRPr="00E7788A">
        <w:rPr>
          <w:rFonts w:ascii="Calibri Light" w:hAnsi="Calibri Light" w:cs="Calibri Light"/>
          <w:b/>
          <w:sz w:val="20"/>
          <w:szCs w:val="20"/>
        </w:rPr>
        <w:t xml:space="preserve">Perkančioji organizacija pasiūlymo atitikties LR viešųjų pirkimų įstatymo 37 straipsnio 9 dalies reikalavimams patvirtinimui, iš tiekėjo reikalauja  </w:t>
      </w:r>
      <w:r w:rsidRPr="00E7788A">
        <w:rPr>
          <w:rFonts w:ascii="Calibri Light" w:hAnsi="Calibri Light" w:cs="Calibri Light"/>
          <w:b/>
          <w:bCs/>
          <w:sz w:val="20"/>
          <w:szCs w:val="20"/>
        </w:rPr>
        <w:t>KARTU SU PASIŪLYMU</w:t>
      </w:r>
      <w:r w:rsidRPr="00E7788A">
        <w:rPr>
          <w:rFonts w:ascii="Calibri Light" w:hAnsi="Calibri Light" w:cs="Calibri Light"/>
          <w:sz w:val="20"/>
          <w:szCs w:val="20"/>
        </w:rPr>
        <w:t xml:space="preserve"> </w:t>
      </w:r>
      <w:r w:rsidRPr="00E7788A">
        <w:rPr>
          <w:rFonts w:ascii="Calibri Light" w:hAnsi="Calibri Light" w:cs="Calibri Light"/>
          <w:b/>
          <w:bCs/>
          <w:sz w:val="20"/>
          <w:szCs w:val="20"/>
        </w:rPr>
        <w:t>PATEIKTI užpildytą pirkimo dokumentą „Nacionalinio saugumo reikalavimų atitikties deklaracija“ (</w:t>
      </w:r>
      <w:r w:rsidR="003C3231" w:rsidRPr="00E7788A">
        <w:rPr>
          <w:rFonts w:ascii="Calibri Light" w:hAnsi="Calibri Light" w:cs="Calibri Light"/>
          <w:b/>
          <w:bCs/>
          <w:sz w:val="20"/>
          <w:szCs w:val="20"/>
        </w:rPr>
        <w:t>6</w:t>
      </w:r>
      <w:r w:rsidRPr="00E7788A">
        <w:rPr>
          <w:rFonts w:ascii="Calibri Light" w:hAnsi="Calibri Light" w:cs="Calibri Light"/>
          <w:b/>
          <w:bCs/>
          <w:sz w:val="20"/>
          <w:szCs w:val="20"/>
        </w:rPr>
        <w:t xml:space="preserve"> </w:t>
      </w:r>
      <w:r w:rsidR="000E1C43">
        <w:rPr>
          <w:rFonts w:ascii="Calibri Light" w:hAnsi="Calibri Light" w:cs="Calibri Light"/>
          <w:b/>
          <w:bCs/>
          <w:sz w:val="20"/>
          <w:szCs w:val="20"/>
        </w:rPr>
        <w:t>IA</w:t>
      </w:r>
      <w:r w:rsidRPr="00E7788A">
        <w:rPr>
          <w:rFonts w:ascii="Calibri Light" w:hAnsi="Calibri Light" w:cs="Calibri Light"/>
          <w:b/>
          <w:bCs/>
          <w:sz w:val="20"/>
          <w:szCs w:val="20"/>
        </w:rPr>
        <w:t xml:space="preserve"> PD</w:t>
      </w:r>
      <w:r w:rsidR="00995FF6">
        <w:rPr>
          <w:rFonts w:ascii="Calibri Light" w:hAnsi="Calibri Light" w:cs="Calibri Light"/>
          <w:b/>
          <w:bCs/>
          <w:sz w:val="20"/>
          <w:szCs w:val="20"/>
        </w:rPr>
        <w:t xml:space="preserve"> NSRAD</w:t>
      </w:r>
      <w:r w:rsidRPr="00E7788A">
        <w:rPr>
          <w:rFonts w:ascii="Calibri Light" w:hAnsi="Calibri Light" w:cs="Calibri Light"/>
          <w:b/>
          <w:bCs/>
          <w:sz w:val="20"/>
          <w:szCs w:val="20"/>
        </w:rPr>
        <w:t xml:space="preserve">), o iš ekonomiškai naudingiausią pasiūlymą pateikusio tiekėjo reikalaus pateikti (kartu su pasiūlymu šių dokumentų tiekėjas pateikti neturi) – vieną ar kelis šiuos dokumentus: </w:t>
      </w:r>
      <w:r w:rsidRPr="00E7788A">
        <w:rPr>
          <w:rFonts w:ascii="Calibri Light" w:hAnsi="Calibri Light" w:cs="Calibri Light"/>
          <w:b/>
          <w:sz w:val="20"/>
          <w:szCs w:val="20"/>
        </w:rPr>
        <w:t xml:space="preserve">juridinio asmens vadovo </w:t>
      </w:r>
      <w:r w:rsidRPr="00E7788A">
        <w:rPr>
          <w:rFonts w:ascii="Calibri Light" w:hAnsi="Calibri Light" w:cs="Calibri Light"/>
          <w:b/>
          <w:bCs/>
          <w:sz w:val="20"/>
          <w:szCs w:val="20"/>
        </w:rPr>
        <w:t>patvirtintą</w:t>
      </w:r>
      <w:r w:rsidRPr="00E7788A">
        <w:rPr>
          <w:rFonts w:ascii="Calibri Light" w:hAnsi="Calibri Light" w:cs="Calibri Light"/>
          <w:b/>
          <w:sz w:val="20"/>
          <w:szCs w:val="20"/>
        </w:rPr>
        <w:t xml:space="preserve"> juridinio asmens steigimo dokumentų </w:t>
      </w:r>
      <w:r w:rsidRPr="00E7788A">
        <w:rPr>
          <w:rFonts w:ascii="Calibri Light" w:hAnsi="Calibri Light" w:cs="Calibri Light"/>
          <w:b/>
          <w:bCs/>
          <w:sz w:val="20"/>
          <w:szCs w:val="20"/>
        </w:rPr>
        <w:t>kopiją</w:t>
      </w:r>
      <w:r w:rsidRPr="00E7788A">
        <w:rPr>
          <w:rFonts w:ascii="Calibri Light" w:hAnsi="Calibri Light" w:cs="Calibri Light"/>
          <w:b/>
          <w:sz w:val="20"/>
          <w:szCs w:val="20"/>
        </w:rPr>
        <w:t xml:space="preserve">, Juridinių asmenų registro </w:t>
      </w:r>
      <w:r w:rsidRPr="00E7788A">
        <w:rPr>
          <w:rFonts w:ascii="Calibri Light" w:hAnsi="Calibri Light" w:cs="Calibri Light"/>
          <w:b/>
          <w:bCs/>
          <w:sz w:val="20"/>
          <w:szCs w:val="20"/>
        </w:rPr>
        <w:t>išplėstinį išrašą</w:t>
      </w:r>
      <w:r w:rsidRPr="00E7788A">
        <w:rPr>
          <w:rFonts w:ascii="Calibri Light" w:hAnsi="Calibri Light" w:cs="Calibri Light"/>
          <w:b/>
          <w:sz w:val="20"/>
          <w:szCs w:val="20"/>
        </w:rPr>
        <w:t xml:space="preserve"> su istorija, </w:t>
      </w:r>
      <w:r w:rsidRPr="00E7788A">
        <w:rPr>
          <w:rFonts w:ascii="Calibri Light" w:hAnsi="Calibri Light" w:cs="Calibri Light"/>
          <w:b/>
          <w:bCs/>
          <w:sz w:val="20"/>
          <w:szCs w:val="20"/>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E7788A">
        <w:rPr>
          <w:rFonts w:ascii="Calibri Light" w:hAnsi="Calibri Light" w:cs="Calibri Light"/>
          <w:b/>
          <w:sz w:val="20"/>
          <w:szCs w:val="20"/>
        </w:rPr>
        <w:t xml:space="preserve"> arba </w:t>
      </w:r>
      <w:r w:rsidRPr="00E7788A">
        <w:rPr>
          <w:rFonts w:ascii="Calibri Light" w:hAnsi="Calibri Light" w:cs="Calibri Light"/>
          <w:b/>
          <w:bCs/>
          <w:sz w:val="20"/>
          <w:szCs w:val="20"/>
        </w:rPr>
        <w:t xml:space="preserve">atitinkamus </w:t>
      </w:r>
      <w:r w:rsidRPr="00E7788A">
        <w:rPr>
          <w:rFonts w:ascii="Calibri Light" w:hAnsi="Calibri Light" w:cs="Calibri Light"/>
          <w:b/>
          <w:sz w:val="20"/>
          <w:szCs w:val="20"/>
        </w:rPr>
        <w:t xml:space="preserve">valstybės narės ar trečiosios šalies </w:t>
      </w:r>
      <w:r w:rsidRPr="00E7788A">
        <w:rPr>
          <w:rFonts w:ascii="Calibri Light" w:hAnsi="Calibri Light" w:cs="Calibri Light"/>
          <w:b/>
          <w:bCs/>
          <w:sz w:val="20"/>
          <w:szCs w:val="20"/>
        </w:rPr>
        <w:t>dokumentus, ar kitus perkančiajai organizacijai priimtinus dokumentus</w:t>
      </w:r>
      <w:r w:rsidRPr="00E7788A">
        <w:rPr>
          <w:rFonts w:ascii="Calibri Light" w:hAnsi="Calibri Light" w:cs="Calibri Light"/>
          <w:b/>
          <w:sz w:val="20"/>
          <w:szCs w:val="20"/>
        </w:rPr>
        <w:t xml:space="preserve"> - </w:t>
      </w:r>
    </w:p>
    <w:p w14:paraId="79CC50DC" w14:textId="53C23C85" w:rsidR="001D3FDB" w:rsidRPr="009879F9" w:rsidRDefault="001D3FDB" w:rsidP="001D3FDB">
      <w:pPr>
        <w:spacing w:before="60" w:after="60" w:line="240" w:lineRule="auto"/>
        <w:rPr>
          <w:rFonts w:asciiTheme="majorHAnsi" w:hAnsiTheme="majorHAnsi" w:cstheme="majorHAnsi"/>
          <w:sz w:val="22"/>
        </w:rPr>
      </w:pPr>
    </w:p>
    <w:p w14:paraId="2E46F2C5" w14:textId="77777777" w:rsidR="001D3FDB" w:rsidRPr="009879F9" w:rsidRDefault="001D3FDB" w:rsidP="005119DD">
      <w:pPr>
        <w:spacing w:before="60" w:after="60" w:line="240" w:lineRule="auto"/>
        <w:jc w:val="both"/>
        <w:rPr>
          <w:rFonts w:asciiTheme="majorHAnsi" w:hAnsiTheme="majorHAnsi" w:cstheme="majorHAnsi"/>
          <w:sz w:val="22"/>
        </w:rPr>
      </w:pPr>
      <w:r w:rsidRPr="009879F9">
        <w:rPr>
          <w:rFonts w:asciiTheme="majorHAnsi" w:hAnsiTheme="majorHAnsi" w:cstheme="majorHAnsi"/>
          <w:bCs/>
          <w:sz w:val="22"/>
        </w:rPr>
        <w:t>Dokumentai, kuriuose nenurodytas jų galiojimo terminas, turi būti išduoti ar atspausdinti iš informacinės sistemos ne anksčiau kaip likus 3 mėnesiams iki tos dienos, kurią perkančiosios organizacijos prašymu tiekėjas turi pateikti dokumentus</w:t>
      </w:r>
      <w:r w:rsidRPr="009879F9">
        <w:rPr>
          <w:rFonts w:asciiTheme="majorHAnsi" w:hAnsiTheme="majorHAnsi" w:cstheme="majorHAnsi"/>
          <w:sz w:val="22"/>
        </w:rPr>
        <w:t>.</w:t>
      </w:r>
    </w:p>
    <w:p w14:paraId="72DC4A4D" w14:textId="77777777" w:rsidR="001D3FDB" w:rsidRPr="009879F9" w:rsidRDefault="001D3FDB" w:rsidP="005119DD">
      <w:pPr>
        <w:spacing w:before="60" w:after="60" w:line="240" w:lineRule="auto"/>
        <w:jc w:val="both"/>
        <w:rPr>
          <w:rFonts w:asciiTheme="majorHAnsi" w:hAnsiTheme="majorHAnsi" w:cstheme="majorHAnsi"/>
          <w:bCs/>
          <w:sz w:val="22"/>
        </w:rPr>
      </w:pPr>
      <w:r w:rsidRPr="009879F9">
        <w:rPr>
          <w:rFonts w:asciiTheme="majorHAnsi" w:hAnsiTheme="majorHAnsi" w:cstheme="majorHAnsi"/>
          <w:bCs/>
          <w:sz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bookmarkEnd w:id="0"/>
    <w:p w14:paraId="1C2B356B" w14:textId="77777777" w:rsidR="009879F9" w:rsidRPr="009879F9" w:rsidRDefault="009879F9" w:rsidP="00766551">
      <w:pPr>
        <w:spacing w:after="0" w:line="240" w:lineRule="auto"/>
        <w:jc w:val="both"/>
        <w:rPr>
          <w:rFonts w:asciiTheme="majorHAnsi" w:hAnsiTheme="majorHAnsi" w:cstheme="majorHAnsi"/>
          <w:b/>
          <w:sz w:val="22"/>
        </w:rPr>
      </w:pPr>
    </w:p>
    <w:p w14:paraId="40AD0AFC" w14:textId="77777777" w:rsidR="009879F9" w:rsidRPr="009879F9" w:rsidRDefault="009879F9" w:rsidP="00766551">
      <w:pPr>
        <w:spacing w:after="0" w:line="240" w:lineRule="auto"/>
        <w:jc w:val="both"/>
        <w:rPr>
          <w:rFonts w:asciiTheme="majorHAnsi" w:hAnsiTheme="majorHAnsi" w:cstheme="majorHAnsi"/>
          <w:b/>
          <w:sz w:val="22"/>
        </w:rPr>
      </w:pPr>
      <w:r w:rsidRPr="009879F9">
        <w:rPr>
          <w:rFonts w:asciiTheme="majorHAnsi" w:hAnsiTheme="majorHAnsi" w:cstheme="majorHAnsi"/>
          <w:b/>
          <w:sz w:val="22"/>
        </w:rPr>
        <w:t xml:space="preserve">I. BENDROSIOS NUOSTATOS </w:t>
      </w:r>
    </w:p>
    <w:p w14:paraId="5B92BCDB" w14:textId="24D5016B" w:rsidR="009879F9" w:rsidRPr="009879F9" w:rsidRDefault="009879F9" w:rsidP="000A472C">
      <w:pPr>
        <w:numPr>
          <w:ilvl w:val="0"/>
          <w:numId w:val="2"/>
        </w:numPr>
        <w:spacing w:after="0" w:line="240" w:lineRule="auto"/>
        <w:jc w:val="both"/>
        <w:rPr>
          <w:rFonts w:asciiTheme="majorHAnsi" w:hAnsiTheme="majorHAnsi" w:cstheme="majorHAnsi"/>
          <w:iCs/>
          <w:sz w:val="22"/>
        </w:rPr>
      </w:pPr>
      <w:r w:rsidRPr="009879F9">
        <w:rPr>
          <w:rFonts w:asciiTheme="majorHAnsi" w:hAnsiTheme="majorHAnsi" w:cstheme="majorHAnsi"/>
          <w:iCs/>
          <w:sz w:val="22"/>
        </w:rPr>
        <w:t xml:space="preserve">Informatikos ir ryšių departamentas prie Lietuvos Respublikos vidaus reikalų ministerijos (Šventaragio g. 2, LT-011122 Vilnius, įmonės kodas 188601464) (toliau – Perkančioji organizacija) numato </w:t>
      </w:r>
      <w:r>
        <w:rPr>
          <w:rFonts w:asciiTheme="majorHAnsi" w:hAnsiTheme="majorHAnsi" w:cstheme="majorHAnsi"/>
          <w:iCs/>
          <w:sz w:val="22"/>
        </w:rPr>
        <w:t xml:space="preserve">įsigyti suderinamą įrangą turimos </w:t>
      </w:r>
      <w:r w:rsidRPr="009879F9">
        <w:rPr>
          <w:rFonts w:asciiTheme="majorHAnsi" w:hAnsiTheme="majorHAnsi" w:cstheme="majorHAnsi"/>
          <w:iCs/>
          <w:sz w:val="22"/>
        </w:rPr>
        <w:t>telefono stot</w:t>
      </w:r>
      <w:r>
        <w:rPr>
          <w:rFonts w:asciiTheme="majorHAnsi" w:hAnsiTheme="majorHAnsi" w:cstheme="majorHAnsi"/>
          <w:iCs/>
          <w:sz w:val="22"/>
        </w:rPr>
        <w:t>ies</w:t>
      </w:r>
      <w:r w:rsidRPr="009879F9">
        <w:rPr>
          <w:rFonts w:asciiTheme="majorHAnsi" w:hAnsiTheme="majorHAnsi" w:cstheme="majorHAnsi"/>
          <w:iCs/>
          <w:sz w:val="22"/>
        </w:rPr>
        <w:t xml:space="preserve"> AVAYA</w:t>
      </w:r>
      <w:r>
        <w:rPr>
          <w:rFonts w:asciiTheme="majorHAnsi" w:hAnsiTheme="majorHAnsi" w:cstheme="majorHAnsi"/>
          <w:iCs/>
          <w:sz w:val="22"/>
        </w:rPr>
        <w:t xml:space="preserve"> modernizavimui</w:t>
      </w:r>
      <w:r w:rsidRPr="009879F9">
        <w:rPr>
          <w:rFonts w:asciiTheme="majorHAnsi" w:hAnsiTheme="majorHAnsi" w:cstheme="majorHAnsi"/>
          <w:iCs/>
          <w:sz w:val="22"/>
        </w:rPr>
        <w:t>.</w:t>
      </w:r>
    </w:p>
    <w:p w14:paraId="5FFC47CC" w14:textId="25C54927" w:rsidR="000A472C" w:rsidRPr="000A472C" w:rsidRDefault="009879F9" w:rsidP="000A472C">
      <w:pPr>
        <w:pStyle w:val="Sraopastraipa"/>
        <w:numPr>
          <w:ilvl w:val="0"/>
          <w:numId w:val="2"/>
        </w:numPr>
        <w:jc w:val="both"/>
        <w:rPr>
          <w:rFonts w:asciiTheme="majorHAnsi" w:hAnsiTheme="majorHAnsi" w:cstheme="majorHAnsi"/>
          <w:bCs/>
          <w:iCs/>
          <w:sz w:val="22"/>
        </w:rPr>
      </w:pPr>
      <w:r w:rsidRPr="000A472C">
        <w:rPr>
          <w:rFonts w:asciiTheme="majorHAnsi" w:hAnsiTheme="majorHAnsi" w:cstheme="majorHAnsi"/>
          <w:bCs/>
          <w:iCs/>
          <w:sz w:val="22"/>
        </w:rPr>
        <w:t xml:space="preserve">Šiose pirkimo sąlygose pirkimo objektui apibūdinti pateiktos nuorodos į konkretų gamintoją, modelį ar prekės ženklą pateikiamos tik siekiant apibūdinti esamą perkančiosios organizacijos naudojamą infrastruktūrą ir reikiamą suderinamumą. Tiekėjas gali siūlyti lygiaverčius sprendinius, jeigu jie užtikrina visišką fizinį ir funkcinį suderinamumą su perkančiosios organizacijos naudojama </w:t>
      </w:r>
      <w:proofErr w:type="spellStart"/>
      <w:r w:rsidRPr="000A472C">
        <w:rPr>
          <w:rFonts w:asciiTheme="majorHAnsi" w:hAnsiTheme="majorHAnsi" w:cstheme="majorHAnsi"/>
          <w:bCs/>
          <w:iCs/>
          <w:sz w:val="22"/>
        </w:rPr>
        <w:t>Avaya</w:t>
      </w:r>
      <w:proofErr w:type="spellEnd"/>
      <w:r w:rsidRPr="000A472C">
        <w:rPr>
          <w:rFonts w:asciiTheme="majorHAnsi" w:hAnsiTheme="majorHAnsi" w:cstheme="majorHAnsi"/>
          <w:bCs/>
          <w:iCs/>
          <w:sz w:val="22"/>
        </w:rPr>
        <w:t xml:space="preserve"> Aura 10 komunikacijų platforma ir atitinka ne prastesnius techninius bei funkcinius parametrus.</w:t>
      </w:r>
      <w:r w:rsidR="000A472C" w:rsidRPr="000A472C">
        <w:t xml:space="preserve"> </w:t>
      </w:r>
      <w:r w:rsidR="000A472C" w:rsidRPr="000A472C">
        <w:rPr>
          <w:rFonts w:asciiTheme="majorHAnsi" w:hAnsiTheme="majorHAnsi" w:cstheme="majorHAnsi"/>
          <w:bCs/>
          <w:iCs/>
          <w:sz w:val="22"/>
        </w:rPr>
        <w:t>Siūlomų „lygiaverčių“ prekių lygiavertiškumą turi įrodyti tiekėjas.</w:t>
      </w:r>
    </w:p>
    <w:p w14:paraId="6263F949" w14:textId="58D6DA34" w:rsidR="009879F9" w:rsidRPr="005119DD" w:rsidRDefault="009879F9" w:rsidP="00766551">
      <w:pPr>
        <w:numPr>
          <w:ilvl w:val="0"/>
          <w:numId w:val="2"/>
        </w:numPr>
        <w:spacing w:after="0" w:line="240" w:lineRule="auto"/>
        <w:jc w:val="both"/>
        <w:rPr>
          <w:rFonts w:asciiTheme="majorHAnsi" w:hAnsiTheme="majorHAnsi" w:cstheme="majorHAnsi"/>
          <w:sz w:val="22"/>
        </w:rPr>
      </w:pPr>
      <w:r w:rsidRPr="005119DD">
        <w:rPr>
          <w:rFonts w:asciiTheme="majorHAnsi" w:hAnsiTheme="majorHAnsi" w:cstheme="majorHAnsi"/>
          <w:sz w:val="22"/>
        </w:rPr>
        <w:lastRenderedPageBreak/>
        <w:t xml:space="preserve">Jeigu tiekėjas siūlo lygiavertę įrangą, kartu su pasiūlymu turi būti pateikta gamintojo techninė dokumentacija, suderinamumo deklaracija, įrangos aprašymas ar kiti lygiaverčiai dokumentai, patvirtinantys, kad siūloma įranga yra suderinama su perkančiosios organizacijos naudojama </w:t>
      </w:r>
      <w:proofErr w:type="spellStart"/>
      <w:r w:rsidRPr="005119DD">
        <w:rPr>
          <w:rFonts w:asciiTheme="majorHAnsi" w:hAnsiTheme="majorHAnsi" w:cstheme="majorHAnsi"/>
          <w:sz w:val="22"/>
        </w:rPr>
        <w:t>Avaya</w:t>
      </w:r>
      <w:proofErr w:type="spellEnd"/>
      <w:r w:rsidRPr="005119DD">
        <w:rPr>
          <w:rFonts w:asciiTheme="majorHAnsi" w:hAnsiTheme="majorHAnsi" w:cstheme="majorHAnsi"/>
          <w:sz w:val="22"/>
        </w:rPr>
        <w:t xml:space="preserve"> Aura 10 komunikacijų platforma ir atitinka visus techninėje specifikacijoje nustatytus reikalavimus.</w:t>
      </w:r>
    </w:p>
    <w:p w14:paraId="00841FA2" w14:textId="56B4D657" w:rsidR="009879F9" w:rsidRPr="009879F9" w:rsidRDefault="009879F9" w:rsidP="00766551">
      <w:pPr>
        <w:spacing w:after="0" w:line="240" w:lineRule="auto"/>
        <w:jc w:val="both"/>
        <w:rPr>
          <w:rFonts w:asciiTheme="majorHAnsi" w:hAnsiTheme="majorHAnsi" w:cstheme="majorHAnsi"/>
          <w:b/>
          <w:bCs/>
          <w:sz w:val="22"/>
        </w:rPr>
      </w:pPr>
      <w:r w:rsidRPr="009879F9">
        <w:rPr>
          <w:rFonts w:asciiTheme="majorHAnsi" w:hAnsiTheme="majorHAnsi" w:cstheme="majorHAnsi"/>
          <w:b/>
          <w:bCs/>
          <w:sz w:val="22"/>
        </w:rPr>
        <w:t>II. PIRKIMO OBJEKTAS</w:t>
      </w:r>
    </w:p>
    <w:p w14:paraId="67BE4AAA" w14:textId="5729C4B5" w:rsidR="009879F9" w:rsidRDefault="009879F9" w:rsidP="00766551">
      <w:pPr>
        <w:numPr>
          <w:ilvl w:val="0"/>
          <w:numId w:val="2"/>
        </w:numPr>
        <w:spacing w:after="0" w:line="240" w:lineRule="auto"/>
        <w:jc w:val="both"/>
        <w:rPr>
          <w:rFonts w:asciiTheme="majorHAnsi" w:hAnsiTheme="majorHAnsi" w:cstheme="majorHAnsi"/>
          <w:sz w:val="22"/>
        </w:rPr>
      </w:pPr>
      <w:r w:rsidRPr="009879F9">
        <w:rPr>
          <w:rFonts w:asciiTheme="majorHAnsi" w:hAnsiTheme="majorHAnsi" w:cstheme="majorHAnsi"/>
          <w:sz w:val="22"/>
        </w:rPr>
        <w:t>Perkama telekomunikacinė įranga</w:t>
      </w:r>
      <w:r>
        <w:rPr>
          <w:rFonts w:asciiTheme="majorHAnsi" w:hAnsiTheme="majorHAnsi" w:cstheme="majorHAnsi"/>
          <w:sz w:val="22"/>
        </w:rPr>
        <w:t>,</w:t>
      </w:r>
      <w:r w:rsidRPr="009879F9">
        <w:t xml:space="preserve"> </w:t>
      </w:r>
      <w:r w:rsidRPr="009879F9">
        <w:rPr>
          <w:rFonts w:asciiTheme="majorHAnsi" w:hAnsiTheme="majorHAnsi" w:cstheme="majorHAnsi"/>
          <w:sz w:val="22"/>
        </w:rPr>
        <w:t xml:space="preserve">skirta perkančiosios organizacijos naudojamos </w:t>
      </w:r>
      <w:proofErr w:type="spellStart"/>
      <w:r w:rsidRPr="009879F9">
        <w:rPr>
          <w:rFonts w:asciiTheme="majorHAnsi" w:hAnsiTheme="majorHAnsi" w:cstheme="majorHAnsi"/>
          <w:sz w:val="22"/>
        </w:rPr>
        <w:t>Avaya</w:t>
      </w:r>
      <w:proofErr w:type="spellEnd"/>
      <w:r w:rsidRPr="009879F9">
        <w:rPr>
          <w:rFonts w:asciiTheme="majorHAnsi" w:hAnsiTheme="majorHAnsi" w:cstheme="majorHAnsi"/>
          <w:sz w:val="22"/>
        </w:rPr>
        <w:t xml:space="preserve"> Aura 10 komunikacijų platformos modernizavimui: telekomunikacijų sąsajos įrenginys ir DS1/E1 sąsajos moduliai / plokštės arba lygiaverčiai sprendiniai</w:t>
      </w:r>
      <w:r w:rsidR="00B67A40">
        <w:rPr>
          <w:rFonts w:asciiTheme="majorHAnsi" w:hAnsiTheme="majorHAnsi" w:cstheme="majorHAnsi"/>
          <w:sz w:val="22"/>
        </w:rPr>
        <w:t>.</w:t>
      </w:r>
    </w:p>
    <w:p w14:paraId="71476B12" w14:textId="77777777" w:rsidR="00B67A40" w:rsidRPr="00B67A40" w:rsidRDefault="00B67A40" w:rsidP="00766551">
      <w:pPr>
        <w:pStyle w:val="Sraopastraipa"/>
        <w:numPr>
          <w:ilvl w:val="0"/>
          <w:numId w:val="2"/>
        </w:numPr>
        <w:spacing w:after="0" w:line="240" w:lineRule="auto"/>
        <w:jc w:val="both"/>
        <w:rPr>
          <w:rFonts w:asciiTheme="majorHAnsi" w:hAnsiTheme="majorHAnsi" w:cstheme="majorHAnsi"/>
          <w:sz w:val="22"/>
        </w:rPr>
      </w:pPr>
      <w:r w:rsidRPr="00B67A40">
        <w:rPr>
          <w:rFonts w:asciiTheme="majorHAnsi" w:hAnsiTheme="majorHAnsi" w:cstheme="majorHAnsi"/>
          <w:sz w:val="22"/>
        </w:rPr>
        <w:t>Perkama telekomunikacinė įranga virtusi atliekomis, tinka paruošti pakartotinai naudoti ar perdirbti.</w:t>
      </w:r>
    </w:p>
    <w:p w14:paraId="78C397B8" w14:textId="5298E591" w:rsidR="009879F9" w:rsidRPr="00766551" w:rsidRDefault="009879F9" w:rsidP="00766551">
      <w:pPr>
        <w:numPr>
          <w:ilvl w:val="0"/>
          <w:numId w:val="2"/>
        </w:numPr>
        <w:spacing w:after="0" w:line="240" w:lineRule="auto"/>
        <w:jc w:val="both"/>
        <w:rPr>
          <w:rFonts w:asciiTheme="majorHAnsi" w:hAnsiTheme="majorHAnsi" w:cstheme="majorHAnsi"/>
          <w:b/>
          <w:bCs/>
          <w:sz w:val="22"/>
        </w:rPr>
      </w:pPr>
      <w:r w:rsidRPr="005119DD">
        <w:rPr>
          <w:rFonts w:asciiTheme="majorHAnsi" w:hAnsiTheme="majorHAnsi" w:cstheme="majorHAnsi"/>
          <w:b/>
          <w:sz w:val="22"/>
        </w:rPr>
        <w:t xml:space="preserve"> </w:t>
      </w:r>
      <w:proofErr w:type="spellStart"/>
      <w:r w:rsidRPr="005119DD">
        <w:rPr>
          <w:rFonts w:asciiTheme="majorHAnsi" w:hAnsiTheme="majorHAnsi" w:cstheme="majorHAnsi"/>
          <w:b/>
          <w:sz w:val="22"/>
        </w:rPr>
        <w:t>Avaya</w:t>
      </w:r>
      <w:proofErr w:type="spellEnd"/>
      <w:r w:rsidRPr="005119DD">
        <w:rPr>
          <w:rFonts w:asciiTheme="majorHAnsi" w:hAnsiTheme="majorHAnsi" w:cstheme="majorHAnsi"/>
          <w:b/>
          <w:sz w:val="22"/>
        </w:rPr>
        <w:t xml:space="preserve"> </w:t>
      </w:r>
      <w:proofErr w:type="spellStart"/>
      <w:r w:rsidRPr="005119DD">
        <w:rPr>
          <w:rFonts w:asciiTheme="majorHAnsi" w:hAnsiTheme="majorHAnsi" w:cstheme="majorHAnsi"/>
          <w:b/>
          <w:sz w:val="22"/>
        </w:rPr>
        <w:t>Media</w:t>
      </w:r>
      <w:proofErr w:type="spellEnd"/>
      <w:r w:rsidRPr="005119DD">
        <w:rPr>
          <w:rFonts w:asciiTheme="majorHAnsi" w:hAnsiTheme="majorHAnsi" w:cstheme="majorHAnsi"/>
          <w:b/>
          <w:sz w:val="22"/>
        </w:rPr>
        <w:t xml:space="preserve"> </w:t>
      </w:r>
      <w:proofErr w:type="spellStart"/>
      <w:r w:rsidRPr="005119DD">
        <w:rPr>
          <w:rFonts w:asciiTheme="majorHAnsi" w:hAnsiTheme="majorHAnsi" w:cstheme="majorHAnsi"/>
          <w:b/>
          <w:sz w:val="22"/>
        </w:rPr>
        <w:t>gateway</w:t>
      </w:r>
      <w:proofErr w:type="spellEnd"/>
      <w:r w:rsidRPr="005119DD">
        <w:rPr>
          <w:rFonts w:asciiTheme="majorHAnsi" w:hAnsiTheme="majorHAnsi" w:cstheme="majorHAnsi"/>
          <w:b/>
          <w:sz w:val="22"/>
        </w:rPr>
        <w:t xml:space="preserve"> G450 arba lygiavertės įrangos techniniai reikalavimai:</w:t>
      </w:r>
    </w:p>
    <w:p w14:paraId="5B255AB0" w14:textId="77777777" w:rsidR="00766551" w:rsidRPr="005119DD" w:rsidRDefault="00766551" w:rsidP="00766551">
      <w:pPr>
        <w:spacing w:after="0" w:line="240" w:lineRule="auto"/>
        <w:ind w:left="786"/>
        <w:jc w:val="both"/>
        <w:rPr>
          <w:rFonts w:asciiTheme="majorHAnsi" w:hAnsiTheme="majorHAnsi" w:cstheme="majorHAnsi"/>
          <w:b/>
          <w:bCs/>
          <w:sz w:val="22"/>
        </w:rPr>
      </w:pPr>
    </w:p>
    <w:tbl>
      <w:tblPr>
        <w:tblW w:w="10242"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
        <w:gridCol w:w="1447"/>
        <w:gridCol w:w="2410"/>
        <w:gridCol w:w="6378"/>
      </w:tblGrid>
      <w:tr w:rsidR="009879F9" w:rsidRPr="009879F9" w14:paraId="0F1EE7C6" w14:textId="77777777" w:rsidTr="005119DD">
        <w:trPr>
          <w:gridBefore w:val="1"/>
          <w:wBefore w:w="7" w:type="dxa"/>
          <w:cantSplit/>
        </w:trPr>
        <w:tc>
          <w:tcPr>
            <w:tcW w:w="1447" w:type="dxa"/>
            <w:vAlign w:val="center"/>
          </w:tcPr>
          <w:p w14:paraId="02A0722C" w14:textId="77777777" w:rsidR="009879F9" w:rsidRPr="009879F9" w:rsidRDefault="009879F9" w:rsidP="00766551">
            <w:pPr>
              <w:spacing w:after="0" w:line="240" w:lineRule="auto"/>
              <w:rPr>
                <w:rFonts w:asciiTheme="majorHAnsi" w:hAnsiTheme="majorHAnsi" w:cstheme="majorHAnsi"/>
                <w:b/>
                <w:sz w:val="22"/>
              </w:rPr>
            </w:pPr>
            <w:r w:rsidRPr="009879F9">
              <w:rPr>
                <w:rFonts w:asciiTheme="majorHAnsi" w:hAnsiTheme="majorHAnsi" w:cstheme="majorHAnsi"/>
                <w:b/>
                <w:sz w:val="22"/>
              </w:rPr>
              <w:t>Eil. Nr.</w:t>
            </w:r>
          </w:p>
        </w:tc>
        <w:tc>
          <w:tcPr>
            <w:tcW w:w="2410" w:type="dxa"/>
          </w:tcPr>
          <w:p w14:paraId="6048AD11" w14:textId="77777777" w:rsidR="009879F9" w:rsidRPr="009879F9" w:rsidRDefault="009879F9" w:rsidP="00766551">
            <w:pPr>
              <w:spacing w:after="0" w:line="240" w:lineRule="auto"/>
              <w:rPr>
                <w:rFonts w:asciiTheme="majorHAnsi" w:hAnsiTheme="majorHAnsi" w:cstheme="majorHAnsi"/>
                <w:b/>
                <w:sz w:val="22"/>
              </w:rPr>
            </w:pPr>
            <w:r w:rsidRPr="009879F9">
              <w:rPr>
                <w:rFonts w:asciiTheme="majorHAnsi" w:hAnsiTheme="majorHAnsi" w:cstheme="majorHAnsi"/>
                <w:b/>
                <w:sz w:val="22"/>
              </w:rPr>
              <w:t>Pavadinimas</w:t>
            </w:r>
          </w:p>
        </w:tc>
        <w:tc>
          <w:tcPr>
            <w:tcW w:w="6378" w:type="dxa"/>
            <w:vAlign w:val="center"/>
          </w:tcPr>
          <w:p w14:paraId="5F245006" w14:textId="77777777" w:rsidR="009879F9" w:rsidRPr="009879F9" w:rsidRDefault="009879F9" w:rsidP="00766551">
            <w:pPr>
              <w:spacing w:after="0" w:line="240" w:lineRule="auto"/>
              <w:rPr>
                <w:rFonts w:asciiTheme="majorHAnsi" w:hAnsiTheme="majorHAnsi" w:cstheme="majorHAnsi"/>
                <w:b/>
                <w:sz w:val="22"/>
              </w:rPr>
            </w:pPr>
            <w:r w:rsidRPr="009879F9">
              <w:rPr>
                <w:rFonts w:asciiTheme="majorHAnsi" w:hAnsiTheme="majorHAnsi" w:cstheme="majorHAnsi"/>
                <w:b/>
                <w:sz w:val="22"/>
              </w:rPr>
              <w:t>Reikalavimai</w:t>
            </w:r>
          </w:p>
        </w:tc>
      </w:tr>
      <w:tr w:rsidR="009879F9" w:rsidRPr="009879F9" w14:paraId="0E78D5C1" w14:textId="77777777" w:rsidTr="005119DD">
        <w:trPr>
          <w:gridBefore w:val="1"/>
          <w:wBefore w:w="7" w:type="dxa"/>
          <w:cantSplit/>
        </w:trPr>
        <w:tc>
          <w:tcPr>
            <w:tcW w:w="1447" w:type="dxa"/>
            <w:vAlign w:val="center"/>
          </w:tcPr>
          <w:p w14:paraId="2FAE587E" w14:textId="77777777" w:rsidR="009879F9" w:rsidRPr="009879F9" w:rsidRDefault="009879F9" w:rsidP="00766551">
            <w:pPr>
              <w:numPr>
                <w:ilvl w:val="0"/>
                <w:numId w:val="3"/>
              </w:numPr>
              <w:spacing w:after="0" w:line="240" w:lineRule="auto"/>
              <w:rPr>
                <w:rFonts w:asciiTheme="majorHAnsi" w:hAnsiTheme="majorHAnsi" w:cstheme="majorHAnsi"/>
                <w:bCs/>
                <w:sz w:val="22"/>
              </w:rPr>
            </w:pPr>
          </w:p>
        </w:tc>
        <w:tc>
          <w:tcPr>
            <w:tcW w:w="2410" w:type="dxa"/>
          </w:tcPr>
          <w:p w14:paraId="4E85B124" w14:textId="77777777" w:rsidR="009879F9" w:rsidRPr="009879F9" w:rsidRDefault="009879F9" w:rsidP="00766551">
            <w:pPr>
              <w:spacing w:after="0" w:line="240" w:lineRule="auto"/>
              <w:rPr>
                <w:rFonts w:asciiTheme="majorHAnsi" w:hAnsiTheme="majorHAnsi" w:cstheme="majorHAnsi"/>
                <w:bCs/>
                <w:sz w:val="22"/>
              </w:rPr>
            </w:pPr>
            <w:r w:rsidRPr="009879F9">
              <w:rPr>
                <w:rFonts w:asciiTheme="majorHAnsi" w:hAnsiTheme="majorHAnsi" w:cstheme="majorHAnsi"/>
                <w:bCs/>
                <w:sz w:val="22"/>
              </w:rPr>
              <w:t>Kiekis</w:t>
            </w:r>
          </w:p>
        </w:tc>
        <w:tc>
          <w:tcPr>
            <w:tcW w:w="6378" w:type="dxa"/>
            <w:vAlign w:val="center"/>
          </w:tcPr>
          <w:p w14:paraId="79E983F9" w14:textId="77777777" w:rsidR="009879F9" w:rsidRPr="009879F9" w:rsidRDefault="009879F9" w:rsidP="00766551">
            <w:pPr>
              <w:spacing w:after="0" w:line="240" w:lineRule="auto"/>
              <w:rPr>
                <w:rFonts w:asciiTheme="majorHAnsi" w:hAnsiTheme="majorHAnsi" w:cstheme="majorHAnsi"/>
                <w:bCs/>
                <w:sz w:val="22"/>
              </w:rPr>
            </w:pPr>
            <w:r w:rsidRPr="009879F9">
              <w:rPr>
                <w:rFonts w:asciiTheme="majorHAnsi" w:hAnsiTheme="majorHAnsi" w:cstheme="majorHAnsi"/>
                <w:bCs/>
                <w:sz w:val="22"/>
              </w:rPr>
              <w:t xml:space="preserve">1 </w:t>
            </w:r>
            <w:proofErr w:type="spellStart"/>
            <w:r w:rsidRPr="009879F9">
              <w:rPr>
                <w:rFonts w:asciiTheme="majorHAnsi" w:hAnsiTheme="majorHAnsi" w:cstheme="majorHAnsi"/>
                <w:bCs/>
                <w:sz w:val="22"/>
              </w:rPr>
              <w:t>vnt</w:t>
            </w:r>
            <w:proofErr w:type="spellEnd"/>
          </w:p>
        </w:tc>
      </w:tr>
      <w:tr w:rsidR="009879F9" w:rsidRPr="009879F9" w14:paraId="07B55D7C" w14:textId="77777777" w:rsidTr="005119DD">
        <w:tblPrEx>
          <w:tblCellMar>
            <w:left w:w="115" w:type="dxa"/>
            <w:right w:w="115" w:type="dxa"/>
          </w:tblCellMar>
        </w:tblPrEx>
        <w:trPr>
          <w:cantSplit/>
        </w:trPr>
        <w:tc>
          <w:tcPr>
            <w:tcW w:w="1454" w:type="dxa"/>
            <w:gridSpan w:val="2"/>
            <w:vAlign w:val="center"/>
          </w:tcPr>
          <w:p w14:paraId="4CAD0EFA" w14:textId="77777777" w:rsidR="009879F9" w:rsidRPr="009879F9" w:rsidRDefault="009879F9" w:rsidP="00766551">
            <w:pPr>
              <w:numPr>
                <w:ilvl w:val="0"/>
                <w:numId w:val="3"/>
              </w:numPr>
              <w:spacing w:after="0" w:line="240" w:lineRule="auto"/>
              <w:rPr>
                <w:rFonts w:asciiTheme="majorHAnsi" w:hAnsiTheme="majorHAnsi" w:cstheme="majorHAnsi"/>
                <w:sz w:val="22"/>
              </w:rPr>
            </w:pPr>
          </w:p>
        </w:tc>
        <w:tc>
          <w:tcPr>
            <w:tcW w:w="2410" w:type="dxa"/>
            <w:vAlign w:val="center"/>
          </w:tcPr>
          <w:p w14:paraId="262459B3" w14:textId="786C2B31"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Prekės tipas / suderinamumo reikalavimas</w:t>
            </w:r>
          </w:p>
        </w:tc>
        <w:tc>
          <w:tcPr>
            <w:tcW w:w="6378" w:type="dxa"/>
          </w:tcPr>
          <w:p w14:paraId="5B91E970" w14:textId="497DC3C1" w:rsidR="009879F9" w:rsidRPr="009879F9" w:rsidRDefault="009879F9" w:rsidP="00766551">
            <w:pPr>
              <w:spacing w:after="0" w:line="240" w:lineRule="auto"/>
              <w:rPr>
                <w:rFonts w:asciiTheme="majorHAnsi" w:hAnsiTheme="majorHAnsi" w:cstheme="majorHAnsi"/>
                <w:sz w:val="22"/>
              </w:rPr>
            </w:pPr>
            <w:proofErr w:type="spellStart"/>
            <w:r w:rsidRPr="009879F9">
              <w:rPr>
                <w:rFonts w:asciiTheme="majorHAnsi" w:hAnsiTheme="majorHAnsi" w:cstheme="majorHAnsi"/>
                <w:sz w:val="22"/>
              </w:rPr>
              <w:t>Avaya</w:t>
            </w:r>
            <w:proofErr w:type="spellEnd"/>
            <w:r w:rsidRPr="009879F9">
              <w:rPr>
                <w:rFonts w:asciiTheme="majorHAnsi" w:hAnsiTheme="majorHAnsi" w:cstheme="majorHAnsi"/>
                <w:sz w:val="22"/>
              </w:rPr>
              <w:t xml:space="preserve"> </w:t>
            </w:r>
            <w:proofErr w:type="spellStart"/>
            <w:r w:rsidRPr="009879F9">
              <w:rPr>
                <w:rFonts w:asciiTheme="majorHAnsi" w:hAnsiTheme="majorHAnsi" w:cstheme="majorHAnsi"/>
                <w:sz w:val="22"/>
              </w:rPr>
              <w:t>Media</w:t>
            </w:r>
            <w:proofErr w:type="spellEnd"/>
            <w:r w:rsidRPr="009879F9">
              <w:rPr>
                <w:rFonts w:asciiTheme="majorHAnsi" w:hAnsiTheme="majorHAnsi" w:cstheme="majorHAnsi"/>
                <w:sz w:val="22"/>
              </w:rPr>
              <w:t xml:space="preserve"> </w:t>
            </w:r>
            <w:proofErr w:type="spellStart"/>
            <w:r w:rsidRPr="009879F9">
              <w:rPr>
                <w:rFonts w:asciiTheme="majorHAnsi" w:hAnsiTheme="majorHAnsi" w:cstheme="majorHAnsi"/>
                <w:sz w:val="22"/>
              </w:rPr>
              <w:t>gateway</w:t>
            </w:r>
            <w:proofErr w:type="spellEnd"/>
            <w:r w:rsidRPr="009879F9">
              <w:rPr>
                <w:rFonts w:asciiTheme="majorHAnsi" w:hAnsiTheme="majorHAnsi" w:cstheme="majorHAnsi"/>
                <w:sz w:val="22"/>
              </w:rPr>
              <w:t xml:space="preserve"> G450</w:t>
            </w:r>
            <w:r>
              <w:rPr>
                <w:rFonts w:asciiTheme="majorHAnsi" w:hAnsiTheme="majorHAnsi" w:cstheme="majorHAnsi"/>
                <w:sz w:val="22"/>
              </w:rPr>
              <w:t xml:space="preserve"> </w:t>
            </w:r>
            <w:r w:rsidRPr="009879F9">
              <w:rPr>
                <w:rFonts w:asciiTheme="majorHAnsi" w:hAnsiTheme="majorHAnsi" w:cstheme="majorHAnsi"/>
                <w:sz w:val="22"/>
              </w:rPr>
              <w:t>arba lygiavertė įranga</w:t>
            </w:r>
            <w:r>
              <w:rPr>
                <w:rFonts w:asciiTheme="majorHAnsi" w:hAnsiTheme="majorHAnsi" w:cstheme="majorHAnsi"/>
                <w:sz w:val="22"/>
              </w:rPr>
              <w:t>.</w:t>
            </w:r>
          </w:p>
        </w:tc>
      </w:tr>
      <w:tr w:rsidR="009879F9" w:rsidRPr="009879F9" w14:paraId="4D91841A" w14:textId="77777777" w:rsidTr="005119DD">
        <w:tblPrEx>
          <w:tblCellMar>
            <w:left w:w="115" w:type="dxa"/>
            <w:right w:w="115" w:type="dxa"/>
          </w:tblCellMar>
        </w:tblPrEx>
        <w:trPr>
          <w:cantSplit/>
        </w:trPr>
        <w:tc>
          <w:tcPr>
            <w:tcW w:w="1454" w:type="dxa"/>
            <w:gridSpan w:val="2"/>
            <w:vAlign w:val="center"/>
          </w:tcPr>
          <w:p w14:paraId="53D011D2" w14:textId="77777777" w:rsidR="009879F9" w:rsidRPr="009879F9" w:rsidRDefault="009879F9" w:rsidP="00766551">
            <w:pPr>
              <w:numPr>
                <w:ilvl w:val="0"/>
                <w:numId w:val="3"/>
              </w:numPr>
              <w:spacing w:after="0" w:line="240" w:lineRule="auto"/>
              <w:rPr>
                <w:rFonts w:asciiTheme="majorHAnsi" w:hAnsiTheme="majorHAnsi" w:cstheme="majorHAnsi"/>
                <w:sz w:val="22"/>
              </w:rPr>
            </w:pPr>
          </w:p>
        </w:tc>
        <w:tc>
          <w:tcPr>
            <w:tcW w:w="2410" w:type="dxa"/>
            <w:vAlign w:val="center"/>
          </w:tcPr>
          <w:p w14:paraId="704892D5" w14:textId="77777777" w:rsidR="009879F9" w:rsidRPr="009879F9" w:rsidRDefault="009879F9" w:rsidP="00766551">
            <w:pPr>
              <w:spacing w:after="0" w:line="240" w:lineRule="auto"/>
              <w:rPr>
                <w:rFonts w:asciiTheme="majorHAnsi" w:hAnsiTheme="majorHAnsi" w:cstheme="majorHAnsi"/>
                <w:bCs/>
                <w:sz w:val="22"/>
              </w:rPr>
            </w:pPr>
            <w:r w:rsidRPr="009879F9">
              <w:rPr>
                <w:rFonts w:asciiTheme="majorHAnsi" w:hAnsiTheme="majorHAnsi" w:cstheme="majorHAnsi"/>
                <w:bCs/>
                <w:sz w:val="22"/>
              </w:rPr>
              <w:t>Registracija</w:t>
            </w:r>
          </w:p>
        </w:tc>
        <w:tc>
          <w:tcPr>
            <w:tcW w:w="6378" w:type="dxa"/>
          </w:tcPr>
          <w:p w14:paraId="2B35E4A6" w14:textId="267054A2" w:rsidR="009879F9" w:rsidRPr="009879F9" w:rsidRDefault="009879F9" w:rsidP="00766551">
            <w:pPr>
              <w:spacing w:after="0" w:line="240" w:lineRule="auto"/>
              <w:rPr>
                <w:rFonts w:asciiTheme="majorHAnsi" w:hAnsiTheme="majorHAnsi" w:cstheme="majorHAnsi"/>
                <w:bCs/>
                <w:sz w:val="22"/>
              </w:rPr>
            </w:pPr>
            <w:r w:rsidRPr="009879F9">
              <w:rPr>
                <w:rFonts w:asciiTheme="majorHAnsi" w:hAnsiTheme="majorHAnsi" w:cstheme="majorHAnsi"/>
                <w:bCs/>
                <w:sz w:val="22"/>
              </w:rPr>
              <w:t xml:space="preserve">Prie </w:t>
            </w:r>
            <w:r>
              <w:rPr>
                <w:rFonts w:asciiTheme="majorHAnsi" w:hAnsiTheme="majorHAnsi" w:cstheme="majorHAnsi"/>
                <w:bCs/>
                <w:sz w:val="22"/>
              </w:rPr>
              <w:t xml:space="preserve">perkančiosios organizacijos naudojamos </w:t>
            </w:r>
            <w:r w:rsidRPr="009879F9">
              <w:rPr>
                <w:rFonts w:asciiTheme="majorHAnsi" w:hAnsiTheme="majorHAnsi" w:cstheme="majorHAnsi"/>
                <w:bCs/>
                <w:sz w:val="22"/>
              </w:rPr>
              <w:t xml:space="preserve">komunikacijų platformos </w:t>
            </w:r>
            <w:proofErr w:type="spellStart"/>
            <w:r w:rsidRPr="009879F9">
              <w:rPr>
                <w:rFonts w:asciiTheme="majorHAnsi" w:hAnsiTheme="majorHAnsi" w:cstheme="majorHAnsi"/>
                <w:bCs/>
                <w:sz w:val="22"/>
              </w:rPr>
              <w:t>Avaya</w:t>
            </w:r>
            <w:proofErr w:type="spellEnd"/>
            <w:r w:rsidRPr="009879F9">
              <w:rPr>
                <w:rFonts w:asciiTheme="majorHAnsi" w:hAnsiTheme="majorHAnsi" w:cstheme="majorHAnsi"/>
                <w:bCs/>
                <w:sz w:val="22"/>
              </w:rPr>
              <w:t xml:space="preserve"> Aura 10 </w:t>
            </w:r>
          </w:p>
        </w:tc>
      </w:tr>
      <w:tr w:rsidR="009879F9" w:rsidRPr="009879F9" w14:paraId="5B498275" w14:textId="77777777" w:rsidTr="005119DD">
        <w:tblPrEx>
          <w:tblCellMar>
            <w:left w:w="115" w:type="dxa"/>
            <w:right w:w="115" w:type="dxa"/>
          </w:tblCellMar>
        </w:tblPrEx>
        <w:trPr>
          <w:cantSplit/>
        </w:trPr>
        <w:tc>
          <w:tcPr>
            <w:tcW w:w="1454" w:type="dxa"/>
            <w:gridSpan w:val="2"/>
            <w:vAlign w:val="center"/>
          </w:tcPr>
          <w:p w14:paraId="6285C471" w14:textId="77777777" w:rsidR="009879F9" w:rsidRPr="009879F9" w:rsidRDefault="009879F9" w:rsidP="00766551">
            <w:pPr>
              <w:numPr>
                <w:ilvl w:val="0"/>
                <w:numId w:val="3"/>
              </w:numPr>
              <w:spacing w:after="0" w:line="240" w:lineRule="auto"/>
              <w:rPr>
                <w:rFonts w:asciiTheme="majorHAnsi" w:hAnsiTheme="majorHAnsi" w:cstheme="majorHAnsi"/>
                <w:sz w:val="22"/>
              </w:rPr>
            </w:pPr>
          </w:p>
        </w:tc>
        <w:tc>
          <w:tcPr>
            <w:tcW w:w="2410" w:type="dxa"/>
            <w:vAlign w:val="center"/>
          </w:tcPr>
          <w:p w14:paraId="40CE0B93" w14:textId="77777777"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Fiziniai parametrai</w:t>
            </w:r>
          </w:p>
        </w:tc>
        <w:tc>
          <w:tcPr>
            <w:tcW w:w="6378" w:type="dxa"/>
            <w:vAlign w:val="center"/>
          </w:tcPr>
          <w:p w14:paraId="3B9EEF27" w14:textId="77777777"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 xml:space="preserve">Aukštis 3U, plotis </w:t>
            </w:r>
            <w:r w:rsidRPr="009879F9">
              <w:rPr>
                <w:rFonts w:asciiTheme="majorHAnsi" w:hAnsiTheme="majorHAnsi" w:cstheme="majorHAnsi"/>
                <w:bCs/>
                <w:sz w:val="22"/>
              </w:rPr>
              <w:t>19"</w:t>
            </w:r>
          </w:p>
        </w:tc>
      </w:tr>
      <w:tr w:rsidR="009879F9" w:rsidRPr="009879F9" w14:paraId="2BC118F0" w14:textId="77777777" w:rsidTr="005119DD">
        <w:tblPrEx>
          <w:tblCellMar>
            <w:left w:w="115" w:type="dxa"/>
            <w:right w:w="115" w:type="dxa"/>
          </w:tblCellMar>
        </w:tblPrEx>
        <w:trPr>
          <w:cantSplit/>
        </w:trPr>
        <w:tc>
          <w:tcPr>
            <w:tcW w:w="1454" w:type="dxa"/>
            <w:gridSpan w:val="2"/>
            <w:vAlign w:val="center"/>
          </w:tcPr>
          <w:p w14:paraId="2E1EB3CC" w14:textId="77777777" w:rsidR="009879F9" w:rsidRPr="009879F9" w:rsidRDefault="009879F9" w:rsidP="00766551">
            <w:pPr>
              <w:numPr>
                <w:ilvl w:val="0"/>
                <w:numId w:val="3"/>
              </w:numPr>
              <w:spacing w:after="0" w:line="240" w:lineRule="auto"/>
              <w:rPr>
                <w:rFonts w:asciiTheme="majorHAnsi" w:hAnsiTheme="majorHAnsi" w:cstheme="majorHAnsi"/>
                <w:sz w:val="22"/>
              </w:rPr>
            </w:pPr>
          </w:p>
        </w:tc>
        <w:tc>
          <w:tcPr>
            <w:tcW w:w="2410" w:type="dxa"/>
            <w:vAlign w:val="center"/>
          </w:tcPr>
          <w:p w14:paraId="6AE46529" w14:textId="77777777"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bCs/>
                <w:sz w:val="22"/>
              </w:rPr>
              <w:t>Protokolas</w:t>
            </w:r>
          </w:p>
        </w:tc>
        <w:tc>
          <w:tcPr>
            <w:tcW w:w="6378" w:type="dxa"/>
          </w:tcPr>
          <w:p w14:paraId="5709BDBE" w14:textId="77777777"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bCs/>
                <w:sz w:val="22"/>
              </w:rPr>
              <w:t xml:space="preserve">H.248 </w:t>
            </w:r>
          </w:p>
        </w:tc>
      </w:tr>
      <w:tr w:rsidR="009879F9" w:rsidRPr="009879F9" w14:paraId="2C1E444C" w14:textId="77777777" w:rsidTr="005119DD">
        <w:tblPrEx>
          <w:tblCellMar>
            <w:left w:w="115" w:type="dxa"/>
            <w:right w:w="115" w:type="dxa"/>
          </w:tblCellMar>
        </w:tblPrEx>
        <w:trPr>
          <w:cantSplit/>
        </w:trPr>
        <w:tc>
          <w:tcPr>
            <w:tcW w:w="1454" w:type="dxa"/>
            <w:gridSpan w:val="2"/>
            <w:vAlign w:val="center"/>
          </w:tcPr>
          <w:p w14:paraId="29E66CC8" w14:textId="77777777" w:rsidR="009879F9" w:rsidRPr="009879F9" w:rsidRDefault="009879F9" w:rsidP="00766551">
            <w:pPr>
              <w:numPr>
                <w:ilvl w:val="0"/>
                <w:numId w:val="3"/>
              </w:numPr>
              <w:spacing w:after="0" w:line="240" w:lineRule="auto"/>
              <w:rPr>
                <w:rFonts w:asciiTheme="majorHAnsi" w:hAnsiTheme="majorHAnsi" w:cstheme="majorHAnsi"/>
                <w:sz w:val="22"/>
              </w:rPr>
            </w:pPr>
          </w:p>
        </w:tc>
        <w:tc>
          <w:tcPr>
            <w:tcW w:w="2410" w:type="dxa"/>
            <w:vAlign w:val="center"/>
          </w:tcPr>
          <w:p w14:paraId="07E7F3F9" w14:textId="77777777"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Kodavimas</w:t>
            </w:r>
          </w:p>
        </w:tc>
        <w:tc>
          <w:tcPr>
            <w:tcW w:w="6378" w:type="dxa"/>
            <w:vAlign w:val="center"/>
          </w:tcPr>
          <w:p w14:paraId="68875D96" w14:textId="77777777"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G.711, G.729, G.726</w:t>
            </w:r>
          </w:p>
        </w:tc>
      </w:tr>
      <w:tr w:rsidR="009879F9" w:rsidRPr="009879F9" w14:paraId="6745700B" w14:textId="77777777" w:rsidTr="005119DD">
        <w:tblPrEx>
          <w:tblCellMar>
            <w:left w:w="115" w:type="dxa"/>
            <w:right w:w="115" w:type="dxa"/>
          </w:tblCellMar>
        </w:tblPrEx>
        <w:trPr>
          <w:cantSplit/>
        </w:trPr>
        <w:tc>
          <w:tcPr>
            <w:tcW w:w="1454" w:type="dxa"/>
            <w:gridSpan w:val="2"/>
          </w:tcPr>
          <w:p w14:paraId="202ED44E" w14:textId="77777777" w:rsidR="009879F9" w:rsidRPr="009879F9" w:rsidRDefault="009879F9" w:rsidP="00766551">
            <w:pPr>
              <w:numPr>
                <w:ilvl w:val="0"/>
                <w:numId w:val="3"/>
              </w:numPr>
              <w:spacing w:after="0" w:line="240" w:lineRule="auto"/>
              <w:rPr>
                <w:rFonts w:asciiTheme="majorHAnsi" w:hAnsiTheme="majorHAnsi" w:cstheme="majorHAnsi"/>
                <w:sz w:val="22"/>
              </w:rPr>
            </w:pPr>
          </w:p>
        </w:tc>
        <w:tc>
          <w:tcPr>
            <w:tcW w:w="2410" w:type="dxa"/>
          </w:tcPr>
          <w:p w14:paraId="3F936CC2" w14:textId="77777777" w:rsidR="009879F9" w:rsidRPr="009879F9" w:rsidDel="0083675C" w:rsidRDefault="009879F9" w:rsidP="00766551">
            <w:pPr>
              <w:spacing w:after="0" w:line="240" w:lineRule="auto"/>
              <w:rPr>
                <w:rFonts w:asciiTheme="majorHAnsi" w:hAnsiTheme="majorHAnsi" w:cstheme="majorHAnsi"/>
                <w:bCs/>
                <w:sz w:val="22"/>
              </w:rPr>
            </w:pPr>
            <w:r w:rsidRPr="009879F9">
              <w:rPr>
                <w:rFonts w:asciiTheme="majorHAnsi" w:hAnsiTheme="majorHAnsi" w:cstheme="majorHAnsi"/>
                <w:bCs/>
                <w:sz w:val="22"/>
              </w:rPr>
              <w:t>Funkcijos</w:t>
            </w:r>
          </w:p>
        </w:tc>
        <w:tc>
          <w:tcPr>
            <w:tcW w:w="6378" w:type="dxa"/>
          </w:tcPr>
          <w:p w14:paraId="068CEBF9" w14:textId="0A8E6100"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DHCP / TFTP serveris IP telefonams vietiniai pranešimai (</w:t>
            </w:r>
            <w:proofErr w:type="spellStart"/>
            <w:r w:rsidRPr="009879F9">
              <w:rPr>
                <w:rFonts w:asciiTheme="majorHAnsi" w:hAnsiTheme="majorHAnsi" w:cstheme="majorHAnsi"/>
                <w:sz w:val="22"/>
              </w:rPr>
              <w:t>announcements</w:t>
            </w:r>
            <w:proofErr w:type="spellEnd"/>
            <w:r w:rsidRPr="009879F9">
              <w:rPr>
                <w:rFonts w:asciiTheme="majorHAnsi" w:hAnsiTheme="majorHAnsi" w:cstheme="majorHAnsi"/>
                <w:sz w:val="22"/>
              </w:rPr>
              <w:t>)</w:t>
            </w:r>
          </w:p>
        </w:tc>
      </w:tr>
      <w:tr w:rsidR="009879F9" w:rsidRPr="009879F9" w14:paraId="201B7666" w14:textId="77777777" w:rsidTr="005119DD">
        <w:tblPrEx>
          <w:tblCellMar>
            <w:left w:w="115" w:type="dxa"/>
            <w:right w:w="115" w:type="dxa"/>
          </w:tblCellMar>
        </w:tblPrEx>
        <w:trPr>
          <w:cantSplit/>
        </w:trPr>
        <w:tc>
          <w:tcPr>
            <w:tcW w:w="1454" w:type="dxa"/>
            <w:gridSpan w:val="2"/>
          </w:tcPr>
          <w:p w14:paraId="6DE845DD" w14:textId="77777777" w:rsidR="009879F9" w:rsidRPr="009879F9" w:rsidRDefault="009879F9" w:rsidP="00766551">
            <w:pPr>
              <w:numPr>
                <w:ilvl w:val="0"/>
                <w:numId w:val="3"/>
              </w:numPr>
              <w:spacing w:after="0" w:line="240" w:lineRule="auto"/>
              <w:rPr>
                <w:rFonts w:asciiTheme="majorHAnsi" w:hAnsiTheme="majorHAnsi" w:cstheme="majorHAnsi"/>
                <w:sz w:val="22"/>
              </w:rPr>
            </w:pPr>
          </w:p>
        </w:tc>
        <w:tc>
          <w:tcPr>
            <w:tcW w:w="2410" w:type="dxa"/>
          </w:tcPr>
          <w:p w14:paraId="02CD1065" w14:textId="77777777" w:rsidR="009879F9" w:rsidRPr="009879F9" w:rsidDel="0083675C"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Naujumas</w:t>
            </w:r>
          </w:p>
        </w:tc>
        <w:tc>
          <w:tcPr>
            <w:tcW w:w="6378" w:type="dxa"/>
          </w:tcPr>
          <w:p w14:paraId="0FFAB5C1" w14:textId="77777777"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 xml:space="preserve">Įranga privalo nauja ir negali būti naudota ar atnaujinta (angl. </w:t>
            </w:r>
            <w:proofErr w:type="spellStart"/>
            <w:r w:rsidRPr="009879F9">
              <w:rPr>
                <w:rFonts w:asciiTheme="majorHAnsi" w:hAnsiTheme="majorHAnsi" w:cstheme="majorHAnsi"/>
                <w:sz w:val="22"/>
              </w:rPr>
              <w:t>refurbished</w:t>
            </w:r>
            <w:proofErr w:type="spellEnd"/>
            <w:r w:rsidRPr="009879F9">
              <w:rPr>
                <w:rFonts w:asciiTheme="majorHAnsi" w:hAnsiTheme="majorHAnsi" w:cstheme="majorHAnsi"/>
                <w:sz w:val="22"/>
              </w:rPr>
              <w:t xml:space="preserve">) </w:t>
            </w:r>
          </w:p>
        </w:tc>
      </w:tr>
      <w:tr w:rsidR="009879F9" w:rsidRPr="009879F9" w14:paraId="4AA5D037" w14:textId="77777777" w:rsidTr="005119DD">
        <w:tblPrEx>
          <w:tblCellMar>
            <w:left w:w="115" w:type="dxa"/>
            <w:right w:w="115" w:type="dxa"/>
          </w:tblCellMar>
        </w:tblPrEx>
        <w:trPr>
          <w:cantSplit/>
          <w:trHeight w:val="744"/>
        </w:trPr>
        <w:tc>
          <w:tcPr>
            <w:tcW w:w="1454" w:type="dxa"/>
            <w:gridSpan w:val="2"/>
            <w:vAlign w:val="center"/>
          </w:tcPr>
          <w:p w14:paraId="5899E3E5" w14:textId="77777777" w:rsidR="009879F9" w:rsidRPr="009879F9" w:rsidRDefault="009879F9" w:rsidP="00766551">
            <w:pPr>
              <w:numPr>
                <w:ilvl w:val="0"/>
                <w:numId w:val="3"/>
              </w:numPr>
              <w:spacing w:after="0" w:line="240" w:lineRule="auto"/>
              <w:rPr>
                <w:rFonts w:asciiTheme="majorHAnsi" w:hAnsiTheme="majorHAnsi" w:cstheme="majorHAnsi"/>
                <w:sz w:val="22"/>
              </w:rPr>
            </w:pPr>
          </w:p>
        </w:tc>
        <w:tc>
          <w:tcPr>
            <w:tcW w:w="2410" w:type="dxa"/>
            <w:vAlign w:val="center"/>
          </w:tcPr>
          <w:p w14:paraId="5E43E99A" w14:textId="43A77709"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Garantija</w:t>
            </w:r>
          </w:p>
        </w:tc>
        <w:tc>
          <w:tcPr>
            <w:tcW w:w="6378" w:type="dxa"/>
            <w:vAlign w:val="center"/>
          </w:tcPr>
          <w:p w14:paraId="6E6598DA" w14:textId="77777777"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Ne mažiau 12 mėnesių.</w:t>
            </w:r>
          </w:p>
        </w:tc>
      </w:tr>
      <w:tr w:rsidR="009879F9" w:rsidRPr="009879F9" w14:paraId="6275F0B6" w14:textId="77777777" w:rsidTr="005119DD">
        <w:tblPrEx>
          <w:tblCellMar>
            <w:left w:w="115" w:type="dxa"/>
            <w:right w:w="115" w:type="dxa"/>
          </w:tblCellMar>
        </w:tblPrEx>
        <w:trPr>
          <w:cantSplit/>
          <w:trHeight w:val="360"/>
        </w:trPr>
        <w:tc>
          <w:tcPr>
            <w:tcW w:w="1454" w:type="dxa"/>
            <w:gridSpan w:val="2"/>
            <w:vAlign w:val="center"/>
          </w:tcPr>
          <w:p w14:paraId="5631B2E8" w14:textId="77777777" w:rsidR="009879F9" w:rsidRPr="009879F9" w:rsidRDefault="009879F9" w:rsidP="00766551">
            <w:pPr>
              <w:numPr>
                <w:ilvl w:val="0"/>
                <w:numId w:val="3"/>
              </w:numPr>
              <w:spacing w:after="0" w:line="240" w:lineRule="auto"/>
              <w:rPr>
                <w:rFonts w:asciiTheme="majorHAnsi" w:hAnsiTheme="majorHAnsi" w:cstheme="majorHAnsi"/>
                <w:sz w:val="22"/>
              </w:rPr>
            </w:pPr>
          </w:p>
        </w:tc>
        <w:tc>
          <w:tcPr>
            <w:tcW w:w="2410" w:type="dxa"/>
            <w:vAlign w:val="center"/>
          </w:tcPr>
          <w:p w14:paraId="4BA961D2" w14:textId="77777777"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Tiekėjas turi būti siūlomos įrangos gamintojas arba būti įgaliotas gamintojo atstovas arba turi būti sudaręs atitinkamą sutartį su kitu ūkio subjektu, turinčiu teisę platinti/parduoti siūlomą įrangą</w:t>
            </w:r>
          </w:p>
        </w:tc>
        <w:tc>
          <w:tcPr>
            <w:tcW w:w="6378" w:type="dxa"/>
            <w:vAlign w:val="center"/>
          </w:tcPr>
          <w:p w14:paraId="3C1A9293" w14:textId="7414819C"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Tiekėjas, teikdamas pasiūlymą, turi pateikti dokumentą, patvirtinantį, kad tiekėjas yra siūlomos įrangos gamintojas (pateikiama tiekėjo pažyma), ar įgaliotas siūlomos įrangos gamintojo atstovas (pateikiami oficialų atstovavimą patvirtinantys dokumentai), turintis teisę platinti/parduoti siūlomą įrangą</w:t>
            </w:r>
            <w:r>
              <w:rPr>
                <w:rFonts w:asciiTheme="majorHAnsi" w:hAnsiTheme="majorHAnsi" w:cstheme="majorHAnsi"/>
                <w:sz w:val="22"/>
              </w:rPr>
              <w:t xml:space="preserve"> </w:t>
            </w:r>
            <w:r w:rsidRPr="009879F9">
              <w:rPr>
                <w:rFonts w:asciiTheme="majorHAnsi" w:hAnsiTheme="majorHAnsi" w:cstheme="majorHAnsi"/>
                <w:sz w:val="22"/>
              </w:rPr>
              <w:t>arba yra sudaręs atitinkamą bendradarbiavimo sutartį su kitu ūkio subjektu, turinčiu atitinkamas gamintojo suteiktas teises (pateikiama patvirtinančios sutarties su kita įmone, turinčia teisę atstovauti siūlomos įrangos gamintoją, skaitmeninė kopija bei ūkio subjektui, su kuriuo sudaryta bendradarbiavimo sutartis, gamintojo išduotas įgaliojimas).</w:t>
            </w:r>
          </w:p>
        </w:tc>
      </w:tr>
    </w:tbl>
    <w:p w14:paraId="61A051C1" w14:textId="77777777" w:rsidR="009879F9" w:rsidRPr="009879F9" w:rsidRDefault="009879F9" w:rsidP="00766551">
      <w:pPr>
        <w:spacing w:after="0" w:line="240" w:lineRule="auto"/>
        <w:rPr>
          <w:rFonts w:asciiTheme="majorHAnsi" w:hAnsiTheme="majorHAnsi" w:cstheme="majorHAnsi"/>
          <w:b/>
          <w:bCs/>
          <w:sz w:val="22"/>
        </w:rPr>
      </w:pPr>
    </w:p>
    <w:p w14:paraId="5E6D3892" w14:textId="6E5FCCD0" w:rsidR="009879F9" w:rsidRPr="005119DD" w:rsidRDefault="009879F9" w:rsidP="00766551">
      <w:pPr>
        <w:numPr>
          <w:ilvl w:val="0"/>
          <w:numId w:val="2"/>
        </w:numPr>
        <w:spacing w:after="0" w:line="240" w:lineRule="auto"/>
        <w:jc w:val="both"/>
        <w:rPr>
          <w:rFonts w:asciiTheme="majorHAnsi" w:hAnsiTheme="majorHAnsi" w:cstheme="majorHAnsi"/>
          <w:b/>
          <w:bCs/>
          <w:sz w:val="22"/>
        </w:rPr>
      </w:pPr>
      <w:proofErr w:type="spellStart"/>
      <w:r w:rsidRPr="005119DD">
        <w:rPr>
          <w:rFonts w:asciiTheme="majorHAnsi" w:hAnsiTheme="majorHAnsi" w:cstheme="majorHAnsi"/>
          <w:b/>
          <w:bCs/>
          <w:sz w:val="22"/>
        </w:rPr>
        <w:t>Avaya</w:t>
      </w:r>
      <w:proofErr w:type="spellEnd"/>
      <w:r w:rsidRPr="005119DD">
        <w:rPr>
          <w:rFonts w:asciiTheme="majorHAnsi" w:hAnsiTheme="majorHAnsi" w:cstheme="majorHAnsi"/>
          <w:b/>
          <w:bCs/>
          <w:sz w:val="22"/>
        </w:rPr>
        <w:t xml:space="preserve"> DS1 MM710 serijos plokštės arba lygiavertės techniniai reikalavimai:</w:t>
      </w:r>
    </w:p>
    <w:p w14:paraId="64955992" w14:textId="704C2D47" w:rsidR="009879F9" w:rsidRDefault="009879F9" w:rsidP="00766551">
      <w:pPr>
        <w:spacing w:after="0" w:line="240" w:lineRule="auto"/>
        <w:jc w:val="both"/>
        <w:rPr>
          <w:rFonts w:asciiTheme="majorHAnsi" w:hAnsiTheme="majorHAnsi" w:cstheme="majorHAnsi"/>
          <w:sz w:val="22"/>
        </w:rPr>
      </w:pPr>
      <w:r w:rsidRPr="009879F9">
        <w:rPr>
          <w:rFonts w:asciiTheme="majorHAnsi" w:hAnsiTheme="majorHAnsi" w:cstheme="majorHAnsi"/>
          <w:sz w:val="22"/>
        </w:rPr>
        <w:t xml:space="preserve">Perkamos 5 </w:t>
      </w:r>
      <w:proofErr w:type="spellStart"/>
      <w:r w:rsidRPr="009879F9">
        <w:rPr>
          <w:rFonts w:asciiTheme="majorHAnsi" w:hAnsiTheme="majorHAnsi" w:cstheme="majorHAnsi"/>
          <w:sz w:val="22"/>
        </w:rPr>
        <w:t>Avaya</w:t>
      </w:r>
      <w:proofErr w:type="spellEnd"/>
      <w:r w:rsidRPr="009879F9">
        <w:rPr>
          <w:rFonts w:asciiTheme="majorHAnsi" w:hAnsiTheme="majorHAnsi" w:cstheme="majorHAnsi"/>
          <w:sz w:val="22"/>
        </w:rPr>
        <w:t xml:space="preserve"> DS1 MM710 serijos plokštės </w:t>
      </w:r>
      <w:r>
        <w:rPr>
          <w:rFonts w:asciiTheme="majorHAnsi" w:hAnsiTheme="majorHAnsi" w:cstheme="majorHAnsi"/>
          <w:sz w:val="22"/>
        </w:rPr>
        <w:t xml:space="preserve">arba siūlomos lygiavertės, </w:t>
      </w:r>
      <w:r w:rsidRPr="009879F9">
        <w:rPr>
          <w:rFonts w:asciiTheme="majorHAnsi" w:hAnsiTheme="majorHAnsi" w:cstheme="majorHAnsi"/>
          <w:sz w:val="22"/>
        </w:rPr>
        <w:t xml:space="preserve">skirtos montuoti į šiuo pirkimu </w:t>
      </w:r>
      <w:r>
        <w:rPr>
          <w:rFonts w:asciiTheme="majorHAnsi" w:hAnsiTheme="majorHAnsi" w:cstheme="majorHAnsi"/>
          <w:sz w:val="22"/>
        </w:rPr>
        <w:t xml:space="preserve">numatomą </w:t>
      </w:r>
      <w:r w:rsidRPr="009879F9">
        <w:rPr>
          <w:rFonts w:asciiTheme="majorHAnsi" w:hAnsiTheme="majorHAnsi" w:cstheme="majorHAnsi"/>
          <w:sz w:val="22"/>
        </w:rPr>
        <w:t>įsig</w:t>
      </w:r>
      <w:r>
        <w:rPr>
          <w:rFonts w:asciiTheme="majorHAnsi" w:hAnsiTheme="majorHAnsi" w:cstheme="majorHAnsi"/>
          <w:sz w:val="22"/>
        </w:rPr>
        <w:t>yti</w:t>
      </w:r>
      <w:r w:rsidRPr="009879F9">
        <w:rPr>
          <w:rFonts w:asciiTheme="majorHAnsi" w:hAnsiTheme="majorHAnsi" w:cstheme="majorHAnsi"/>
          <w:sz w:val="22"/>
        </w:rPr>
        <w:t xml:space="preserve"> </w:t>
      </w:r>
      <w:proofErr w:type="spellStart"/>
      <w:r w:rsidRPr="009879F9">
        <w:rPr>
          <w:rFonts w:asciiTheme="majorHAnsi" w:hAnsiTheme="majorHAnsi" w:cstheme="majorHAnsi"/>
          <w:sz w:val="22"/>
        </w:rPr>
        <w:t>Media</w:t>
      </w:r>
      <w:proofErr w:type="spellEnd"/>
      <w:r w:rsidRPr="009879F9">
        <w:rPr>
          <w:rFonts w:asciiTheme="majorHAnsi" w:hAnsiTheme="majorHAnsi" w:cstheme="majorHAnsi"/>
          <w:sz w:val="22"/>
        </w:rPr>
        <w:t xml:space="preserve"> </w:t>
      </w:r>
      <w:proofErr w:type="spellStart"/>
      <w:r w:rsidRPr="009879F9">
        <w:rPr>
          <w:rFonts w:asciiTheme="majorHAnsi" w:hAnsiTheme="majorHAnsi" w:cstheme="majorHAnsi"/>
          <w:sz w:val="22"/>
        </w:rPr>
        <w:t>gateway</w:t>
      </w:r>
      <w:proofErr w:type="spellEnd"/>
      <w:r w:rsidRPr="009879F9">
        <w:rPr>
          <w:rFonts w:asciiTheme="majorHAnsi" w:hAnsiTheme="majorHAnsi" w:cstheme="majorHAnsi"/>
          <w:sz w:val="22"/>
        </w:rPr>
        <w:t xml:space="preserve"> </w:t>
      </w:r>
      <w:proofErr w:type="spellStart"/>
      <w:r w:rsidRPr="009879F9">
        <w:rPr>
          <w:rFonts w:asciiTheme="majorHAnsi" w:hAnsiTheme="majorHAnsi" w:cstheme="majorHAnsi"/>
          <w:sz w:val="22"/>
        </w:rPr>
        <w:t>Avaya</w:t>
      </w:r>
      <w:proofErr w:type="spellEnd"/>
      <w:r w:rsidRPr="009879F9">
        <w:rPr>
          <w:rFonts w:asciiTheme="majorHAnsi" w:hAnsiTheme="majorHAnsi" w:cstheme="majorHAnsi"/>
          <w:sz w:val="22"/>
        </w:rPr>
        <w:t xml:space="preserve"> G450</w:t>
      </w:r>
      <w:r>
        <w:rPr>
          <w:rFonts w:asciiTheme="majorHAnsi" w:hAnsiTheme="majorHAnsi" w:cstheme="majorHAnsi"/>
          <w:sz w:val="22"/>
        </w:rPr>
        <w:t xml:space="preserve"> arba siūlomą lygiavertę</w:t>
      </w:r>
      <w:r w:rsidRPr="009879F9">
        <w:rPr>
          <w:rFonts w:asciiTheme="majorHAnsi" w:hAnsiTheme="majorHAnsi" w:cstheme="majorHAnsi"/>
          <w:sz w:val="22"/>
        </w:rPr>
        <w:t xml:space="preserve">. DS1 plokštės turi būti fiziškai ir funkcionaliai suderinamos su </w:t>
      </w:r>
      <w:proofErr w:type="spellStart"/>
      <w:r w:rsidRPr="009879F9">
        <w:rPr>
          <w:rFonts w:asciiTheme="majorHAnsi" w:hAnsiTheme="majorHAnsi" w:cstheme="majorHAnsi"/>
          <w:sz w:val="22"/>
        </w:rPr>
        <w:t>Avaya</w:t>
      </w:r>
      <w:proofErr w:type="spellEnd"/>
      <w:r w:rsidRPr="009879F9">
        <w:rPr>
          <w:rFonts w:asciiTheme="majorHAnsi" w:hAnsiTheme="majorHAnsi" w:cstheme="majorHAnsi"/>
          <w:sz w:val="22"/>
        </w:rPr>
        <w:t xml:space="preserve"> </w:t>
      </w:r>
      <w:proofErr w:type="spellStart"/>
      <w:r w:rsidRPr="009879F9">
        <w:rPr>
          <w:rFonts w:asciiTheme="majorHAnsi" w:hAnsiTheme="majorHAnsi" w:cstheme="majorHAnsi"/>
          <w:sz w:val="22"/>
        </w:rPr>
        <w:t>Media</w:t>
      </w:r>
      <w:proofErr w:type="spellEnd"/>
      <w:r w:rsidRPr="009879F9">
        <w:rPr>
          <w:rFonts w:asciiTheme="majorHAnsi" w:hAnsiTheme="majorHAnsi" w:cstheme="majorHAnsi"/>
          <w:sz w:val="22"/>
        </w:rPr>
        <w:t xml:space="preserve"> </w:t>
      </w:r>
      <w:proofErr w:type="spellStart"/>
      <w:r w:rsidRPr="009879F9">
        <w:rPr>
          <w:rFonts w:asciiTheme="majorHAnsi" w:hAnsiTheme="majorHAnsi" w:cstheme="majorHAnsi"/>
          <w:sz w:val="22"/>
        </w:rPr>
        <w:t>gateway</w:t>
      </w:r>
      <w:proofErr w:type="spellEnd"/>
      <w:r w:rsidRPr="009879F9">
        <w:rPr>
          <w:rFonts w:asciiTheme="majorHAnsi" w:hAnsiTheme="majorHAnsi" w:cstheme="majorHAnsi"/>
          <w:sz w:val="22"/>
        </w:rPr>
        <w:t xml:space="preserve"> G450</w:t>
      </w:r>
      <w:r>
        <w:rPr>
          <w:rFonts w:asciiTheme="majorHAnsi" w:hAnsiTheme="majorHAnsi" w:cstheme="majorHAnsi"/>
          <w:sz w:val="22"/>
        </w:rPr>
        <w:t xml:space="preserve"> arba siūloma lygiaverte</w:t>
      </w:r>
      <w:r w:rsidRPr="009879F9">
        <w:rPr>
          <w:rFonts w:asciiTheme="majorHAnsi" w:hAnsiTheme="majorHAnsi" w:cstheme="majorHAnsi"/>
          <w:sz w:val="22"/>
        </w:rPr>
        <w:t xml:space="preserve">. </w:t>
      </w:r>
    </w:p>
    <w:p w14:paraId="19071088" w14:textId="77777777" w:rsidR="00766551" w:rsidRPr="009879F9" w:rsidRDefault="00766551" w:rsidP="00766551">
      <w:pPr>
        <w:spacing w:after="0" w:line="240" w:lineRule="auto"/>
        <w:jc w:val="both"/>
        <w:rPr>
          <w:rFonts w:asciiTheme="majorHAnsi" w:hAnsiTheme="majorHAnsi" w:cstheme="majorHAnsi"/>
          <w:sz w:val="22"/>
        </w:rPr>
      </w:pPr>
    </w:p>
    <w:tbl>
      <w:tblPr>
        <w:tblW w:w="10250"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
        <w:gridCol w:w="1022"/>
        <w:gridCol w:w="2410"/>
        <w:gridCol w:w="6804"/>
        <w:gridCol w:w="7"/>
      </w:tblGrid>
      <w:tr w:rsidR="009879F9" w:rsidRPr="009879F9" w14:paraId="573650A7" w14:textId="77777777" w:rsidTr="005119DD">
        <w:trPr>
          <w:gridBefore w:val="1"/>
          <w:gridAfter w:val="1"/>
          <w:wBefore w:w="7" w:type="dxa"/>
          <w:wAfter w:w="7" w:type="dxa"/>
          <w:cantSplit/>
        </w:trPr>
        <w:tc>
          <w:tcPr>
            <w:tcW w:w="1022" w:type="dxa"/>
            <w:vAlign w:val="center"/>
          </w:tcPr>
          <w:p w14:paraId="509A2C93" w14:textId="77777777" w:rsidR="009879F9" w:rsidRPr="009879F9" w:rsidRDefault="009879F9" w:rsidP="00766551">
            <w:pPr>
              <w:spacing w:after="0" w:line="240" w:lineRule="auto"/>
              <w:rPr>
                <w:rFonts w:asciiTheme="majorHAnsi" w:hAnsiTheme="majorHAnsi" w:cstheme="majorHAnsi"/>
                <w:b/>
                <w:sz w:val="22"/>
              </w:rPr>
            </w:pPr>
            <w:r w:rsidRPr="009879F9">
              <w:rPr>
                <w:rFonts w:asciiTheme="majorHAnsi" w:hAnsiTheme="majorHAnsi" w:cstheme="majorHAnsi"/>
                <w:b/>
                <w:sz w:val="22"/>
              </w:rPr>
              <w:t>Eil. Nr.</w:t>
            </w:r>
          </w:p>
        </w:tc>
        <w:tc>
          <w:tcPr>
            <w:tcW w:w="2410" w:type="dxa"/>
          </w:tcPr>
          <w:p w14:paraId="45ACEAE1" w14:textId="77777777" w:rsidR="009879F9" w:rsidRPr="009879F9" w:rsidRDefault="009879F9" w:rsidP="00766551">
            <w:pPr>
              <w:spacing w:after="0" w:line="240" w:lineRule="auto"/>
              <w:rPr>
                <w:rFonts w:asciiTheme="majorHAnsi" w:hAnsiTheme="majorHAnsi" w:cstheme="majorHAnsi"/>
                <w:b/>
                <w:sz w:val="22"/>
              </w:rPr>
            </w:pPr>
            <w:r w:rsidRPr="009879F9">
              <w:rPr>
                <w:rFonts w:asciiTheme="majorHAnsi" w:hAnsiTheme="majorHAnsi" w:cstheme="majorHAnsi"/>
                <w:b/>
                <w:sz w:val="22"/>
              </w:rPr>
              <w:t>Pavadinimas</w:t>
            </w:r>
          </w:p>
        </w:tc>
        <w:tc>
          <w:tcPr>
            <w:tcW w:w="6804" w:type="dxa"/>
            <w:vAlign w:val="center"/>
          </w:tcPr>
          <w:p w14:paraId="15BB8DA9" w14:textId="77777777" w:rsidR="009879F9" w:rsidRPr="009879F9" w:rsidRDefault="009879F9" w:rsidP="00766551">
            <w:pPr>
              <w:spacing w:after="0" w:line="240" w:lineRule="auto"/>
              <w:rPr>
                <w:rFonts w:asciiTheme="majorHAnsi" w:hAnsiTheme="majorHAnsi" w:cstheme="majorHAnsi"/>
                <w:b/>
                <w:sz w:val="22"/>
              </w:rPr>
            </w:pPr>
            <w:r w:rsidRPr="009879F9">
              <w:rPr>
                <w:rFonts w:asciiTheme="majorHAnsi" w:hAnsiTheme="majorHAnsi" w:cstheme="majorHAnsi"/>
                <w:b/>
                <w:sz w:val="22"/>
              </w:rPr>
              <w:t>Reikalavimai</w:t>
            </w:r>
          </w:p>
        </w:tc>
      </w:tr>
      <w:tr w:rsidR="009879F9" w:rsidRPr="009879F9" w14:paraId="476D9F69" w14:textId="77777777" w:rsidTr="005119DD">
        <w:trPr>
          <w:gridBefore w:val="1"/>
          <w:gridAfter w:val="1"/>
          <w:wBefore w:w="7" w:type="dxa"/>
          <w:wAfter w:w="7" w:type="dxa"/>
          <w:cantSplit/>
        </w:trPr>
        <w:tc>
          <w:tcPr>
            <w:tcW w:w="1022" w:type="dxa"/>
            <w:vAlign w:val="center"/>
          </w:tcPr>
          <w:p w14:paraId="59C102B7" w14:textId="77777777" w:rsidR="009879F9" w:rsidRPr="009879F9" w:rsidRDefault="009879F9" w:rsidP="00766551">
            <w:pPr>
              <w:numPr>
                <w:ilvl w:val="0"/>
                <w:numId w:val="4"/>
              </w:numPr>
              <w:spacing w:after="0" w:line="240" w:lineRule="auto"/>
              <w:rPr>
                <w:rFonts w:asciiTheme="majorHAnsi" w:hAnsiTheme="majorHAnsi" w:cstheme="majorHAnsi"/>
                <w:bCs/>
                <w:sz w:val="22"/>
              </w:rPr>
            </w:pPr>
          </w:p>
        </w:tc>
        <w:tc>
          <w:tcPr>
            <w:tcW w:w="2410" w:type="dxa"/>
          </w:tcPr>
          <w:p w14:paraId="5C91FD79" w14:textId="77777777" w:rsidR="009879F9" w:rsidRPr="009879F9" w:rsidRDefault="009879F9" w:rsidP="00766551">
            <w:pPr>
              <w:spacing w:after="0" w:line="240" w:lineRule="auto"/>
              <w:rPr>
                <w:rFonts w:asciiTheme="majorHAnsi" w:hAnsiTheme="majorHAnsi" w:cstheme="majorHAnsi"/>
                <w:bCs/>
                <w:sz w:val="22"/>
              </w:rPr>
            </w:pPr>
            <w:r w:rsidRPr="009879F9">
              <w:rPr>
                <w:rFonts w:asciiTheme="majorHAnsi" w:hAnsiTheme="majorHAnsi" w:cstheme="majorHAnsi"/>
                <w:bCs/>
                <w:sz w:val="22"/>
              </w:rPr>
              <w:t>Kiekis</w:t>
            </w:r>
          </w:p>
        </w:tc>
        <w:tc>
          <w:tcPr>
            <w:tcW w:w="6804" w:type="dxa"/>
            <w:vAlign w:val="center"/>
          </w:tcPr>
          <w:p w14:paraId="67B5E060" w14:textId="77777777" w:rsidR="009879F9" w:rsidRPr="009879F9" w:rsidRDefault="009879F9" w:rsidP="00766551">
            <w:pPr>
              <w:spacing w:after="0" w:line="240" w:lineRule="auto"/>
              <w:rPr>
                <w:rFonts w:asciiTheme="majorHAnsi" w:hAnsiTheme="majorHAnsi" w:cstheme="majorHAnsi"/>
                <w:bCs/>
                <w:sz w:val="22"/>
              </w:rPr>
            </w:pPr>
            <w:r w:rsidRPr="009879F9">
              <w:rPr>
                <w:rFonts w:asciiTheme="majorHAnsi" w:hAnsiTheme="majorHAnsi" w:cstheme="majorHAnsi"/>
                <w:bCs/>
                <w:sz w:val="22"/>
              </w:rPr>
              <w:t xml:space="preserve">5 </w:t>
            </w:r>
            <w:proofErr w:type="spellStart"/>
            <w:r w:rsidRPr="009879F9">
              <w:rPr>
                <w:rFonts w:asciiTheme="majorHAnsi" w:hAnsiTheme="majorHAnsi" w:cstheme="majorHAnsi"/>
                <w:bCs/>
                <w:sz w:val="22"/>
              </w:rPr>
              <w:t>vnt</w:t>
            </w:r>
            <w:proofErr w:type="spellEnd"/>
          </w:p>
        </w:tc>
      </w:tr>
      <w:tr w:rsidR="009879F9" w:rsidRPr="009879F9" w14:paraId="13DD2A63" w14:textId="77777777" w:rsidTr="005119DD">
        <w:tblPrEx>
          <w:tblCellMar>
            <w:left w:w="115" w:type="dxa"/>
            <w:right w:w="115" w:type="dxa"/>
          </w:tblCellMar>
        </w:tblPrEx>
        <w:trPr>
          <w:cantSplit/>
        </w:trPr>
        <w:tc>
          <w:tcPr>
            <w:tcW w:w="1029" w:type="dxa"/>
            <w:gridSpan w:val="2"/>
            <w:vAlign w:val="center"/>
          </w:tcPr>
          <w:p w14:paraId="5389657F" w14:textId="77777777" w:rsidR="009879F9" w:rsidRPr="009879F9" w:rsidRDefault="009879F9" w:rsidP="00766551">
            <w:pPr>
              <w:numPr>
                <w:ilvl w:val="0"/>
                <w:numId w:val="4"/>
              </w:numPr>
              <w:spacing w:after="0" w:line="240" w:lineRule="auto"/>
              <w:rPr>
                <w:rFonts w:asciiTheme="majorHAnsi" w:hAnsiTheme="majorHAnsi" w:cstheme="majorHAnsi"/>
                <w:sz w:val="22"/>
              </w:rPr>
            </w:pPr>
          </w:p>
        </w:tc>
        <w:tc>
          <w:tcPr>
            <w:tcW w:w="2410" w:type="dxa"/>
            <w:vAlign w:val="center"/>
          </w:tcPr>
          <w:p w14:paraId="5907979F" w14:textId="7EAC98D1"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Prekės tipas / suderinamumo reikalavimas</w:t>
            </w:r>
          </w:p>
        </w:tc>
        <w:tc>
          <w:tcPr>
            <w:tcW w:w="6811" w:type="dxa"/>
            <w:gridSpan w:val="2"/>
          </w:tcPr>
          <w:p w14:paraId="13508A7A" w14:textId="4476A7B4" w:rsidR="009879F9" w:rsidRPr="009879F9" w:rsidRDefault="009879F9" w:rsidP="00766551">
            <w:pPr>
              <w:spacing w:after="0" w:line="240" w:lineRule="auto"/>
              <w:rPr>
                <w:rFonts w:asciiTheme="majorHAnsi" w:hAnsiTheme="majorHAnsi" w:cstheme="majorHAnsi"/>
                <w:sz w:val="22"/>
              </w:rPr>
            </w:pPr>
            <w:proofErr w:type="spellStart"/>
            <w:r w:rsidRPr="009879F9">
              <w:rPr>
                <w:rFonts w:asciiTheme="majorHAnsi" w:hAnsiTheme="majorHAnsi" w:cstheme="majorHAnsi"/>
                <w:sz w:val="22"/>
              </w:rPr>
              <w:t>Avaya</w:t>
            </w:r>
            <w:proofErr w:type="spellEnd"/>
            <w:r w:rsidRPr="009879F9">
              <w:rPr>
                <w:rFonts w:asciiTheme="majorHAnsi" w:hAnsiTheme="majorHAnsi" w:cstheme="majorHAnsi"/>
                <w:sz w:val="22"/>
              </w:rPr>
              <w:t xml:space="preserve"> DS1 MM710 serijos plokštė</w:t>
            </w:r>
            <w:r w:rsidR="00B67A40">
              <w:rPr>
                <w:rFonts w:asciiTheme="majorHAnsi" w:hAnsiTheme="majorHAnsi" w:cstheme="majorHAnsi"/>
                <w:sz w:val="22"/>
              </w:rPr>
              <w:t xml:space="preserve"> arba lygiavertė.</w:t>
            </w:r>
          </w:p>
        </w:tc>
      </w:tr>
      <w:tr w:rsidR="009879F9" w:rsidRPr="009879F9" w14:paraId="67E40C3C" w14:textId="77777777" w:rsidTr="005119DD">
        <w:tblPrEx>
          <w:tblCellMar>
            <w:left w:w="115" w:type="dxa"/>
            <w:right w:w="115" w:type="dxa"/>
          </w:tblCellMar>
        </w:tblPrEx>
        <w:trPr>
          <w:cantSplit/>
        </w:trPr>
        <w:tc>
          <w:tcPr>
            <w:tcW w:w="1029" w:type="dxa"/>
            <w:gridSpan w:val="2"/>
            <w:vAlign w:val="center"/>
          </w:tcPr>
          <w:p w14:paraId="26AFD70E" w14:textId="77777777" w:rsidR="009879F9" w:rsidRPr="009879F9" w:rsidRDefault="009879F9" w:rsidP="00766551">
            <w:pPr>
              <w:numPr>
                <w:ilvl w:val="0"/>
                <w:numId w:val="4"/>
              </w:numPr>
              <w:spacing w:after="0" w:line="240" w:lineRule="auto"/>
              <w:rPr>
                <w:rFonts w:asciiTheme="majorHAnsi" w:hAnsiTheme="majorHAnsi" w:cstheme="majorHAnsi"/>
                <w:sz w:val="22"/>
              </w:rPr>
            </w:pPr>
          </w:p>
        </w:tc>
        <w:tc>
          <w:tcPr>
            <w:tcW w:w="2410" w:type="dxa"/>
            <w:vAlign w:val="center"/>
          </w:tcPr>
          <w:p w14:paraId="42DA0BAD" w14:textId="77777777"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Konstrukcija</w:t>
            </w:r>
          </w:p>
        </w:tc>
        <w:tc>
          <w:tcPr>
            <w:tcW w:w="6811" w:type="dxa"/>
            <w:gridSpan w:val="2"/>
            <w:vAlign w:val="center"/>
          </w:tcPr>
          <w:p w14:paraId="41FED2A6" w14:textId="5A23CDF0"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 xml:space="preserve">Plokštės </w:t>
            </w:r>
            <w:r w:rsidR="00B67A40">
              <w:rPr>
                <w:rFonts w:asciiTheme="majorHAnsi" w:hAnsiTheme="majorHAnsi" w:cstheme="majorHAnsi"/>
                <w:sz w:val="22"/>
              </w:rPr>
              <w:t>tinkamos</w:t>
            </w:r>
            <w:r w:rsidR="00B67A40" w:rsidRPr="009879F9">
              <w:rPr>
                <w:rFonts w:asciiTheme="majorHAnsi" w:hAnsiTheme="majorHAnsi" w:cstheme="majorHAnsi"/>
                <w:sz w:val="22"/>
              </w:rPr>
              <w:t xml:space="preserve"> </w:t>
            </w:r>
            <w:r w:rsidRPr="009879F9">
              <w:rPr>
                <w:rFonts w:asciiTheme="majorHAnsi" w:hAnsiTheme="majorHAnsi" w:cstheme="majorHAnsi"/>
                <w:sz w:val="22"/>
              </w:rPr>
              <w:t>montuo</w:t>
            </w:r>
            <w:r w:rsidR="00B67A40">
              <w:rPr>
                <w:rFonts w:asciiTheme="majorHAnsi" w:hAnsiTheme="majorHAnsi" w:cstheme="majorHAnsi"/>
                <w:sz w:val="22"/>
              </w:rPr>
              <w:t>ti</w:t>
            </w:r>
            <w:r w:rsidRPr="009879F9">
              <w:rPr>
                <w:rFonts w:asciiTheme="majorHAnsi" w:hAnsiTheme="majorHAnsi" w:cstheme="majorHAnsi"/>
                <w:sz w:val="22"/>
              </w:rPr>
              <w:t xml:space="preserve"> į </w:t>
            </w:r>
            <w:proofErr w:type="spellStart"/>
            <w:r w:rsidRPr="009879F9">
              <w:rPr>
                <w:rFonts w:asciiTheme="majorHAnsi" w:hAnsiTheme="majorHAnsi" w:cstheme="majorHAnsi"/>
                <w:sz w:val="22"/>
              </w:rPr>
              <w:t>Avaya</w:t>
            </w:r>
            <w:proofErr w:type="spellEnd"/>
            <w:r w:rsidRPr="009879F9">
              <w:rPr>
                <w:rFonts w:asciiTheme="majorHAnsi" w:hAnsiTheme="majorHAnsi" w:cstheme="majorHAnsi"/>
                <w:sz w:val="22"/>
              </w:rPr>
              <w:t xml:space="preserve"> </w:t>
            </w:r>
            <w:proofErr w:type="spellStart"/>
            <w:r w:rsidRPr="009879F9">
              <w:rPr>
                <w:rFonts w:asciiTheme="majorHAnsi" w:hAnsiTheme="majorHAnsi" w:cstheme="majorHAnsi"/>
                <w:sz w:val="22"/>
              </w:rPr>
              <w:t>Media</w:t>
            </w:r>
            <w:proofErr w:type="spellEnd"/>
            <w:r w:rsidRPr="009879F9">
              <w:rPr>
                <w:rFonts w:asciiTheme="majorHAnsi" w:hAnsiTheme="majorHAnsi" w:cstheme="majorHAnsi"/>
                <w:sz w:val="22"/>
              </w:rPr>
              <w:t xml:space="preserve"> </w:t>
            </w:r>
            <w:proofErr w:type="spellStart"/>
            <w:r w:rsidRPr="009879F9">
              <w:rPr>
                <w:rFonts w:asciiTheme="majorHAnsi" w:hAnsiTheme="majorHAnsi" w:cstheme="majorHAnsi"/>
                <w:sz w:val="22"/>
              </w:rPr>
              <w:t>gateway</w:t>
            </w:r>
            <w:proofErr w:type="spellEnd"/>
            <w:r w:rsidRPr="009879F9">
              <w:rPr>
                <w:rFonts w:asciiTheme="majorHAnsi" w:hAnsiTheme="majorHAnsi" w:cstheme="majorHAnsi"/>
                <w:sz w:val="22"/>
              </w:rPr>
              <w:t xml:space="preserve"> G450</w:t>
            </w:r>
            <w:r w:rsidR="00B67A40">
              <w:rPr>
                <w:rFonts w:asciiTheme="majorHAnsi" w:hAnsiTheme="majorHAnsi" w:cstheme="majorHAnsi"/>
                <w:sz w:val="22"/>
              </w:rPr>
              <w:t xml:space="preserve"> arba siūlomą lygiavertę</w:t>
            </w:r>
            <w:r w:rsidRPr="009879F9">
              <w:rPr>
                <w:rFonts w:asciiTheme="majorHAnsi" w:hAnsiTheme="majorHAnsi" w:cstheme="majorHAnsi"/>
                <w:sz w:val="22"/>
              </w:rPr>
              <w:t>.</w:t>
            </w:r>
          </w:p>
        </w:tc>
      </w:tr>
      <w:tr w:rsidR="009879F9" w:rsidRPr="009879F9" w14:paraId="0A216FC3" w14:textId="77777777" w:rsidTr="005119DD">
        <w:tblPrEx>
          <w:tblCellMar>
            <w:left w:w="115" w:type="dxa"/>
            <w:right w:w="115" w:type="dxa"/>
          </w:tblCellMar>
        </w:tblPrEx>
        <w:trPr>
          <w:cantSplit/>
        </w:trPr>
        <w:tc>
          <w:tcPr>
            <w:tcW w:w="1029" w:type="dxa"/>
            <w:gridSpan w:val="2"/>
            <w:vAlign w:val="center"/>
          </w:tcPr>
          <w:p w14:paraId="32B64326" w14:textId="77777777" w:rsidR="009879F9" w:rsidRPr="009879F9" w:rsidRDefault="009879F9" w:rsidP="00766551">
            <w:pPr>
              <w:numPr>
                <w:ilvl w:val="0"/>
                <w:numId w:val="4"/>
              </w:numPr>
              <w:spacing w:after="0" w:line="240" w:lineRule="auto"/>
              <w:rPr>
                <w:rFonts w:asciiTheme="majorHAnsi" w:hAnsiTheme="majorHAnsi" w:cstheme="majorHAnsi"/>
                <w:sz w:val="22"/>
              </w:rPr>
            </w:pPr>
          </w:p>
        </w:tc>
        <w:tc>
          <w:tcPr>
            <w:tcW w:w="2410" w:type="dxa"/>
            <w:vAlign w:val="center"/>
          </w:tcPr>
          <w:p w14:paraId="153ACB1F" w14:textId="77777777"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Kanalai</w:t>
            </w:r>
          </w:p>
        </w:tc>
        <w:tc>
          <w:tcPr>
            <w:tcW w:w="6811" w:type="dxa"/>
            <w:gridSpan w:val="2"/>
            <w:vAlign w:val="center"/>
          </w:tcPr>
          <w:p w14:paraId="0B8F0E3A" w14:textId="77777777" w:rsidR="009879F9" w:rsidRPr="009879F9" w:rsidRDefault="009879F9" w:rsidP="00766551">
            <w:pPr>
              <w:spacing w:after="0" w:line="240" w:lineRule="auto"/>
              <w:rPr>
                <w:rFonts w:asciiTheme="majorHAnsi" w:hAnsiTheme="majorHAnsi" w:cstheme="majorHAnsi"/>
                <w:bCs/>
                <w:sz w:val="22"/>
              </w:rPr>
            </w:pPr>
            <w:r w:rsidRPr="009879F9">
              <w:rPr>
                <w:rFonts w:asciiTheme="majorHAnsi" w:hAnsiTheme="majorHAnsi" w:cstheme="majorHAnsi"/>
                <w:bCs/>
                <w:sz w:val="22"/>
              </w:rPr>
              <w:t>30B + 1D</w:t>
            </w:r>
          </w:p>
        </w:tc>
      </w:tr>
      <w:tr w:rsidR="009879F9" w:rsidRPr="009879F9" w14:paraId="5AFE89DC" w14:textId="77777777" w:rsidTr="005119DD">
        <w:tblPrEx>
          <w:tblCellMar>
            <w:left w:w="115" w:type="dxa"/>
            <w:right w:w="115" w:type="dxa"/>
          </w:tblCellMar>
        </w:tblPrEx>
        <w:trPr>
          <w:cantSplit/>
        </w:trPr>
        <w:tc>
          <w:tcPr>
            <w:tcW w:w="1029" w:type="dxa"/>
            <w:gridSpan w:val="2"/>
            <w:vAlign w:val="center"/>
          </w:tcPr>
          <w:p w14:paraId="3FC93128" w14:textId="77777777" w:rsidR="009879F9" w:rsidRPr="009879F9" w:rsidRDefault="009879F9" w:rsidP="00766551">
            <w:pPr>
              <w:numPr>
                <w:ilvl w:val="0"/>
                <w:numId w:val="4"/>
              </w:numPr>
              <w:spacing w:after="0" w:line="240" w:lineRule="auto"/>
              <w:rPr>
                <w:rFonts w:asciiTheme="majorHAnsi" w:hAnsiTheme="majorHAnsi" w:cstheme="majorHAnsi"/>
                <w:sz w:val="22"/>
              </w:rPr>
            </w:pPr>
          </w:p>
        </w:tc>
        <w:tc>
          <w:tcPr>
            <w:tcW w:w="2410" w:type="dxa"/>
            <w:vAlign w:val="center"/>
          </w:tcPr>
          <w:p w14:paraId="246F908B" w14:textId="77777777"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Standartas</w:t>
            </w:r>
          </w:p>
        </w:tc>
        <w:tc>
          <w:tcPr>
            <w:tcW w:w="6811" w:type="dxa"/>
            <w:gridSpan w:val="2"/>
          </w:tcPr>
          <w:p w14:paraId="6708E322" w14:textId="77777777" w:rsidR="009879F9" w:rsidRPr="009879F9" w:rsidRDefault="009879F9" w:rsidP="00766551">
            <w:pPr>
              <w:spacing w:after="0" w:line="240" w:lineRule="auto"/>
              <w:rPr>
                <w:rFonts w:asciiTheme="majorHAnsi" w:hAnsiTheme="majorHAnsi" w:cstheme="majorHAnsi"/>
                <w:bCs/>
                <w:sz w:val="22"/>
              </w:rPr>
            </w:pPr>
            <w:r w:rsidRPr="009879F9">
              <w:rPr>
                <w:rFonts w:asciiTheme="majorHAnsi" w:hAnsiTheme="majorHAnsi" w:cstheme="majorHAnsi"/>
                <w:bCs/>
                <w:sz w:val="22"/>
              </w:rPr>
              <w:t>E1: 2.048 Mbps (ITU-T G.703)</w:t>
            </w:r>
          </w:p>
        </w:tc>
      </w:tr>
      <w:tr w:rsidR="009879F9" w:rsidRPr="009879F9" w14:paraId="66EC9374" w14:textId="77777777" w:rsidTr="005119DD">
        <w:tblPrEx>
          <w:tblCellMar>
            <w:left w:w="115" w:type="dxa"/>
            <w:right w:w="115" w:type="dxa"/>
          </w:tblCellMar>
        </w:tblPrEx>
        <w:trPr>
          <w:cantSplit/>
        </w:trPr>
        <w:tc>
          <w:tcPr>
            <w:tcW w:w="1029" w:type="dxa"/>
            <w:gridSpan w:val="2"/>
            <w:vAlign w:val="center"/>
          </w:tcPr>
          <w:p w14:paraId="71FB9615" w14:textId="77777777" w:rsidR="009879F9" w:rsidRPr="009879F9" w:rsidRDefault="009879F9" w:rsidP="00766551">
            <w:pPr>
              <w:numPr>
                <w:ilvl w:val="0"/>
                <w:numId w:val="4"/>
              </w:numPr>
              <w:spacing w:after="0" w:line="240" w:lineRule="auto"/>
              <w:rPr>
                <w:rFonts w:asciiTheme="majorHAnsi" w:hAnsiTheme="majorHAnsi" w:cstheme="majorHAnsi"/>
                <w:sz w:val="22"/>
              </w:rPr>
            </w:pPr>
          </w:p>
        </w:tc>
        <w:tc>
          <w:tcPr>
            <w:tcW w:w="2410" w:type="dxa"/>
            <w:vAlign w:val="center"/>
          </w:tcPr>
          <w:p w14:paraId="5BB9A9AD" w14:textId="77777777"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 xml:space="preserve">Linijos kodavimas </w:t>
            </w:r>
          </w:p>
        </w:tc>
        <w:tc>
          <w:tcPr>
            <w:tcW w:w="6811" w:type="dxa"/>
            <w:gridSpan w:val="2"/>
            <w:vAlign w:val="center"/>
          </w:tcPr>
          <w:p w14:paraId="7CAF2A09" w14:textId="77777777"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E1 HDB3</w:t>
            </w:r>
          </w:p>
        </w:tc>
      </w:tr>
      <w:tr w:rsidR="009879F9" w:rsidRPr="009879F9" w14:paraId="1872E701" w14:textId="77777777" w:rsidTr="005119DD">
        <w:tblPrEx>
          <w:tblCellMar>
            <w:left w:w="115" w:type="dxa"/>
            <w:right w:w="115" w:type="dxa"/>
          </w:tblCellMar>
        </w:tblPrEx>
        <w:trPr>
          <w:cantSplit/>
        </w:trPr>
        <w:tc>
          <w:tcPr>
            <w:tcW w:w="1029" w:type="dxa"/>
            <w:gridSpan w:val="2"/>
            <w:vAlign w:val="center"/>
          </w:tcPr>
          <w:p w14:paraId="1CE1B078" w14:textId="77777777" w:rsidR="009879F9" w:rsidRPr="009879F9" w:rsidRDefault="009879F9" w:rsidP="00766551">
            <w:pPr>
              <w:numPr>
                <w:ilvl w:val="0"/>
                <w:numId w:val="4"/>
              </w:numPr>
              <w:spacing w:after="0" w:line="240" w:lineRule="auto"/>
              <w:rPr>
                <w:rFonts w:asciiTheme="majorHAnsi" w:hAnsiTheme="majorHAnsi" w:cstheme="majorHAnsi"/>
                <w:sz w:val="22"/>
              </w:rPr>
            </w:pPr>
          </w:p>
        </w:tc>
        <w:tc>
          <w:tcPr>
            <w:tcW w:w="2410" w:type="dxa"/>
            <w:vAlign w:val="center"/>
          </w:tcPr>
          <w:p w14:paraId="193BB194" w14:textId="77777777"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 xml:space="preserve">Garso kodavimas </w:t>
            </w:r>
          </w:p>
        </w:tc>
        <w:tc>
          <w:tcPr>
            <w:tcW w:w="6811" w:type="dxa"/>
            <w:gridSpan w:val="2"/>
            <w:vAlign w:val="center"/>
          </w:tcPr>
          <w:p w14:paraId="22184745" w14:textId="77777777"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A-</w:t>
            </w:r>
            <w:proofErr w:type="spellStart"/>
            <w:r w:rsidRPr="009879F9">
              <w:rPr>
                <w:rFonts w:asciiTheme="majorHAnsi" w:hAnsiTheme="majorHAnsi" w:cstheme="majorHAnsi"/>
                <w:sz w:val="22"/>
              </w:rPr>
              <w:t>law</w:t>
            </w:r>
            <w:proofErr w:type="spellEnd"/>
          </w:p>
        </w:tc>
      </w:tr>
      <w:tr w:rsidR="009879F9" w:rsidRPr="009879F9" w14:paraId="51439727" w14:textId="77777777" w:rsidTr="005119DD">
        <w:tblPrEx>
          <w:tblCellMar>
            <w:left w:w="115" w:type="dxa"/>
            <w:right w:w="115" w:type="dxa"/>
          </w:tblCellMar>
        </w:tblPrEx>
        <w:trPr>
          <w:cantSplit/>
        </w:trPr>
        <w:tc>
          <w:tcPr>
            <w:tcW w:w="1029" w:type="dxa"/>
            <w:gridSpan w:val="2"/>
          </w:tcPr>
          <w:p w14:paraId="0B14C90A" w14:textId="77777777" w:rsidR="009879F9" w:rsidRPr="009879F9" w:rsidRDefault="009879F9" w:rsidP="00766551">
            <w:pPr>
              <w:numPr>
                <w:ilvl w:val="0"/>
                <w:numId w:val="4"/>
              </w:numPr>
              <w:spacing w:after="0" w:line="240" w:lineRule="auto"/>
              <w:rPr>
                <w:rFonts w:asciiTheme="majorHAnsi" w:hAnsiTheme="majorHAnsi" w:cstheme="majorHAnsi"/>
                <w:sz w:val="22"/>
              </w:rPr>
            </w:pPr>
          </w:p>
        </w:tc>
        <w:tc>
          <w:tcPr>
            <w:tcW w:w="2410" w:type="dxa"/>
          </w:tcPr>
          <w:p w14:paraId="37713689" w14:textId="77777777" w:rsidR="009879F9" w:rsidRPr="009879F9" w:rsidDel="0083675C"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Naujumas</w:t>
            </w:r>
          </w:p>
        </w:tc>
        <w:tc>
          <w:tcPr>
            <w:tcW w:w="6811" w:type="dxa"/>
            <w:gridSpan w:val="2"/>
          </w:tcPr>
          <w:p w14:paraId="0D45FE90" w14:textId="77777777"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 xml:space="preserve">Įranga gali būti naudota ir atnaujinta (angl. </w:t>
            </w:r>
            <w:proofErr w:type="spellStart"/>
            <w:r w:rsidRPr="009879F9">
              <w:rPr>
                <w:rFonts w:asciiTheme="majorHAnsi" w:hAnsiTheme="majorHAnsi" w:cstheme="majorHAnsi"/>
                <w:sz w:val="22"/>
              </w:rPr>
              <w:t>refurbished</w:t>
            </w:r>
            <w:proofErr w:type="spellEnd"/>
            <w:r w:rsidRPr="009879F9">
              <w:rPr>
                <w:rFonts w:asciiTheme="majorHAnsi" w:hAnsiTheme="majorHAnsi" w:cstheme="majorHAnsi"/>
                <w:sz w:val="22"/>
              </w:rPr>
              <w:t xml:space="preserve">) </w:t>
            </w:r>
          </w:p>
        </w:tc>
      </w:tr>
      <w:tr w:rsidR="009879F9" w:rsidRPr="009879F9" w14:paraId="39B3D45B" w14:textId="77777777" w:rsidTr="005119DD">
        <w:tblPrEx>
          <w:tblCellMar>
            <w:left w:w="115" w:type="dxa"/>
            <w:right w:w="115" w:type="dxa"/>
          </w:tblCellMar>
        </w:tblPrEx>
        <w:trPr>
          <w:cantSplit/>
          <w:trHeight w:val="576"/>
        </w:trPr>
        <w:tc>
          <w:tcPr>
            <w:tcW w:w="1029" w:type="dxa"/>
            <w:gridSpan w:val="2"/>
            <w:vAlign w:val="center"/>
          </w:tcPr>
          <w:p w14:paraId="290A9FE4" w14:textId="77777777" w:rsidR="009879F9" w:rsidRPr="009879F9" w:rsidRDefault="009879F9" w:rsidP="00766551">
            <w:pPr>
              <w:numPr>
                <w:ilvl w:val="0"/>
                <w:numId w:val="4"/>
              </w:numPr>
              <w:spacing w:after="0" w:line="240" w:lineRule="auto"/>
              <w:rPr>
                <w:rFonts w:asciiTheme="majorHAnsi" w:hAnsiTheme="majorHAnsi" w:cstheme="majorHAnsi"/>
                <w:sz w:val="22"/>
              </w:rPr>
            </w:pPr>
          </w:p>
        </w:tc>
        <w:tc>
          <w:tcPr>
            <w:tcW w:w="2410" w:type="dxa"/>
            <w:vAlign w:val="center"/>
          </w:tcPr>
          <w:p w14:paraId="71507FBC" w14:textId="6497C571"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Garantija</w:t>
            </w:r>
          </w:p>
        </w:tc>
        <w:tc>
          <w:tcPr>
            <w:tcW w:w="6811" w:type="dxa"/>
            <w:gridSpan w:val="2"/>
            <w:vAlign w:val="center"/>
          </w:tcPr>
          <w:p w14:paraId="38413C51" w14:textId="77777777"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Ne mažiau 12 mėnesių.</w:t>
            </w:r>
          </w:p>
        </w:tc>
      </w:tr>
      <w:tr w:rsidR="009879F9" w:rsidRPr="009879F9" w14:paraId="11927DD4" w14:textId="77777777" w:rsidTr="005119DD">
        <w:tblPrEx>
          <w:tblCellMar>
            <w:left w:w="115" w:type="dxa"/>
            <w:right w:w="115" w:type="dxa"/>
          </w:tblCellMar>
        </w:tblPrEx>
        <w:trPr>
          <w:cantSplit/>
          <w:trHeight w:val="252"/>
        </w:trPr>
        <w:tc>
          <w:tcPr>
            <w:tcW w:w="1029" w:type="dxa"/>
            <w:gridSpan w:val="2"/>
            <w:vAlign w:val="center"/>
          </w:tcPr>
          <w:p w14:paraId="42E6743C" w14:textId="77777777" w:rsidR="009879F9" w:rsidRPr="009879F9" w:rsidRDefault="009879F9" w:rsidP="00766551">
            <w:pPr>
              <w:numPr>
                <w:ilvl w:val="0"/>
                <w:numId w:val="4"/>
              </w:numPr>
              <w:spacing w:after="0" w:line="240" w:lineRule="auto"/>
              <w:rPr>
                <w:rFonts w:asciiTheme="majorHAnsi" w:hAnsiTheme="majorHAnsi" w:cstheme="majorHAnsi"/>
                <w:sz w:val="22"/>
              </w:rPr>
            </w:pPr>
          </w:p>
        </w:tc>
        <w:tc>
          <w:tcPr>
            <w:tcW w:w="2410" w:type="dxa"/>
            <w:vAlign w:val="center"/>
          </w:tcPr>
          <w:p w14:paraId="1E05FF16" w14:textId="77777777"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Tiekėjas turi būti siūlomos įrangos gamintojas arba būti įgaliotas gamintojo atstovas arba turi būti sudaręs atitinkamą sutartį su kitu ūkio subjektu, turinčiu teisę platinti/parduoti siūlomą įrangą</w:t>
            </w:r>
          </w:p>
        </w:tc>
        <w:tc>
          <w:tcPr>
            <w:tcW w:w="6811" w:type="dxa"/>
            <w:gridSpan w:val="2"/>
            <w:vAlign w:val="center"/>
          </w:tcPr>
          <w:p w14:paraId="6717A7F0" w14:textId="32E0A303" w:rsidR="009879F9" w:rsidRPr="009879F9" w:rsidRDefault="009879F9" w:rsidP="00766551">
            <w:pPr>
              <w:spacing w:after="0" w:line="240" w:lineRule="auto"/>
              <w:rPr>
                <w:rFonts w:asciiTheme="majorHAnsi" w:hAnsiTheme="majorHAnsi" w:cstheme="majorHAnsi"/>
                <w:sz w:val="22"/>
              </w:rPr>
            </w:pPr>
            <w:r w:rsidRPr="009879F9">
              <w:rPr>
                <w:rFonts w:asciiTheme="majorHAnsi" w:hAnsiTheme="majorHAnsi" w:cstheme="majorHAnsi"/>
                <w:sz w:val="22"/>
              </w:rPr>
              <w:t>Tiekėjas, teikdamas pasiūlymą, turi pateikti dokumentą, patvirtinantį, kad tiekėjas yra siūlomos įrangos gamintojas (pateikiama tiekėjo pažyma), ar įgaliotas siūlomos įrangos gamintojo atstovas (pateikiami oficialų atstovavimą patvirtinantys dokumentai), turintis teisę platinti/parduoti siūlomą įrangą</w:t>
            </w:r>
            <w:r w:rsidR="00B67A40">
              <w:rPr>
                <w:rFonts w:asciiTheme="majorHAnsi" w:hAnsiTheme="majorHAnsi" w:cstheme="majorHAnsi"/>
                <w:sz w:val="22"/>
              </w:rPr>
              <w:t xml:space="preserve"> </w:t>
            </w:r>
            <w:r w:rsidR="00B67A40" w:rsidRPr="00B67A40">
              <w:rPr>
                <w:rFonts w:asciiTheme="majorHAnsi" w:hAnsiTheme="majorHAnsi" w:cstheme="majorHAnsi"/>
                <w:sz w:val="22"/>
              </w:rPr>
              <w:t>arba yra sudaręs atitinkamą bendradarbiavimo sutartį su kitu ūkio subjektu, turinčiu atitinkamas gamintojo suteiktas teises (pateikiama patvirtinančios sutarties su kita įmone, turinčia teisę atstovauti siūlomos įrangos gamintoją, skaitmeninė kopija bei ūkio subjektui, su kuriuo sudaryta bendradarbiavimo sutartis, gamintojo išduotas įgaliojimas</w:t>
            </w:r>
            <w:r w:rsidRPr="009879F9">
              <w:rPr>
                <w:rFonts w:asciiTheme="majorHAnsi" w:hAnsiTheme="majorHAnsi" w:cstheme="majorHAnsi"/>
                <w:sz w:val="22"/>
              </w:rPr>
              <w:t>.</w:t>
            </w:r>
          </w:p>
        </w:tc>
      </w:tr>
    </w:tbl>
    <w:p w14:paraId="3BF1E71D" w14:textId="743DA76E" w:rsidR="009879F9" w:rsidRPr="009879F9" w:rsidRDefault="005119DD" w:rsidP="00766551">
      <w:pPr>
        <w:spacing w:after="0" w:line="240" w:lineRule="auto"/>
        <w:jc w:val="center"/>
        <w:rPr>
          <w:rFonts w:asciiTheme="majorHAnsi" w:hAnsiTheme="majorHAnsi" w:cstheme="majorHAnsi"/>
          <w:sz w:val="22"/>
        </w:rPr>
      </w:pPr>
      <w:r>
        <w:rPr>
          <w:rFonts w:asciiTheme="majorHAnsi" w:hAnsiTheme="majorHAnsi" w:cstheme="majorHAnsi"/>
          <w:sz w:val="22"/>
        </w:rPr>
        <w:t>______________</w:t>
      </w:r>
    </w:p>
    <w:p w14:paraId="138B6596" w14:textId="77777777" w:rsidR="00735D34" w:rsidRPr="009879F9" w:rsidRDefault="00735D34">
      <w:pPr>
        <w:rPr>
          <w:rFonts w:asciiTheme="majorHAnsi" w:hAnsiTheme="majorHAnsi" w:cstheme="majorHAnsi"/>
          <w:sz w:val="22"/>
        </w:rPr>
      </w:pPr>
    </w:p>
    <w:sectPr w:rsidR="00735D34" w:rsidRPr="009879F9" w:rsidSect="00321874">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E7A0E63"/>
    <w:multiLevelType w:val="hybridMultilevel"/>
    <w:tmpl w:val="56BCEC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DA3A63"/>
    <w:multiLevelType w:val="multilevel"/>
    <w:tmpl w:val="9D44B250"/>
    <w:lvl w:ilvl="0">
      <w:start w:val="1"/>
      <w:numFmt w:val="decimal"/>
      <w:lvlText w:val="%1."/>
      <w:lvlJc w:val="left"/>
      <w:pPr>
        <w:ind w:left="786" w:hanging="360"/>
      </w:pPr>
      <w:rPr>
        <w:rFonts w:hint="default"/>
        <w:b w:val="0"/>
        <w:bCs/>
      </w:rPr>
    </w:lvl>
    <w:lvl w:ilvl="1">
      <w:start w:val="3"/>
      <w:numFmt w:val="decimal"/>
      <w:isLgl/>
      <w:lvlText w:val="%1.%2."/>
      <w:lvlJc w:val="left"/>
      <w:pPr>
        <w:ind w:left="966"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747D2160"/>
    <w:multiLevelType w:val="hybridMultilevel"/>
    <w:tmpl w:val="56BCEC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4743979">
    <w:abstractNumId w:val="0"/>
  </w:num>
  <w:num w:numId="2" w16cid:durableId="2060741178">
    <w:abstractNumId w:val="2"/>
  </w:num>
  <w:num w:numId="3" w16cid:durableId="351300108">
    <w:abstractNumId w:val="1"/>
  </w:num>
  <w:num w:numId="4" w16cid:durableId="495263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xMjE3NzM1AzKMLZR0lIJTi4sz8/NACgxrAZV9BTAsAAAA"/>
  </w:docVars>
  <w:rsids>
    <w:rsidRoot w:val="009F69B1"/>
    <w:rsid w:val="00002A8D"/>
    <w:rsid w:val="00037267"/>
    <w:rsid w:val="000A472C"/>
    <w:rsid w:val="000D77EF"/>
    <w:rsid w:val="000E1C43"/>
    <w:rsid w:val="001D3FDB"/>
    <w:rsid w:val="001D7FEB"/>
    <w:rsid w:val="001E7A02"/>
    <w:rsid w:val="0029411E"/>
    <w:rsid w:val="00321874"/>
    <w:rsid w:val="00326B6E"/>
    <w:rsid w:val="00381957"/>
    <w:rsid w:val="003C3231"/>
    <w:rsid w:val="004202CC"/>
    <w:rsid w:val="004440E7"/>
    <w:rsid w:val="00452D65"/>
    <w:rsid w:val="005119DD"/>
    <w:rsid w:val="0057797F"/>
    <w:rsid w:val="00683C0C"/>
    <w:rsid w:val="00735D34"/>
    <w:rsid w:val="00766551"/>
    <w:rsid w:val="007955C9"/>
    <w:rsid w:val="00797F0D"/>
    <w:rsid w:val="00825FAC"/>
    <w:rsid w:val="008D3B2D"/>
    <w:rsid w:val="00933533"/>
    <w:rsid w:val="009879F9"/>
    <w:rsid w:val="00995FF6"/>
    <w:rsid w:val="009F69B1"/>
    <w:rsid w:val="00B67A40"/>
    <w:rsid w:val="00D12884"/>
    <w:rsid w:val="00D40DF5"/>
    <w:rsid w:val="00D41A1F"/>
    <w:rsid w:val="00DC38BE"/>
    <w:rsid w:val="00E53C87"/>
    <w:rsid w:val="00E66666"/>
    <w:rsid w:val="00E72249"/>
    <w:rsid w:val="00E7788A"/>
    <w:rsid w:val="00FD1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character" w:styleId="Hipersaitas">
    <w:name w:val="Hyperlink"/>
    <w:basedOn w:val="Numatytasispastraiposriftas"/>
    <w:uiPriority w:val="99"/>
    <w:unhideWhenUsed/>
    <w:rsid w:val="00E72249"/>
    <w:rPr>
      <w:color w:val="0563C1" w:themeColor="hyperlink"/>
      <w:u w:val="single"/>
    </w:rPr>
  </w:style>
  <w:style w:type="character" w:styleId="Neapdorotaspaminjimas">
    <w:name w:val="Unresolved Mention"/>
    <w:basedOn w:val="Numatytasispastraiposriftas"/>
    <w:uiPriority w:val="99"/>
    <w:semiHidden/>
    <w:unhideWhenUsed/>
    <w:rsid w:val="00E72249"/>
    <w:rPr>
      <w:color w:val="605E5C"/>
      <w:shd w:val="clear" w:color="auto" w:fill="E1DFDD"/>
    </w:rPr>
  </w:style>
  <w:style w:type="paragraph" w:styleId="Sraopastraipa">
    <w:name w:val="List Paragraph"/>
    <w:basedOn w:val="prastasis"/>
    <w:uiPriority w:val="34"/>
    <w:qFormat/>
    <w:rsid w:val="00B67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02A8D"/>
    <w:rsid w:val="00037267"/>
    <w:rsid w:val="00064217"/>
    <w:rsid w:val="001B41E4"/>
    <w:rsid w:val="001C6A8C"/>
    <w:rsid w:val="001D7FEB"/>
    <w:rsid w:val="0020343C"/>
    <w:rsid w:val="003528D3"/>
    <w:rsid w:val="00381957"/>
    <w:rsid w:val="004202CC"/>
    <w:rsid w:val="00434E8B"/>
    <w:rsid w:val="0057797F"/>
    <w:rsid w:val="006F31D8"/>
    <w:rsid w:val="00743892"/>
    <w:rsid w:val="00764A39"/>
    <w:rsid w:val="007A3D4C"/>
    <w:rsid w:val="00821EB0"/>
    <w:rsid w:val="0082510A"/>
    <w:rsid w:val="008D3B2D"/>
    <w:rsid w:val="00933533"/>
    <w:rsid w:val="009C6CA6"/>
    <w:rsid w:val="00AC789D"/>
    <w:rsid w:val="00BD1B19"/>
    <w:rsid w:val="00C5199B"/>
    <w:rsid w:val="00D7642B"/>
    <w:rsid w:val="00DE4D7B"/>
    <w:rsid w:val="00E25E51"/>
    <w:rsid w:val="00EA743B"/>
    <w:rsid w:val="00F017E5"/>
    <w:rsid w:val="00FD1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5515</Words>
  <Characters>3144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Asta Šimonėlienė</cp:lastModifiedBy>
  <cp:revision>18</cp:revision>
  <dcterms:created xsi:type="dcterms:W3CDTF">2023-01-10T08:54:00Z</dcterms:created>
  <dcterms:modified xsi:type="dcterms:W3CDTF">2026-06-19T04:39:00Z</dcterms:modified>
</cp:coreProperties>
</file>