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F351" w14:textId="4292B86A" w:rsidR="001F0491" w:rsidRDefault="001F0491" w:rsidP="001F049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AB Lietuvos oro uostams</w:t>
      </w:r>
      <w:r>
        <w:rPr>
          <w:rStyle w:val="eop"/>
          <w:rFonts w:eastAsiaTheme="majorEastAsia"/>
          <w:sz w:val="22"/>
          <w:szCs w:val="22"/>
        </w:rPr>
        <w:t> </w:t>
      </w:r>
    </w:p>
    <w:p w14:paraId="1C8D42B2" w14:textId="13010CBF" w:rsidR="001F0491" w:rsidRDefault="001F0491" w:rsidP="001F0491">
      <w:pPr>
        <w:pStyle w:val="paragraph"/>
        <w:spacing w:before="0" w:beforeAutospacing="0" w:after="0" w:afterAutospacing="0"/>
        <w:jc w:val="center"/>
        <w:textAlignment w:val="baseline"/>
        <w:rPr>
          <w:rFonts w:ascii="Segoe UI" w:hAnsi="Segoe UI" w:cs="Segoe UI"/>
          <w:sz w:val="18"/>
          <w:szCs w:val="18"/>
        </w:rPr>
      </w:pPr>
    </w:p>
    <w:p w14:paraId="70BCE955" w14:textId="77777777" w:rsidR="00BE23DD" w:rsidRPr="00F647F0" w:rsidRDefault="001F0491" w:rsidP="001F0491">
      <w:pPr>
        <w:pStyle w:val="paragraph"/>
        <w:spacing w:before="0" w:beforeAutospacing="0" w:after="0" w:afterAutospacing="0"/>
        <w:jc w:val="center"/>
        <w:textAlignment w:val="baseline"/>
        <w:rPr>
          <w:b/>
          <w:bCs/>
        </w:rPr>
      </w:pPr>
      <w:r w:rsidRPr="00F647F0">
        <w:rPr>
          <w:rStyle w:val="normaltextrun"/>
          <w:rFonts w:eastAsiaTheme="majorEastAsia"/>
          <w:b/>
          <w:bCs/>
          <w:sz w:val="22"/>
          <w:szCs w:val="22"/>
        </w:rPr>
        <w:t>TIEKĖJO</w:t>
      </w:r>
      <w:r w:rsidR="00BE23DD" w:rsidRPr="00F647F0">
        <w:rPr>
          <w:b/>
          <w:bCs/>
        </w:rPr>
        <w:t xml:space="preserve"> ATITIKTIES KIBERNETINIO SAUGUMO REIKALAVIMAMS</w:t>
      </w:r>
    </w:p>
    <w:p w14:paraId="6C04B73A" w14:textId="2A52BDED" w:rsidR="00BE23DD" w:rsidRPr="00BE23DD" w:rsidRDefault="001F0491" w:rsidP="00BE23DD">
      <w:pPr>
        <w:pStyle w:val="paragraph"/>
        <w:spacing w:before="0" w:beforeAutospacing="0" w:after="0" w:afterAutospacing="0"/>
        <w:jc w:val="center"/>
        <w:textAlignment w:val="baseline"/>
        <w:rPr>
          <w:rFonts w:ascii="Segoe UI" w:hAnsi="Segoe UI" w:cs="Segoe UI"/>
          <w:sz w:val="18"/>
          <w:szCs w:val="18"/>
        </w:rPr>
      </w:pPr>
      <w:r w:rsidRPr="00F647F0">
        <w:rPr>
          <w:rStyle w:val="normaltextrun"/>
          <w:rFonts w:eastAsiaTheme="majorEastAsia"/>
          <w:b/>
          <w:bCs/>
          <w:sz w:val="22"/>
          <w:szCs w:val="22"/>
        </w:rPr>
        <w:t xml:space="preserve"> DEKLARACIJA</w:t>
      </w:r>
    </w:p>
    <w:p w14:paraId="09DDF2C1" w14:textId="0517A2C4" w:rsidR="007C520E" w:rsidRPr="00BE23DD" w:rsidRDefault="00BE23DD" w:rsidP="00781C60">
      <w:pPr>
        <w:jc w:val="center"/>
        <w:rPr>
          <w:rFonts w:ascii="Times New Roman" w:hAnsi="Times New Roman" w:cs="Times New Roman"/>
          <w:i/>
          <w:iCs/>
          <w:sz w:val="24"/>
          <w:szCs w:val="24"/>
        </w:rPr>
      </w:pPr>
      <w:r w:rsidRPr="00E02663">
        <w:rPr>
          <w:rFonts w:ascii="Times New Roman" w:hAnsi="Times New Roman" w:cs="Times New Roman"/>
          <w:i/>
          <w:iCs/>
          <w:sz w:val="24"/>
          <w:szCs w:val="24"/>
        </w:rPr>
        <w:t>(taikoma paslaugų, darbų ar įrangos pirkimams, susijusiems su tinklų ir informacinių sistemų projektavimu, kūrimu, diegimu, naudojimu, priežiūra, modernizavimu ir (ar) kibernetinio saugumo užtikrinimu)</w:t>
      </w:r>
    </w:p>
    <w:p w14:paraId="759AD08C" w14:textId="77777777" w:rsidR="002622B2" w:rsidRPr="0064056C" w:rsidRDefault="002622B2" w:rsidP="00463616">
      <w:pPr>
        <w:jc w:val="both"/>
        <w:rPr>
          <w:rFonts w:ascii="Times New Roman" w:hAnsi="Times New Roman" w:cs="Times New Roman"/>
          <w:b/>
          <w:bCs/>
          <w:sz w:val="24"/>
          <w:szCs w:val="24"/>
        </w:rPr>
      </w:pPr>
      <w:r w:rsidRPr="0064056C">
        <w:rPr>
          <w:rFonts w:ascii="Times New Roman" w:hAnsi="Times New Roman" w:cs="Times New Roman"/>
          <w:b/>
          <w:bCs/>
          <w:sz w:val="24"/>
          <w:szCs w:val="24"/>
        </w:rPr>
        <w:t>1. Bendroji dalis</w:t>
      </w:r>
    </w:p>
    <w:p w14:paraId="4F3F6EBD" w14:textId="70588FD5"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Mes, [</w:t>
      </w:r>
      <w:r w:rsidRPr="00E02663">
        <w:rPr>
          <w:rFonts w:ascii="Times New Roman" w:hAnsi="Times New Roman" w:cs="Times New Roman"/>
          <w:i/>
          <w:iCs/>
          <w:sz w:val="24"/>
          <w:szCs w:val="24"/>
        </w:rPr>
        <w:t>Tiekėjo pavadinimas</w:t>
      </w:r>
      <w:r w:rsidRPr="00541600">
        <w:rPr>
          <w:rFonts w:ascii="Times New Roman" w:hAnsi="Times New Roman" w:cs="Times New Roman"/>
          <w:sz w:val="24"/>
          <w:szCs w:val="24"/>
        </w:rPr>
        <w:t>], juridinio asmens kodas [</w:t>
      </w:r>
      <w:r w:rsidRPr="00E02663">
        <w:rPr>
          <w:rFonts w:ascii="Times New Roman" w:hAnsi="Times New Roman" w:cs="Times New Roman"/>
          <w:i/>
          <w:iCs/>
          <w:sz w:val="24"/>
          <w:szCs w:val="24"/>
        </w:rPr>
        <w:t>kodas</w:t>
      </w:r>
      <w:r w:rsidRPr="00541600">
        <w:rPr>
          <w:rFonts w:ascii="Times New Roman" w:hAnsi="Times New Roman" w:cs="Times New Roman"/>
          <w:sz w:val="24"/>
          <w:szCs w:val="24"/>
        </w:rPr>
        <w:t>], registruota buveinė [</w:t>
      </w:r>
      <w:r w:rsidRPr="00E02663">
        <w:rPr>
          <w:rFonts w:ascii="Times New Roman" w:hAnsi="Times New Roman" w:cs="Times New Roman"/>
          <w:i/>
          <w:iCs/>
          <w:sz w:val="24"/>
          <w:szCs w:val="24"/>
        </w:rPr>
        <w:t>adresas</w:t>
      </w:r>
      <w:r w:rsidRPr="00541600">
        <w:rPr>
          <w:rFonts w:ascii="Times New Roman" w:hAnsi="Times New Roman" w:cs="Times New Roman"/>
          <w:sz w:val="24"/>
          <w:szCs w:val="24"/>
        </w:rPr>
        <w:t xml:space="preserve">] (toliau – Tiekėjas), patvirtiname ir deklaruojame, kad siūlomos </w:t>
      </w:r>
      <w:r w:rsidRPr="004D279D">
        <w:rPr>
          <w:rFonts w:ascii="Times New Roman" w:hAnsi="Times New Roman" w:cs="Times New Roman"/>
          <w:sz w:val="24"/>
          <w:szCs w:val="24"/>
        </w:rPr>
        <w:t>paslaugos,</w:t>
      </w:r>
      <w:r w:rsidR="008001FE" w:rsidRPr="004D279D">
        <w:rPr>
          <w:rFonts w:ascii="Times New Roman" w:hAnsi="Times New Roman" w:cs="Times New Roman"/>
          <w:sz w:val="24"/>
          <w:szCs w:val="24"/>
        </w:rPr>
        <w:t xml:space="preserve"> darbai, įranga (</w:t>
      </w:r>
      <w:r w:rsidRPr="004D279D">
        <w:rPr>
          <w:rFonts w:ascii="Times New Roman" w:hAnsi="Times New Roman" w:cs="Times New Roman"/>
          <w:sz w:val="24"/>
          <w:szCs w:val="24"/>
        </w:rPr>
        <w:t>prekės</w:t>
      </w:r>
      <w:r w:rsidR="008001FE" w:rsidRPr="004D279D">
        <w:rPr>
          <w:rFonts w:ascii="Times New Roman" w:hAnsi="Times New Roman" w:cs="Times New Roman"/>
          <w:sz w:val="24"/>
          <w:szCs w:val="24"/>
        </w:rPr>
        <w:t>)</w:t>
      </w:r>
      <w:r w:rsidRPr="00541600">
        <w:rPr>
          <w:rFonts w:ascii="Times New Roman" w:hAnsi="Times New Roman" w:cs="Times New Roman"/>
          <w:sz w:val="24"/>
          <w:szCs w:val="24"/>
        </w:rPr>
        <w:t xml:space="preserve"> ir (ar) sprendiniai atitinka šiame dokumente nurodytus kibernetinio saugumo reikalavimus.</w:t>
      </w:r>
    </w:p>
    <w:p w14:paraId="74D77028" w14:textId="395630E4"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 xml:space="preserve">Ši deklaracija teikiama siekiant patvirtinti atitiktį </w:t>
      </w:r>
      <w:r w:rsidR="00DA4206">
        <w:rPr>
          <w:rFonts w:ascii="Times New Roman" w:hAnsi="Times New Roman" w:cs="Times New Roman"/>
          <w:sz w:val="24"/>
          <w:szCs w:val="24"/>
        </w:rPr>
        <w:t xml:space="preserve">aktualiam </w:t>
      </w:r>
      <w:r w:rsidRPr="00541600">
        <w:rPr>
          <w:rFonts w:ascii="Times New Roman" w:hAnsi="Times New Roman" w:cs="Times New Roman"/>
          <w:sz w:val="24"/>
          <w:szCs w:val="24"/>
        </w:rPr>
        <w:t>Lietuvos Respublikos kibernetinio saugumo teisiniam reguliavimui ir Europos Sąjungos teisės aktams, taikomiems kibernetinio saugumo srityje.</w:t>
      </w:r>
    </w:p>
    <w:p w14:paraId="07F6957D" w14:textId="77777777" w:rsidR="002622B2" w:rsidRPr="0064056C" w:rsidRDefault="002622B2" w:rsidP="00463616">
      <w:pPr>
        <w:jc w:val="both"/>
        <w:rPr>
          <w:rFonts w:ascii="Times New Roman" w:hAnsi="Times New Roman" w:cs="Times New Roman"/>
          <w:b/>
          <w:bCs/>
          <w:sz w:val="24"/>
          <w:szCs w:val="24"/>
        </w:rPr>
      </w:pPr>
      <w:r w:rsidRPr="0064056C">
        <w:rPr>
          <w:rFonts w:ascii="Times New Roman" w:hAnsi="Times New Roman" w:cs="Times New Roman"/>
          <w:b/>
          <w:bCs/>
          <w:sz w:val="24"/>
          <w:szCs w:val="24"/>
        </w:rPr>
        <w:t>2. Atitiktis Lietuvos Respublikos teisės aktams</w:t>
      </w:r>
    </w:p>
    <w:p w14:paraId="19D17FB4" w14:textId="77777777"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Tiekėjas deklaruoja, kad:</w:t>
      </w:r>
    </w:p>
    <w:p w14:paraId="151CE513" w14:textId="626A55F5"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2.1. Siūlomi sprendiniai, paslaugos</w:t>
      </w:r>
      <w:r w:rsidR="00C3348B">
        <w:rPr>
          <w:rFonts w:ascii="Times New Roman" w:hAnsi="Times New Roman" w:cs="Times New Roman"/>
          <w:sz w:val="24"/>
          <w:szCs w:val="24"/>
        </w:rPr>
        <w:t>, darbai</w:t>
      </w:r>
      <w:r w:rsidRPr="00541600">
        <w:rPr>
          <w:rFonts w:ascii="Times New Roman" w:hAnsi="Times New Roman" w:cs="Times New Roman"/>
          <w:sz w:val="24"/>
          <w:szCs w:val="24"/>
        </w:rPr>
        <w:t xml:space="preserve"> ir (ar) techninė įranga</w:t>
      </w:r>
      <w:r w:rsidR="00C3348B">
        <w:rPr>
          <w:rFonts w:ascii="Times New Roman" w:hAnsi="Times New Roman" w:cs="Times New Roman"/>
          <w:sz w:val="24"/>
          <w:szCs w:val="24"/>
        </w:rPr>
        <w:t xml:space="preserve"> (prekės)</w:t>
      </w:r>
      <w:r w:rsidRPr="00541600">
        <w:rPr>
          <w:rFonts w:ascii="Times New Roman" w:hAnsi="Times New Roman" w:cs="Times New Roman"/>
          <w:sz w:val="24"/>
          <w:szCs w:val="24"/>
        </w:rPr>
        <w:t xml:space="preserve"> atitinka Lietuvos Respublikos kibernetinio saugumo įstatymo nuostatas.</w:t>
      </w:r>
    </w:p>
    <w:p w14:paraId="0363B73D" w14:textId="278D3FE3"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2.2. Tiekėjas užtikrina atitiktį Kibernetinio saugumo reikalavimų aprašui, patvirtintam Lietuvos Respublikos Vyriausybės 2018 m. rugpjūčio 13 d. nutarimu Nr. 818 „Dėl Lietuvos Respublikos kibernetinio saugumo įstatymo įgyvendinimo“, tiek, kiek tai susiję su pirkimo objektu, įskaitant, bet neapsiribojant:</w:t>
      </w:r>
    </w:p>
    <w:p w14:paraId="23796452" w14:textId="77777777"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tinklų ir informacinių sistemų saugumo priemones;</w:t>
      </w:r>
    </w:p>
    <w:p w14:paraId="030A6A5F" w14:textId="77777777"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prieigos prie informacinių sistemų valdymą;</w:t>
      </w:r>
    </w:p>
    <w:p w14:paraId="419F640D" w14:textId="77777777"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pažeidžiamumų ir saugumo spragų valdymą;</w:t>
      </w:r>
    </w:p>
    <w:p w14:paraId="1ACE20A4" w14:textId="77777777"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šifravimo ir kriptografinių priemonių taikymą;</w:t>
      </w:r>
    </w:p>
    <w:p w14:paraId="70C6FCDB" w14:textId="77777777"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duomenų atsarginių kopijų kūrimą ir atkūrimą;</w:t>
      </w:r>
    </w:p>
    <w:p w14:paraId="011D872E" w14:textId="77777777" w:rsidR="005D725E"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incidentų nustatymo, valdymo ir pranešimo procesus</w:t>
      </w:r>
      <w:r w:rsidR="005D725E">
        <w:rPr>
          <w:rFonts w:ascii="Times New Roman" w:hAnsi="Times New Roman" w:cs="Times New Roman"/>
          <w:sz w:val="24"/>
          <w:szCs w:val="24"/>
        </w:rPr>
        <w:t>;</w:t>
      </w:r>
    </w:p>
    <w:p w14:paraId="46DEB9C0" w14:textId="66425CD2" w:rsidR="002622B2" w:rsidRPr="00541600" w:rsidRDefault="005D725E" w:rsidP="00463616">
      <w:pPr>
        <w:jc w:val="both"/>
        <w:rPr>
          <w:rFonts w:ascii="Times New Roman" w:hAnsi="Times New Roman" w:cs="Times New Roman"/>
          <w:sz w:val="24"/>
          <w:szCs w:val="24"/>
        </w:rPr>
      </w:pPr>
      <w:r>
        <w:rPr>
          <w:rFonts w:ascii="Times New Roman" w:hAnsi="Times New Roman" w:cs="Times New Roman"/>
          <w:sz w:val="24"/>
          <w:szCs w:val="24"/>
        </w:rPr>
        <w:t>darbuotojų kibernetinio saugumo mokymus</w:t>
      </w:r>
      <w:r w:rsidR="004D279D">
        <w:rPr>
          <w:rFonts w:ascii="Times New Roman" w:hAnsi="Times New Roman" w:cs="Times New Roman"/>
          <w:sz w:val="24"/>
          <w:szCs w:val="24"/>
        </w:rPr>
        <w:t xml:space="preserve"> ir kt</w:t>
      </w:r>
      <w:r w:rsidR="002622B2" w:rsidRPr="00541600">
        <w:rPr>
          <w:rFonts w:ascii="Times New Roman" w:hAnsi="Times New Roman" w:cs="Times New Roman"/>
          <w:sz w:val="24"/>
          <w:szCs w:val="24"/>
        </w:rPr>
        <w:t>.</w:t>
      </w:r>
    </w:p>
    <w:p w14:paraId="6988CD65" w14:textId="77777777" w:rsidR="002622B2" w:rsidRPr="0064056C" w:rsidRDefault="002622B2" w:rsidP="00463616">
      <w:pPr>
        <w:jc w:val="both"/>
        <w:rPr>
          <w:rFonts w:ascii="Times New Roman" w:hAnsi="Times New Roman" w:cs="Times New Roman"/>
          <w:b/>
          <w:bCs/>
          <w:sz w:val="24"/>
          <w:szCs w:val="24"/>
        </w:rPr>
      </w:pPr>
      <w:r w:rsidRPr="0064056C">
        <w:rPr>
          <w:rFonts w:ascii="Times New Roman" w:hAnsi="Times New Roman" w:cs="Times New Roman"/>
          <w:b/>
          <w:bCs/>
          <w:sz w:val="24"/>
          <w:szCs w:val="24"/>
        </w:rPr>
        <w:t>3. Atitiktis Europos Sąjungos teisės aktams (NIS2 / TIS2)</w:t>
      </w:r>
    </w:p>
    <w:p w14:paraId="403C82F1" w14:textId="77777777"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Tiekėjas patvirtina, kad:</w:t>
      </w:r>
    </w:p>
    <w:p w14:paraId="27592DB0" w14:textId="4C08DAA9" w:rsidR="00431192"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3.1. Veikloje ir teikiamuose sprendiniuose taiko kibernetinio saugumo rizikos valdymo</w:t>
      </w:r>
      <w:r w:rsidR="00F522FE">
        <w:rPr>
          <w:rFonts w:ascii="Times New Roman" w:hAnsi="Times New Roman" w:cs="Times New Roman"/>
          <w:sz w:val="24"/>
          <w:szCs w:val="24"/>
        </w:rPr>
        <w:t xml:space="preserve"> bei kitas</w:t>
      </w:r>
      <w:r w:rsidRPr="00541600">
        <w:rPr>
          <w:rFonts w:ascii="Times New Roman" w:hAnsi="Times New Roman" w:cs="Times New Roman"/>
          <w:sz w:val="24"/>
          <w:szCs w:val="24"/>
        </w:rPr>
        <w:t xml:space="preserve"> priemones, atitinkančias Europos Parlamento ir Tarybos direktyv</w:t>
      </w:r>
      <w:r w:rsidR="00F31365">
        <w:rPr>
          <w:rFonts w:ascii="Times New Roman" w:hAnsi="Times New Roman" w:cs="Times New Roman"/>
          <w:sz w:val="24"/>
          <w:szCs w:val="24"/>
        </w:rPr>
        <w:t>oje</w:t>
      </w:r>
      <w:r w:rsidRPr="00541600">
        <w:rPr>
          <w:rFonts w:ascii="Times New Roman" w:hAnsi="Times New Roman" w:cs="Times New Roman"/>
          <w:sz w:val="24"/>
          <w:szCs w:val="24"/>
        </w:rPr>
        <w:t xml:space="preserve"> (ES) 2022/2555 (NIS2 / TIS2) nustatytus minimalius reikalavimus.</w:t>
      </w:r>
    </w:p>
    <w:p w14:paraId="054DA98D" w14:textId="77777777" w:rsidR="00F522FE" w:rsidRDefault="00F522FE" w:rsidP="00463616">
      <w:pPr>
        <w:jc w:val="both"/>
        <w:rPr>
          <w:rFonts w:ascii="Times New Roman" w:hAnsi="Times New Roman" w:cs="Times New Roman"/>
          <w:sz w:val="24"/>
          <w:szCs w:val="24"/>
        </w:rPr>
      </w:pPr>
    </w:p>
    <w:p w14:paraId="103895C4" w14:textId="77777777" w:rsidR="00F522FE" w:rsidRPr="00541600" w:rsidRDefault="00F522FE" w:rsidP="00463616">
      <w:pPr>
        <w:jc w:val="both"/>
        <w:rPr>
          <w:rFonts w:ascii="Times New Roman" w:hAnsi="Times New Roman" w:cs="Times New Roman"/>
          <w:sz w:val="24"/>
          <w:szCs w:val="24"/>
        </w:rPr>
      </w:pPr>
    </w:p>
    <w:p w14:paraId="02A6D3B9" w14:textId="77777777" w:rsidR="002622B2" w:rsidRPr="0064056C" w:rsidRDefault="002622B2" w:rsidP="00463616">
      <w:pPr>
        <w:jc w:val="both"/>
        <w:rPr>
          <w:rFonts w:ascii="Times New Roman" w:hAnsi="Times New Roman" w:cs="Times New Roman"/>
          <w:b/>
          <w:bCs/>
          <w:sz w:val="24"/>
          <w:szCs w:val="24"/>
        </w:rPr>
      </w:pPr>
      <w:r w:rsidRPr="0064056C">
        <w:rPr>
          <w:rFonts w:ascii="Times New Roman" w:hAnsi="Times New Roman" w:cs="Times New Roman"/>
          <w:b/>
          <w:bCs/>
          <w:sz w:val="24"/>
          <w:szCs w:val="24"/>
        </w:rPr>
        <w:lastRenderedPageBreak/>
        <w:t>4. Trečiųjų šalių ir tiekimo grandinės saugumas</w:t>
      </w:r>
    </w:p>
    <w:p w14:paraId="551503CC" w14:textId="6A445D11"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 xml:space="preserve">Tiekėjas </w:t>
      </w:r>
      <w:r w:rsidRPr="0018757D">
        <w:rPr>
          <w:rFonts w:ascii="Times New Roman" w:hAnsi="Times New Roman" w:cs="Times New Roman"/>
          <w:sz w:val="24"/>
          <w:szCs w:val="24"/>
        </w:rPr>
        <w:t>deklaruoja, kad</w:t>
      </w:r>
      <w:r w:rsidR="005D725E" w:rsidRPr="0018757D">
        <w:rPr>
          <w:rFonts w:ascii="Times New Roman" w:hAnsi="Times New Roman" w:cs="Times New Roman"/>
          <w:sz w:val="24"/>
          <w:szCs w:val="24"/>
        </w:rPr>
        <w:t xml:space="preserve"> </w:t>
      </w:r>
      <w:r w:rsidR="005D725E" w:rsidRPr="0018757D">
        <w:rPr>
          <w:rStyle w:val="cf01"/>
          <w:rFonts w:ascii="Times New Roman" w:hAnsi="Times New Roman" w:cs="Times New Roman"/>
          <w:sz w:val="24"/>
          <w:szCs w:val="24"/>
        </w:rPr>
        <w:t xml:space="preserve">tuo atveju kai trečiosioms šalims perduodama sutarties vykdymo apimtis/ funkcijos, susijusios su tinklų informacinių </w:t>
      </w:r>
      <w:r w:rsidR="005D725E" w:rsidRPr="000231DB">
        <w:rPr>
          <w:rStyle w:val="cf01"/>
          <w:rFonts w:ascii="Times New Roman" w:hAnsi="Times New Roman" w:cs="Times New Roman"/>
          <w:sz w:val="24"/>
          <w:szCs w:val="24"/>
        </w:rPr>
        <w:t xml:space="preserve">sistemų </w:t>
      </w:r>
      <w:r w:rsidR="000231DB" w:rsidRPr="000231DB">
        <w:rPr>
          <w:rFonts w:ascii="Times New Roman" w:hAnsi="Times New Roman" w:cs="Times New Roman"/>
          <w:sz w:val="24"/>
          <w:szCs w:val="24"/>
        </w:rPr>
        <w:t xml:space="preserve">projektavimu, kūrimu, diegimu, naudojimu, priežiūra, modernizavimu ir (ar) </w:t>
      </w:r>
      <w:r w:rsidR="005D725E" w:rsidRPr="0018757D">
        <w:rPr>
          <w:rStyle w:val="cf01"/>
          <w:rFonts w:ascii="Times New Roman" w:hAnsi="Times New Roman" w:cs="Times New Roman"/>
          <w:sz w:val="24"/>
          <w:szCs w:val="24"/>
        </w:rPr>
        <w:t>kitomis kibernetinio saugumo požiūriu reikšmingomis veiklomis</w:t>
      </w:r>
      <w:r w:rsidR="00781C60">
        <w:rPr>
          <w:rStyle w:val="cf01"/>
          <w:rFonts w:ascii="Times New Roman" w:hAnsi="Times New Roman" w:cs="Times New Roman"/>
          <w:sz w:val="24"/>
          <w:szCs w:val="24"/>
        </w:rPr>
        <w:t xml:space="preserve"> ir</w:t>
      </w:r>
      <w:r w:rsidRPr="00541600">
        <w:rPr>
          <w:rFonts w:ascii="Times New Roman" w:hAnsi="Times New Roman" w:cs="Times New Roman"/>
          <w:sz w:val="24"/>
          <w:szCs w:val="24"/>
        </w:rPr>
        <w:t>:</w:t>
      </w:r>
    </w:p>
    <w:p w14:paraId="223F8DAB" w14:textId="6988BAF7"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 xml:space="preserve">4.1. Jeigu </w:t>
      </w:r>
      <w:r w:rsidR="00595C88">
        <w:rPr>
          <w:rFonts w:ascii="Times New Roman" w:hAnsi="Times New Roman" w:cs="Times New Roman"/>
          <w:sz w:val="24"/>
          <w:szCs w:val="24"/>
        </w:rPr>
        <w:t xml:space="preserve">sutarties vykdymui </w:t>
      </w:r>
      <w:r w:rsidRPr="00541600">
        <w:rPr>
          <w:rFonts w:ascii="Times New Roman" w:hAnsi="Times New Roman" w:cs="Times New Roman"/>
          <w:sz w:val="24"/>
          <w:szCs w:val="24"/>
        </w:rPr>
        <w:t>yra pasitelkiamos trečiosios šalys, jiems yra taikomi ne mažesni kibernetinio saugumo reikalavimai nei nustatyti šiame dokumente.</w:t>
      </w:r>
    </w:p>
    <w:p w14:paraId="08136BDB" w14:textId="4C11DFC3" w:rsidR="002622B2" w:rsidRPr="00F522FE"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4.2. Tiekėjas užtikrina, kad trečiosios šalys laikosi galiojančių kibernetinio saugumo teisės aktų reikalavimų</w:t>
      </w:r>
      <w:r w:rsidR="000D44C0">
        <w:rPr>
          <w:rFonts w:ascii="Times New Roman" w:hAnsi="Times New Roman" w:cs="Times New Roman"/>
          <w:sz w:val="24"/>
          <w:szCs w:val="24"/>
        </w:rPr>
        <w:t xml:space="preserve"> bei pateikia jų pasirašytas atitikties deklaracijas</w:t>
      </w:r>
      <w:r w:rsidRPr="00541600">
        <w:rPr>
          <w:rFonts w:ascii="Times New Roman" w:hAnsi="Times New Roman" w:cs="Times New Roman"/>
          <w:sz w:val="24"/>
          <w:szCs w:val="24"/>
        </w:rPr>
        <w:t>.</w:t>
      </w:r>
    </w:p>
    <w:p w14:paraId="6C1D57F8" w14:textId="77777777" w:rsidR="002622B2" w:rsidRPr="00F522FE" w:rsidRDefault="002622B2" w:rsidP="00463616">
      <w:pPr>
        <w:jc w:val="both"/>
        <w:rPr>
          <w:rFonts w:ascii="Times New Roman" w:hAnsi="Times New Roman" w:cs="Times New Roman"/>
          <w:b/>
          <w:bCs/>
          <w:sz w:val="24"/>
          <w:szCs w:val="24"/>
        </w:rPr>
      </w:pPr>
      <w:r w:rsidRPr="00F522FE">
        <w:rPr>
          <w:rFonts w:ascii="Times New Roman" w:hAnsi="Times New Roman" w:cs="Times New Roman"/>
          <w:b/>
          <w:bCs/>
          <w:sz w:val="24"/>
          <w:szCs w:val="24"/>
        </w:rPr>
        <w:t>5. Atsakomybė ir įsipareigojimai</w:t>
      </w:r>
    </w:p>
    <w:p w14:paraId="3CC4B3C3" w14:textId="77777777"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Tiekėjas patvirtina, kad:</w:t>
      </w:r>
    </w:p>
    <w:p w14:paraId="6131249E" w14:textId="77777777"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5.1. Pateikta informacija yra teisinga, išsami ir atitinka faktinę situaciją.</w:t>
      </w:r>
    </w:p>
    <w:p w14:paraId="3556A701" w14:textId="77777777" w:rsidR="002622B2" w:rsidRPr="00781C6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 xml:space="preserve">5.2. Įsipareigoja visą sutarties galiojimo laikotarpį palaikyti šiame dokumente deklaruojamą atitiktį </w:t>
      </w:r>
      <w:r w:rsidRPr="00781C60">
        <w:rPr>
          <w:rFonts w:ascii="Times New Roman" w:hAnsi="Times New Roman" w:cs="Times New Roman"/>
          <w:sz w:val="24"/>
          <w:szCs w:val="24"/>
        </w:rPr>
        <w:t>kibernetinio saugumo reikalavimams.</w:t>
      </w:r>
    </w:p>
    <w:p w14:paraId="58519087" w14:textId="2E264ED3" w:rsidR="002622B2" w:rsidRPr="00781C60" w:rsidRDefault="002622B2" w:rsidP="00463616">
      <w:pPr>
        <w:jc w:val="both"/>
        <w:rPr>
          <w:rFonts w:ascii="Times New Roman" w:hAnsi="Times New Roman" w:cs="Times New Roman"/>
          <w:sz w:val="24"/>
          <w:szCs w:val="24"/>
        </w:rPr>
      </w:pPr>
      <w:r w:rsidRPr="00781C60">
        <w:rPr>
          <w:rFonts w:ascii="Times New Roman" w:hAnsi="Times New Roman" w:cs="Times New Roman"/>
          <w:sz w:val="24"/>
          <w:szCs w:val="24"/>
        </w:rPr>
        <w:t>5.3. Įsipareigoja nedelsiant informuoti Perkan</w:t>
      </w:r>
      <w:r w:rsidR="00CC7C17" w:rsidRPr="00781C60">
        <w:rPr>
          <w:rFonts w:ascii="Times New Roman" w:hAnsi="Times New Roman" w:cs="Times New Roman"/>
          <w:sz w:val="24"/>
          <w:szCs w:val="24"/>
        </w:rPr>
        <w:t>tįjį subjektą</w:t>
      </w:r>
      <w:r w:rsidRPr="00781C60">
        <w:rPr>
          <w:rFonts w:ascii="Times New Roman" w:hAnsi="Times New Roman" w:cs="Times New Roman"/>
          <w:sz w:val="24"/>
          <w:szCs w:val="24"/>
        </w:rPr>
        <w:t xml:space="preserve"> apie bet kokius reikšmingus kibernetinio saugumo incidentus ar aplinkybes, galinčias turėti įtakos deklaruotai atitikčiai.</w:t>
      </w:r>
    </w:p>
    <w:p w14:paraId="08B96E0E" w14:textId="77777777" w:rsidR="00781C60" w:rsidRPr="00781C60" w:rsidRDefault="00781C60" w:rsidP="00CC37DF">
      <w:pPr>
        <w:pStyle w:val="pf0"/>
        <w:jc w:val="both"/>
      </w:pPr>
      <w:r w:rsidRPr="00781C60">
        <w:rPr>
          <w:rStyle w:val="cf01"/>
          <w:rFonts w:ascii="Times New Roman" w:hAnsi="Times New Roman" w:cs="Times New Roman"/>
          <w:sz w:val="24"/>
          <w:szCs w:val="24"/>
        </w:rPr>
        <w:t xml:space="preserve">5.4. Tiekėjui yra žinoma, jog Perkantysis subjektas visu sutarties vykdymo metu turi teisę iš anksto informavęs Tiekėją, atlikti tiekėjo atitikties kibernetinio saugumo reikalavimams auditą arba reikalauti atitiktį patvirtinančių dokumentų. </w:t>
      </w:r>
    </w:p>
    <w:p w14:paraId="5F3A1BA0" w14:textId="1B06A6BF" w:rsidR="002622B2" w:rsidRPr="00781C60" w:rsidRDefault="00781C60" w:rsidP="00CC37DF">
      <w:pPr>
        <w:pStyle w:val="pf0"/>
        <w:jc w:val="both"/>
      </w:pPr>
      <w:r w:rsidRPr="00781C60">
        <w:rPr>
          <w:rStyle w:val="cf11"/>
          <w:rFonts w:ascii="Times New Roman" w:hAnsi="Times New Roman" w:cs="Times New Roman"/>
          <w:sz w:val="24"/>
          <w:szCs w:val="24"/>
        </w:rPr>
        <w:t>5.5. Yra paskirti atsakingi asmenys u</w:t>
      </w:r>
      <w:r w:rsidRPr="00781C60">
        <w:rPr>
          <w:rStyle w:val="cf01"/>
          <w:rFonts w:ascii="Times New Roman" w:hAnsi="Times New Roman" w:cs="Times New Roman"/>
          <w:sz w:val="24"/>
          <w:szCs w:val="24"/>
        </w:rPr>
        <w:t>ž</w:t>
      </w:r>
      <w:r w:rsidRPr="00781C60">
        <w:rPr>
          <w:rStyle w:val="cf11"/>
          <w:rFonts w:ascii="Times New Roman" w:hAnsi="Times New Roman" w:cs="Times New Roman"/>
          <w:sz w:val="24"/>
          <w:szCs w:val="24"/>
        </w:rPr>
        <w:t xml:space="preserve"> kibernetinio saugumo </w:t>
      </w:r>
      <w:r w:rsidRPr="00781C60">
        <w:rPr>
          <w:rStyle w:val="cf01"/>
          <w:rFonts w:ascii="Times New Roman" w:hAnsi="Times New Roman" w:cs="Times New Roman"/>
          <w:sz w:val="24"/>
          <w:szCs w:val="24"/>
        </w:rPr>
        <w:t xml:space="preserve">reikalavimų įgyvendinimą, taip pat paskirti atsakingi asmenys atliekantys įgyvendinimo priežiūrą ir kontrolę. </w:t>
      </w:r>
    </w:p>
    <w:p w14:paraId="5342AB6E" w14:textId="77777777" w:rsidR="002622B2" w:rsidRPr="009E081E" w:rsidRDefault="002622B2" w:rsidP="00463616">
      <w:pPr>
        <w:jc w:val="both"/>
        <w:rPr>
          <w:rFonts w:ascii="Times New Roman" w:hAnsi="Times New Roman" w:cs="Times New Roman"/>
          <w:b/>
          <w:bCs/>
          <w:sz w:val="24"/>
          <w:szCs w:val="24"/>
        </w:rPr>
      </w:pPr>
      <w:r w:rsidRPr="009E081E">
        <w:rPr>
          <w:rFonts w:ascii="Times New Roman" w:hAnsi="Times New Roman" w:cs="Times New Roman"/>
          <w:b/>
          <w:bCs/>
          <w:sz w:val="24"/>
          <w:szCs w:val="24"/>
        </w:rPr>
        <w:t>6. Baigiamosios nuostatos</w:t>
      </w:r>
    </w:p>
    <w:p w14:paraId="7DD49973" w14:textId="566DD431"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Ši deklaracija yra neatskiriama tiekėjo pasiūlymo dalis ir galioja nuo jos pasirašymo dienos</w:t>
      </w:r>
      <w:r w:rsidR="00FC4415">
        <w:rPr>
          <w:rFonts w:ascii="Times New Roman" w:hAnsi="Times New Roman" w:cs="Times New Roman"/>
          <w:sz w:val="24"/>
          <w:szCs w:val="24"/>
        </w:rPr>
        <w:t xml:space="preserve"> iki</w:t>
      </w:r>
      <w:r w:rsidR="008D1A74">
        <w:rPr>
          <w:rFonts w:ascii="Times New Roman" w:hAnsi="Times New Roman" w:cs="Times New Roman"/>
          <w:sz w:val="24"/>
          <w:szCs w:val="24"/>
        </w:rPr>
        <w:t>,</w:t>
      </w:r>
      <w:r w:rsidR="00FC4415">
        <w:rPr>
          <w:rFonts w:ascii="Times New Roman" w:hAnsi="Times New Roman" w:cs="Times New Roman"/>
          <w:sz w:val="24"/>
          <w:szCs w:val="24"/>
        </w:rPr>
        <w:t xml:space="preserve"> </w:t>
      </w:r>
      <w:r w:rsidR="008D1A74">
        <w:rPr>
          <w:rFonts w:ascii="Times New Roman" w:hAnsi="Times New Roman" w:cs="Times New Roman"/>
          <w:sz w:val="24"/>
          <w:szCs w:val="24"/>
        </w:rPr>
        <w:t xml:space="preserve">pirkimo laimėjimo atveju, </w:t>
      </w:r>
      <w:r w:rsidR="00FC4415">
        <w:rPr>
          <w:rFonts w:ascii="Times New Roman" w:hAnsi="Times New Roman" w:cs="Times New Roman"/>
          <w:sz w:val="24"/>
          <w:szCs w:val="24"/>
        </w:rPr>
        <w:t>visiško sutartinių įsipareigojimų įvykdymo</w:t>
      </w:r>
      <w:r w:rsidRPr="00541600">
        <w:rPr>
          <w:rFonts w:ascii="Times New Roman" w:hAnsi="Times New Roman" w:cs="Times New Roman"/>
          <w:sz w:val="24"/>
          <w:szCs w:val="24"/>
        </w:rPr>
        <w:t>.</w:t>
      </w:r>
    </w:p>
    <w:p w14:paraId="600FC956" w14:textId="77777777" w:rsidR="002622B2" w:rsidRPr="00541600" w:rsidRDefault="002622B2" w:rsidP="00463616">
      <w:pPr>
        <w:jc w:val="both"/>
        <w:rPr>
          <w:rFonts w:ascii="Times New Roman" w:hAnsi="Times New Roman" w:cs="Times New Roman"/>
          <w:sz w:val="24"/>
          <w:szCs w:val="24"/>
        </w:rPr>
      </w:pPr>
    </w:p>
    <w:p w14:paraId="58ABCC1F" w14:textId="77777777"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Tiekėjas: ________________________________</w:t>
      </w:r>
    </w:p>
    <w:p w14:paraId="51C29FF8" w14:textId="77777777"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Pareigos, vardas, pavardė: ________________________________</w:t>
      </w:r>
    </w:p>
    <w:p w14:paraId="327FDDB6" w14:textId="77777777" w:rsidR="002622B2"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Parašas: ________________________________</w:t>
      </w:r>
    </w:p>
    <w:p w14:paraId="519FA4F0" w14:textId="6E69692E" w:rsidR="00142973" w:rsidRPr="00541600" w:rsidRDefault="002622B2" w:rsidP="00463616">
      <w:pPr>
        <w:jc w:val="both"/>
        <w:rPr>
          <w:rFonts w:ascii="Times New Roman" w:hAnsi="Times New Roman" w:cs="Times New Roman"/>
          <w:sz w:val="24"/>
          <w:szCs w:val="24"/>
        </w:rPr>
      </w:pPr>
      <w:r w:rsidRPr="00541600">
        <w:rPr>
          <w:rFonts w:ascii="Times New Roman" w:hAnsi="Times New Roman" w:cs="Times New Roman"/>
          <w:sz w:val="24"/>
          <w:szCs w:val="24"/>
        </w:rPr>
        <w:t>Data: ________________________________</w:t>
      </w:r>
    </w:p>
    <w:sectPr w:rsidR="00142973" w:rsidRPr="0054160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8E53" w14:textId="77777777" w:rsidR="00F41491" w:rsidRDefault="00F41491" w:rsidP="00C40950">
      <w:pPr>
        <w:spacing w:after="0" w:line="240" w:lineRule="auto"/>
      </w:pPr>
      <w:r>
        <w:separator/>
      </w:r>
    </w:p>
  </w:endnote>
  <w:endnote w:type="continuationSeparator" w:id="0">
    <w:p w14:paraId="484D3AD1" w14:textId="77777777" w:rsidR="00F41491" w:rsidRDefault="00F41491" w:rsidP="00C4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332B" w14:textId="77777777" w:rsidR="00F41491" w:rsidRDefault="00F41491" w:rsidP="00C40950">
      <w:pPr>
        <w:spacing w:after="0" w:line="240" w:lineRule="auto"/>
      </w:pPr>
      <w:r>
        <w:separator/>
      </w:r>
    </w:p>
  </w:footnote>
  <w:footnote w:type="continuationSeparator" w:id="0">
    <w:p w14:paraId="5DE46F44" w14:textId="77777777" w:rsidR="00F41491" w:rsidRDefault="00F41491" w:rsidP="00C40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C6E9C"/>
    <w:multiLevelType w:val="hybridMultilevel"/>
    <w:tmpl w:val="71DA384C"/>
    <w:lvl w:ilvl="0" w:tplc="3EE0609A">
      <w:start w:val="1"/>
      <w:numFmt w:val="bullet"/>
      <w:lvlText w:val="•"/>
      <w:lvlJc w:val="left"/>
      <w:pPr>
        <w:tabs>
          <w:tab w:val="num" w:pos="720"/>
        </w:tabs>
        <w:ind w:left="720" w:hanging="360"/>
      </w:pPr>
      <w:rPr>
        <w:rFonts w:ascii="Times New Roman" w:hAnsi="Times New Roman" w:hint="default"/>
      </w:rPr>
    </w:lvl>
    <w:lvl w:ilvl="1" w:tplc="82685D3A" w:tentative="1">
      <w:start w:val="1"/>
      <w:numFmt w:val="bullet"/>
      <w:lvlText w:val="•"/>
      <w:lvlJc w:val="left"/>
      <w:pPr>
        <w:tabs>
          <w:tab w:val="num" w:pos="1440"/>
        </w:tabs>
        <w:ind w:left="1440" w:hanging="360"/>
      </w:pPr>
      <w:rPr>
        <w:rFonts w:ascii="Times New Roman" w:hAnsi="Times New Roman" w:hint="default"/>
      </w:rPr>
    </w:lvl>
    <w:lvl w:ilvl="2" w:tplc="FE1AE66C" w:tentative="1">
      <w:start w:val="1"/>
      <w:numFmt w:val="bullet"/>
      <w:lvlText w:val="•"/>
      <w:lvlJc w:val="left"/>
      <w:pPr>
        <w:tabs>
          <w:tab w:val="num" w:pos="2160"/>
        </w:tabs>
        <w:ind w:left="2160" w:hanging="360"/>
      </w:pPr>
      <w:rPr>
        <w:rFonts w:ascii="Times New Roman" w:hAnsi="Times New Roman" w:hint="default"/>
      </w:rPr>
    </w:lvl>
    <w:lvl w:ilvl="3" w:tplc="3BDE105A" w:tentative="1">
      <w:start w:val="1"/>
      <w:numFmt w:val="bullet"/>
      <w:lvlText w:val="•"/>
      <w:lvlJc w:val="left"/>
      <w:pPr>
        <w:tabs>
          <w:tab w:val="num" w:pos="2880"/>
        </w:tabs>
        <w:ind w:left="2880" w:hanging="360"/>
      </w:pPr>
      <w:rPr>
        <w:rFonts w:ascii="Times New Roman" w:hAnsi="Times New Roman" w:hint="default"/>
      </w:rPr>
    </w:lvl>
    <w:lvl w:ilvl="4" w:tplc="9DF8BE3E" w:tentative="1">
      <w:start w:val="1"/>
      <w:numFmt w:val="bullet"/>
      <w:lvlText w:val="•"/>
      <w:lvlJc w:val="left"/>
      <w:pPr>
        <w:tabs>
          <w:tab w:val="num" w:pos="3600"/>
        </w:tabs>
        <w:ind w:left="3600" w:hanging="360"/>
      </w:pPr>
      <w:rPr>
        <w:rFonts w:ascii="Times New Roman" w:hAnsi="Times New Roman" w:hint="default"/>
      </w:rPr>
    </w:lvl>
    <w:lvl w:ilvl="5" w:tplc="FE84C8D4" w:tentative="1">
      <w:start w:val="1"/>
      <w:numFmt w:val="bullet"/>
      <w:lvlText w:val="•"/>
      <w:lvlJc w:val="left"/>
      <w:pPr>
        <w:tabs>
          <w:tab w:val="num" w:pos="4320"/>
        </w:tabs>
        <w:ind w:left="4320" w:hanging="360"/>
      </w:pPr>
      <w:rPr>
        <w:rFonts w:ascii="Times New Roman" w:hAnsi="Times New Roman" w:hint="default"/>
      </w:rPr>
    </w:lvl>
    <w:lvl w:ilvl="6" w:tplc="F99095F4" w:tentative="1">
      <w:start w:val="1"/>
      <w:numFmt w:val="bullet"/>
      <w:lvlText w:val="•"/>
      <w:lvlJc w:val="left"/>
      <w:pPr>
        <w:tabs>
          <w:tab w:val="num" w:pos="5040"/>
        </w:tabs>
        <w:ind w:left="5040" w:hanging="360"/>
      </w:pPr>
      <w:rPr>
        <w:rFonts w:ascii="Times New Roman" w:hAnsi="Times New Roman" w:hint="default"/>
      </w:rPr>
    </w:lvl>
    <w:lvl w:ilvl="7" w:tplc="236C32FC" w:tentative="1">
      <w:start w:val="1"/>
      <w:numFmt w:val="bullet"/>
      <w:lvlText w:val="•"/>
      <w:lvlJc w:val="left"/>
      <w:pPr>
        <w:tabs>
          <w:tab w:val="num" w:pos="5760"/>
        </w:tabs>
        <w:ind w:left="5760" w:hanging="360"/>
      </w:pPr>
      <w:rPr>
        <w:rFonts w:ascii="Times New Roman" w:hAnsi="Times New Roman" w:hint="default"/>
      </w:rPr>
    </w:lvl>
    <w:lvl w:ilvl="8" w:tplc="34EA865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3A2505E"/>
    <w:multiLevelType w:val="multilevel"/>
    <w:tmpl w:val="CEE8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878804">
    <w:abstractNumId w:val="1"/>
  </w:num>
  <w:num w:numId="2" w16cid:durableId="93928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AB"/>
    <w:rsid w:val="00001882"/>
    <w:rsid w:val="000231DB"/>
    <w:rsid w:val="000434D6"/>
    <w:rsid w:val="00080C1F"/>
    <w:rsid w:val="000D36E5"/>
    <w:rsid w:val="000D44C0"/>
    <w:rsid w:val="00142973"/>
    <w:rsid w:val="00144BE0"/>
    <w:rsid w:val="0018757D"/>
    <w:rsid w:val="001F0491"/>
    <w:rsid w:val="002622B2"/>
    <w:rsid w:val="002F182B"/>
    <w:rsid w:val="00431192"/>
    <w:rsid w:val="00463616"/>
    <w:rsid w:val="004D279D"/>
    <w:rsid w:val="00541600"/>
    <w:rsid w:val="00595C88"/>
    <w:rsid w:val="005D725E"/>
    <w:rsid w:val="0064056C"/>
    <w:rsid w:val="00713BE4"/>
    <w:rsid w:val="007417E7"/>
    <w:rsid w:val="00781C60"/>
    <w:rsid w:val="007C520E"/>
    <w:rsid w:val="008001FE"/>
    <w:rsid w:val="00860AAB"/>
    <w:rsid w:val="00896695"/>
    <w:rsid w:val="008D1A74"/>
    <w:rsid w:val="009A4EAB"/>
    <w:rsid w:val="009E081E"/>
    <w:rsid w:val="00A40C32"/>
    <w:rsid w:val="00A5729D"/>
    <w:rsid w:val="00A8075E"/>
    <w:rsid w:val="00AD47CF"/>
    <w:rsid w:val="00B51283"/>
    <w:rsid w:val="00BE23DD"/>
    <w:rsid w:val="00C048B4"/>
    <w:rsid w:val="00C14C96"/>
    <w:rsid w:val="00C234CD"/>
    <w:rsid w:val="00C3348B"/>
    <w:rsid w:val="00C40950"/>
    <w:rsid w:val="00CC37DF"/>
    <w:rsid w:val="00CC7C17"/>
    <w:rsid w:val="00CF312E"/>
    <w:rsid w:val="00D436CC"/>
    <w:rsid w:val="00D62478"/>
    <w:rsid w:val="00DA4206"/>
    <w:rsid w:val="00DD0C59"/>
    <w:rsid w:val="00DD0F91"/>
    <w:rsid w:val="00E02663"/>
    <w:rsid w:val="00E4457A"/>
    <w:rsid w:val="00E47E0F"/>
    <w:rsid w:val="00EA3FD0"/>
    <w:rsid w:val="00EB0F2C"/>
    <w:rsid w:val="00ED4671"/>
    <w:rsid w:val="00F216E7"/>
    <w:rsid w:val="00F31365"/>
    <w:rsid w:val="00F41491"/>
    <w:rsid w:val="00F522FE"/>
    <w:rsid w:val="00F647F0"/>
    <w:rsid w:val="00F81B73"/>
    <w:rsid w:val="00F822C5"/>
    <w:rsid w:val="00FA6D64"/>
    <w:rsid w:val="00FC4415"/>
    <w:rsid w:val="00FD6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C1D94"/>
  <w15:chartTrackingRefBased/>
  <w15:docId w15:val="{43CFEEC4-0FA4-4DAB-816E-CE7C6482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AAB"/>
    <w:rPr>
      <w:rFonts w:eastAsiaTheme="majorEastAsia" w:cstheme="majorBidi"/>
      <w:color w:val="272727" w:themeColor="text1" w:themeTint="D8"/>
    </w:rPr>
  </w:style>
  <w:style w:type="paragraph" w:styleId="Title">
    <w:name w:val="Title"/>
    <w:basedOn w:val="Normal"/>
    <w:next w:val="Normal"/>
    <w:link w:val="TitleChar"/>
    <w:uiPriority w:val="10"/>
    <w:qFormat/>
    <w:rsid w:val="00860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AAB"/>
    <w:pPr>
      <w:spacing w:before="160"/>
      <w:jc w:val="center"/>
    </w:pPr>
    <w:rPr>
      <w:i/>
      <w:iCs/>
      <w:color w:val="404040" w:themeColor="text1" w:themeTint="BF"/>
    </w:rPr>
  </w:style>
  <w:style w:type="character" w:customStyle="1" w:styleId="QuoteChar">
    <w:name w:val="Quote Char"/>
    <w:basedOn w:val="DefaultParagraphFont"/>
    <w:link w:val="Quote"/>
    <w:uiPriority w:val="29"/>
    <w:rsid w:val="00860AAB"/>
    <w:rPr>
      <w:i/>
      <w:iCs/>
      <w:color w:val="404040" w:themeColor="text1" w:themeTint="BF"/>
    </w:rPr>
  </w:style>
  <w:style w:type="paragraph" w:styleId="ListParagraph">
    <w:name w:val="List Paragraph"/>
    <w:basedOn w:val="Normal"/>
    <w:uiPriority w:val="34"/>
    <w:qFormat/>
    <w:rsid w:val="00860AAB"/>
    <w:pPr>
      <w:ind w:left="720"/>
      <w:contextualSpacing/>
    </w:pPr>
  </w:style>
  <w:style w:type="character" w:styleId="IntenseEmphasis">
    <w:name w:val="Intense Emphasis"/>
    <w:basedOn w:val="DefaultParagraphFont"/>
    <w:uiPriority w:val="21"/>
    <w:qFormat/>
    <w:rsid w:val="00860AAB"/>
    <w:rPr>
      <w:i/>
      <w:iCs/>
      <w:color w:val="0F4761" w:themeColor="accent1" w:themeShade="BF"/>
    </w:rPr>
  </w:style>
  <w:style w:type="paragraph" w:styleId="IntenseQuote">
    <w:name w:val="Intense Quote"/>
    <w:basedOn w:val="Normal"/>
    <w:next w:val="Normal"/>
    <w:link w:val="IntenseQuoteChar"/>
    <w:uiPriority w:val="30"/>
    <w:qFormat/>
    <w:rsid w:val="00860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AAB"/>
    <w:rPr>
      <w:i/>
      <w:iCs/>
      <w:color w:val="0F4761" w:themeColor="accent1" w:themeShade="BF"/>
    </w:rPr>
  </w:style>
  <w:style w:type="character" w:styleId="IntenseReference">
    <w:name w:val="Intense Reference"/>
    <w:basedOn w:val="DefaultParagraphFont"/>
    <w:uiPriority w:val="32"/>
    <w:qFormat/>
    <w:rsid w:val="00860AAB"/>
    <w:rPr>
      <w:b/>
      <w:bCs/>
      <w:smallCaps/>
      <w:color w:val="0F4761" w:themeColor="accent1" w:themeShade="BF"/>
      <w:spacing w:val="5"/>
    </w:rPr>
  </w:style>
  <w:style w:type="table" w:styleId="GridTable4-Accent1">
    <w:name w:val="Grid Table 4 Accent 1"/>
    <w:basedOn w:val="TableNormal"/>
    <w:uiPriority w:val="49"/>
    <w:rsid w:val="00F822C5"/>
    <w:pPr>
      <w:spacing w:after="0" w:line="240" w:lineRule="auto"/>
    </w:pPr>
    <w:rPr>
      <w:sz w:val="24"/>
      <w:szCs w:val="24"/>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 w:type="paragraph" w:customStyle="1" w:styleId="paragraph">
    <w:name w:val="paragraph"/>
    <w:basedOn w:val="Normal"/>
    <w:rsid w:val="001F049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1F0491"/>
  </w:style>
  <w:style w:type="character" w:customStyle="1" w:styleId="eop">
    <w:name w:val="eop"/>
    <w:basedOn w:val="DefaultParagraphFont"/>
    <w:rsid w:val="001F0491"/>
  </w:style>
  <w:style w:type="character" w:styleId="CommentReference">
    <w:name w:val="annotation reference"/>
    <w:basedOn w:val="DefaultParagraphFont"/>
    <w:uiPriority w:val="99"/>
    <w:semiHidden/>
    <w:unhideWhenUsed/>
    <w:rsid w:val="000D36E5"/>
    <w:rPr>
      <w:sz w:val="16"/>
      <w:szCs w:val="16"/>
    </w:rPr>
  </w:style>
  <w:style w:type="paragraph" w:styleId="CommentText">
    <w:name w:val="annotation text"/>
    <w:basedOn w:val="Normal"/>
    <w:link w:val="CommentTextChar"/>
    <w:uiPriority w:val="99"/>
    <w:unhideWhenUsed/>
    <w:rsid w:val="000D36E5"/>
    <w:pPr>
      <w:spacing w:line="240" w:lineRule="auto"/>
    </w:pPr>
    <w:rPr>
      <w:sz w:val="20"/>
      <w:szCs w:val="20"/>
    </w:rPr>
  </w:style>
  <w:style w:type="character" w:customStyle="1" w:styleId="CommentTextChar">
    <w:name w:val="Comment Text Char"/>
    <w:basedOn w:val="DefaultParagraphFont"/>
    <w:link w:val="CommentText"/>
    <w:uiPriority w:val="99"/>
    <w:rsid w:val="000D36E5"/>
    <w:rPr>
      <w:sz w:val="20"/>
      <w:szCs w:val="20"/>
    </w:rPr>
  </w:style>
  <w:style w:type="paragraph" w:styleId="CommentSubject">
    <w:name w:val="annotation subject"/>
    <w:basedOn w:val="CommentText"/>
    <w:next w:val="CommentText"/>
    <w:link w:val="CommentSubjectChar"/>
    <w:uiPriority w:val="99"/>
    <w:semiHidden/>
    <w:unhideWhenUsed/>
    <w:rsid w:val="000D36E5"/>
    <w:rPr>
      <w:b/>
      <w:bCs/>
    </w:rPr>
  </w:style>
  <w:style w:type="character" w:customStyle="1" w:styleId="CommentSubjectChar">
    <w:name w:val="Comment Subject Char"/>
    <w:basedOn w:val="CommentTextChar"/>
    <w:link w:val="CommentSubject"/>
    <w:uiPriority w:val="99"/>
    <w:semiHidden/>
    <w:rsid w:val="000D36E5"/>
    <w:rPr>
      <w:b/>
      <w:bCs/>
      <w:sz w:val="20"/>
      <w:szCs w:val="20"/>
    </w:rPr>
  </w:style>
  <w:style w:type="paragraph" w:customStyle="1" w:styleId="pf0">
    <w:name w:val="pf0"/>
    <w:basedOn w:val="Normal"/>
    <w:rsid w:val="005D725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DefaultParagraphFont"/>
    <w:rsid w:val="005D725E"/>
    <w:rPr>
      <w:rFonts w:ascii="Segoe UI" w:hAnsi="Segoe UI" w:cs="Segoe UI" w:hint="default"/>
      <w:sz w:val="18"/>
      <w:szCs w:val="18"/>
    </w:rPr>
  </w:style>
  <w:style w:type="character" w:customStyle="1" w:styleId="cf11">
    <w:name w:val="cf11"/>
    <w:basedOn w:val="DefaultParagraphFont"/>
    <w:rsid w:val="00781C60"/>
    <w:rPr>
      <w:rFonts w:ascii="Segoe UI" w:hAnsi="Segoe UI" w:cs="Segoe UI" w:hint="default"/>
      <w:sz w:val="18"/>
      <w:szCs w:val="18"/>
    </w:rPr>
  </w:style>
  <w:style w:type="paragraph" w:styleId="Header">
    <w:name w:val="header"/>
    <w:basedOn w:val="Normal"/>
    <w:link w:val="HeaderChar"/>
    <w:uiPriority w:val="99"/>
    <w:unhideWhenUsed/>
    <w:rsid w:val="00C409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C40950"/>
  </w:style>
  <w:style w:type="paragraph" w:styleId="Footer">
    <w:name w:val="footer"/>
    <w:basedOn w:val="Normal"/>
    <w:link w:val="FooterChar"/>
    <w:uiPriority w:val="99"/>
    <w:unhideWhenUsed/>
    <w:rsid w:val="00C409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C40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B5D5886C-CE49-4FA2-82D2-168206A98E44}"/>
</file>

<file path=customXml/itemProps2.xml><?xml version="1.0" encoding="utf-8"?>
<ds:datastoreItem xmlns:ds="http://schemas.openxmlformats.org/officeDocument/2006/customXml" ds:itemID="{1960CC74-1360-41A7-BD6D-4C7108A832C0}"/>
</file>

<file path=customXml/itemProps3.xml><?xml version="1.0" encoding="utf-8"?>
<ds:datastoreItem xmlns:ds="http://schemas.openxmlformats.org/officeDocument/2006/customXml" ds:itemID="{9E2B08B5-6727-4C5D-9E77-DA9D38F9D5BC}"/>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3382</Characters>
  <Application>Microsoft Office Word</Application>
  <DocSecurity>0</DocSecurity>
  <Lines>125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Dovilė Klišauskienė</cp:lastModifiedBy>
  <cp:revision>2</cp:revision>
  <dcterms:created xsi:type="dcterms:W3CDTF">2026-06-03T11:21:00Z</dcterms:created>
  <dcterms:modified xsi:type="dcterms:W3CDTF">2026-06-03T11:21:00Z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2026-06-03T11:21:43Z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4f41c3bd-b256-436a-94c6-edd1a92628f7</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ediaServiceImageTags">
    <vt:lpwstr/>
  </property>
  <property fmtid="{D5CDD505-2E9C-101B-9397-08002B2CF9AE}" pid="11" name="ContentTypeId">
    <vt:lpwstr>0x010100ED2A6C4708C64B4EAE917A5481687AFF</vt:lpwstr>
  </property>
</Properties>
</file>