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9BCBF16" w14:textId="2FCF6FC7" w:rsidR="000343A9" w:rsidRPr="00F14B7A" w:rsidRDefault="000343A9" w:rsidP="00034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3A9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AKIPLOTIS (PERIMETRAS)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0C1CA869" w14:textId="77777777" w:rsidR="000343A9" w:rsidRDefault="000343A9" w:rsidP="000343A9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4B70751D" w14:textId="3449BE77" w:rsidR="000343A9" w:rsidRPr="00F14B7A" w:rsidRDefault="000343A9" w:rsidP="00034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43A9">
        <w:rPr>
          <w:rFonts w:ascii="Times New Roman" w:eastAsia="TimesNewRomanPS-BoldMT" w:hAnsi="Times New Roman" w:cs="Times New Roman"/>
          <w:b/>
          <w:bCs/>
          <w:sz w:val="24"/>
          <w:szCs w:val="24"/>
        </w:rPr>
        <w:t>MEDICINOS ĮRANGA. AKIPLOTIS (PERIMETRAS)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8"/>
        <w:gridCol w:w="5274"/>
        <w:gridCol w:w="3686"/>
        <w:gridCol w:w="222"/>
      </w:tblGrid>
      <w:tr w:rsidR="000343A9" w:rsidRPr="000343A9" w14:paraId="7AEB65B8" w14:textId="77777777" w:rsidTr="000343A9">
        <w:trPr>
          <w:gridAfter w:val="1"/>
          <w:wAfter w:w="222" w:type="dxa"/>
          <w:trHeight w:val="855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73AC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8585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18DC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0343A9" w:rsidRPr="000343A9" w14:paraId="43484CBD" w14:textId="77777777" w:rsidTr="000343A9">
        <w:trPr>
          <w:trHeight w:val="300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2DB8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B8A6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72C0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FD4E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343A9" w:rsidRPr="000343A9" w14:paraId="7CB06E87" w14:textId="77777777" w:rsidTr="000343A9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7B4B95D" w14:textId="77777777" w:rsidR="000343A9" w:rsidRPr="000343A9" w:rsidRDefault="000343A9" w:rsidP="000343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B38024B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AUTOMATINIS KOMPIUTERINIS PERIMETRAS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EB76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A1DD38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38E1F380" w14:textId="77777777" w:rsidTr="000343A9">
        <w:trPr>
          <w:trHeight w:val="52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324C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4DD3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Automatinis perimetras, skirtas statinei automatinei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perimetrijai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, glaukomos, neurologinių ir kitų regos lauko defektų diagnostikai bei stebėsenai.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64AF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C8368F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25A6BCC4" w14:textId="77777777" w:rsidTr="000343A9">
        <w:trPr>
          <w:trHeight w:val="78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75063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CC77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Slenksčio testai: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Įranga turi turėti 10-2, 24-2 ir 30-2 tipo arba lygiaverčius gamintojo slenksčio testus, skirtus centrinio regos lauko, glaukomos,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makulos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srities, nosinio laiptelio, periferinių ir / arba neurologinių regos lauko defektų vertinimui.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DDA7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6F2337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7522A8F7" w14:textId="77777777" w:rsidTr="000343A9">
        <w:trPr>
          <w:trHeight w:val="18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5F22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4A1C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Slenksčio testo strategijos: 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Įranga turi turėti standartinę, greitą ir pilno slenksčio nustatymo strategiją arba lygiaverčius gamintojo algoritmus, skirtus regos lauko jautrumo slenksčiams nustatyti.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Sistema turi turėti sutrumpintos trukmės / pagreitintą slenksčio testavimo strategiją, kuri, palyginti su pilno slenksčio arba standartine testavimo strategija, reikšmingai sumažina tyrimo trukmę, išlaikant klinikinei diagnostikai tinkamą regos lauko vertinimo tikslumą.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D4D6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8EE637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27B8AA7E" w14:textId="77777777" w:rsidTr="000343A9">
        <w:trPr>
          <w:trHeight w:val="78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F587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282A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Viršslenkstiniai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testai: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Įranga turi turėti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viršslenkstinio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testavimo programas, skirtas centrinio regos lauko, glaukomos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skriningo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ir periferinio regos lauko vertinimui, pvz., C-40, C-64, C-76, C-80, C-Armaly arba lygiaverčius gamintojo testavimo protokolus.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B138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F882A5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28E92903" w14:textId="77777777" w:rsidTr="000343A9">
        <w:trPr>
          <w:trHeight w:val="129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603D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F468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Skriningo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testo režimai: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Įranga turi turėti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skriningo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/ atrankinio regos lauko vertinimo režimus arba lygiaverčius gamintojo sprendimus, leidžiančius atlikti tyrimus pagal paciento amžių koreguojamais, su slenksčio reikšme susietais ir / arba pastovaus stimulo intensyvumo principais.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F127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1947EE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02CD5E1A" w14:textId="77777777" w:rsidTr="000343A9">
        <w:trPr>
          <w:trHeight w:val="256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30BC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B34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Specialūs testai: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Įranga turi turėti specialius regos lauko testus arba lygiaverčius gamintojo testavimo protokolus, skirtus funkciniam regos lauko vertinimui, neįgalumo / darbingumo vertinimui, vairavimo reikalavimų vertinimui ir viršutinio regos lauko defektų nustatymui.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Turi būti galimybė atlikti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monokuliarinį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binokuliarinį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funkcinio regos lauko vertinimą, įskaitant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Esterman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arba lygiaverčius gamintojo testus.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Įranga turi turėti viršutinio regos lauko vertinimo testus arba lygiaverčius gamintojo testavimo protokolus.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Turi būti galimybė sudaryti, redaguoti ir išsaugoti individualias gydytojo / operatoriaus sudarytas testavimo programas.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D87D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C82200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40E61215" w14:textId="77777777" w:rsidTr="000343A9">
        <w:trPr>
          <w:trHeight w:val="78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C7EA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25E3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Testavimas: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1. Kinetinis testavimas; 2. Operatoriaus sukurtas kinetinis / statinis testavimas arba lygiavertis; 3. Operatoriaus sukurtas statinis testavimas; 4.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Fovealinio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slenksčio testavimas arba lygiavertis.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6A0E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3066D7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4872E65A" w14:textId="77777777" w:rsidTr="000343A9">
        <w:trPr>
          <w:trHeight w:val="52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9083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C61D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Chromatinės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perimetrijos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funkcijos, pvz., mėlyna / geltona, raudona / balta, mėlyna / balta ar kitos gamintojo numatytos spalvų kombinacijos arba lygiaverčiai sprendimai.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F5D1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131E02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7B3432D8" w14:textId="77777777" w:rsidTr="000343A9">
        <w:trPr>
          <w:trHeight w:val="78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EA4D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837C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Stimulo dydžiai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:</w:t>
            </w: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Keičiamo dydžio stimulai nuo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Goldmann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I iki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Goldmann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V arba lygiaverčiai gamintojo stimulo dydžiai, skirti statinės ir / arba kinetinės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perimetrijos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tyrimams.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FB19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85B9C2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189D711A" w14:textId="77777777" w:rsidTr="000343A9">
        <w:trPr>
          <w:trHeight w:val="103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93D6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4CE3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Sferos apšvietimo intensyvumas: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šoninis / sferos apšvietimo intensyvumas turi būti 31,5 ASB /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apostilbų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arba 10 cd/m², leidžiama paklaida ±10 % arba lygiavertis gamintojo nustatytas standartinės automatinės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perimetrijos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foninio apšvietimo sprendimas.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79A1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EFF52C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41390747" w14:textId="77777777" w:rsidTr="000343A9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BD4C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2F80E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Stimulo trukmė: 200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ms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±10%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1D36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5845838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7C05C6D3" w14:textId="77777777" w:rsidTr="000343A9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90BB4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DB38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Automatinis vyzdžio matavimas: Būtina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E397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E7CF39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5B9EBA42" w14:textId="77777777" w:rsidTr="000343A9">
        <w:trPr>
          <w:trHeight w:val="183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7615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A69E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Testo duomenų išsaugojimas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: Įranga turi užtikrinti atliktų tyrimų duomenų išsaugojimą, eksportavimą, perdavimą ir peržiūrą.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1. Tyrimų duomenys turi būti saugomi įrenginio vidinėje atmintyje, darbo vietoje, centralizuotoje duomenų bazėje arba kitame gamintojo numatytame duomenų saugojimo sprendime. Duomenų saugojimo talpa turi būti pakankama paciento tyrimų duomenims saugoti; jeigu komplektuojama kompiuterinė darbo vieta, jos duomenų saugykla turi būti ne mažesnė kaip 500 GB.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2. Turi būti USB sąsaja duomenų eksportavimui / perkėlimui arba lygiavertis gamintojo duomenų eksportavimo sprendimas.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3. Turi būti galimybė perduoti tyrimų duomenis kompiuteriniu tinklu.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4. Turi būti užtikrintas DICOM suderinamumas / DICOM duomenų eksportas.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5. Tiekėjas turi užtikrinti siūlomos įrangos integraciją su ligoninės PACS / DICOM archyvu arba pateikti lygiavertį centralizuoto tyrimų archyvavimo ir peržiūros gydytojų darbo vietose sprendimą.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6. Visos DICOM, PACS integracijos, duomenų importo / eksporto, centralizuoto archyvavimo ir peržiūros funkcijoms reikalingos licencijos, moduliai ir programinė įranga turi būti įtraukti į pasiūlymo kainą.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F4EF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B04047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0EB6B958" w14:textId="77777777" w:rsidTr="000343A9">
        <w:trPr>
          <w:trHeight w:val="103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6757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DFD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Paciento žvilgsnio fiksacijos sekimas: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Įranga turi turėti paciento fiksacijos ir tyrimo patikimumo kontrolės priemones: aklosios dėmės monitoringą, akies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videomonitorių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ir automatinį žvilgsnio / akių sekimą, galvos padėties sekimą arba lygiavertį gamintojo sprendimą.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966A3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33725A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31B5B8D2" w14:textId="77777777" w:rsidTr="000343A9">
        <w:trPr>
          <w:trHeight w:val="78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25DC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27F0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Paciento pozicionavimas: r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eguliuojama paciento smakro ir kaktos atrama / galvos pozicionavimo sistema. Smakro atramos aukščio reguliavimas – motorizuotas arba lygiavertis gamintojo sprendimas.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F2CF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4DDA1F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6B70ED70" w14:textId="77777777" w:rsidTr="000343A9">
        <w:trPr>
          <w:trHeight w:val="129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16CC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6708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Regėjimo korekcija: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Integruotas arba išorinis korekcinių lęšių laikiklis, skirtas paciento refrakcijos korekcijai regos lauko tyrimo metu. Komplekte – standartinis bandomųjų korekcinių lęšių rinkinys, apimantis sferinius ir / arba cilindrinius lęšius pagal gamintojo numatytą komplektaciją, suderinamas su siūlomu automatiniu perimetru.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45FE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AE201EF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3A5D6C22" w14:textId="77777777" w:rsidTr="000343A9">
        <w:trPr>
          <w:trHeight w:val="231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1C3B1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4D9E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Programinė įranga: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Įranga turi turėti regos lauko tyrimų analizės, vertinimo ir stebėsenos programinę įrangą arba lygiaverčius gamintojo sprendimus, užtikrinančius:                                                                                                                                                                                                          1. vieno atlikto regos lauko tyrimo analizę ir rezultatų atvaizdavimą;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 xml:space="preserve">2. glaukomai būdingų regos lauko defektų vertinimą, įskaitant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hemilaukių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/ pusinio regos lauko analizę arba lygiavertį statistinį vertinimą;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3. regos lauko būklės indeksų / rodiklių pateikimą pagal gamintojo metodiką;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4. regos lauko pokyčių ir progresijos analizę, lyginant paciento tyrimus laike;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  <w:t>5. kelių / serijinių regos lauko tyrimų apžvalgą ir palyginimą.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8AF5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C0A8356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3304FD49" w14:textId="77777777" w:rsidTr="000343A9">
        <w:trPr>
          <w:trHeight w:val="52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31CA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D943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Testo duomenų pateikimas: 1. Aparato ekrane; 2. Spausdintame formate (komplekte turi būti lazerinis spausdinimo įrenginys, naudojantis A4 formato popierių).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D919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28745E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75ACF172" w14:textId="77777777" w:rsidTr="000343A9">
        <w:trPr>
          <w:trHeight w:val="52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A9C4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B2A5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Integruotas prisilietimui jautrus ekranas, LCD tipo arba lygiavertis. Duomenų įvedimui turi būti numatyta klaviatūra arba lygiavertis gamintojo sprendimas.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5A1B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458285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6D845C1A" w14:textId="77777777" w:rsidTr="000343A9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7870C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88BD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Komplektacija: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890A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9BF7F6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2F53D2E0" w14:textId="77777777" w:rsidTr="000343A9">
        <w:trPr>
          <w:trHeight w:val="12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E3315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53D1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Stacionarus kompiuteris su monitoriumi, belaide klaviatūra ir pele, arba nešiojamasis kompiuteris, pilnai užtikrinantis perimetro valdymą, tyrimų atlikimą, duomenų saugojimą ir apdorojimą. Kompiuteris turi būti įtrauktas į tiekėjo pasiūlymo kainą ir suderinamas su siūlomu automatiniu perimetru.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52B1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771B00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1F07C690" w14:textId="77777777" w:rsidTr="000343A9">
        <w:trPr>
          <w:trHeight w:val="6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A93A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E559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Kompiuteryje turi būti instaliuotos programos, būtinos prietaiso valdymui bei numatytiems tyrimams atlikti, pacientų duomenų bei tyrimų išsaugojimui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418E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679D3C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0765AC78" w14:textId="77777777" w:rsidTr="000343A9">
        <w:trPr>
          <w:trHeight w:val="18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4BE5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51E7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Spalvotas lazerinis spausdintuvas 1 vnt.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, Komplekte turi būti pateiktas spalvotas lazerinis spausdintuvas, skirtas automatinio perimetro tyrimų rezultatams spausdinti A4 formato popieriuje. Spausdintuvas turi būti suderinamas su siūlomu automatiniu perimetru ir komplektuojamas su pradine dažų kasete / kasetėmis, kurių bendras resursas – ne mažiau kaip 2000 puslapių.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F038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C5F845C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2D14288E" w14:textId="77777777" w:rsidTr="000343A9">
        <w:trPr>
          <w:trHeight w:val="9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3269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D68A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Automatinio perimetro aparato stalelis – 1 vnt.:</w:t>
            </w: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br/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Elektriškai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 reguliuojamo aukščio stalelis, skirtas siūlomam automatiniam perimetrui pastatyti, stabilus ir suderinamas su siūlomo aparato konstrukcija.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314B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FCED6D3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4CB4BD18" w14:textId="77777777" w:rsidTr="000343A9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A97F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6C24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Bendrieji reikalavimai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766B" w14:textId="77777777" w:rsidR="000343A9" w:rsidRPr="000343A9" w:rsidRDefault="000343A9" w:rsidP="000343A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A7E2CE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5704C61C" w14:textId="77777777" w:rsidTr="000343A9">
        <w:trPr>
          <w:trHeight w:val="31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72DC4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8F33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Garantinis laikotarpis siūlomai įrangai ne mažiau kaip 24 mėn.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4696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E59EAA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088A4B8C" w14:textId="77777777" w:rsidTr="000343A9">
        <w:trPr>
          <w:trHeight w:val="63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FECE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E7D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Įranga turi būti nauja, neatnaujinta (angl.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refurbished</w:t>
            </w:r>
            <w:proofErr w:type="spellEnd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 xml:space="preserve">). Pristatymo metu įranga negali būti senesnė kaip 12 </w:t>
            </w:r>
            <w:proofErr w:type="spellStart"/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mėn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8961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074261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0343A9" w:rsidRPr="000343A9" w14:paraId="0BEDA86B" w14:textId="77777777" w:rsidTr="000343A9">
        <w:trPr>
          <w:trHeight w:val="3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0F833" w14:textId="77777777" w:rsidR="000343A9" w:rsidRPr="000343A9" w:rsidRDefault="000343A9" w:rsidP="00034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9B2A" w14:textId="77777777" w:rsidR="000343A9" w:rsidRPr="000343A9" w:rsidRDefault="000343A9" w:rsidP="00034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lang w:eastAsia="lt-LT"/>
              </w:rPr>
              <w:t>Kiti bendrieji reikalavimai (pateikti atskirame dokumente)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5D8B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43A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387BAE" w14:textId="77777777" w:rsidR="000343A9" w:rsidRPr="000343A9" w:rsidRDefault="000343A9" w:rsidP="00034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343A9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34D4A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5385</Words>
  <Characters>3071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2026-06-22T06:23:00Z</dcterms:modified>
</cp:coreProperties>
</file>