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35BE3A9F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DC1AF8" w:rsidRPr="00DC1AF8">
        <w:rPr>
          <w:rFonts w:ascii="Times New Roman" w:hAnsi="Times New Roman" w:cs="Times New Roman"/>
          <w:b/>
          <w:color w:val="000000"/>
          <w:sz w:val="20"/>
        </w:rPr>
        <w:t>Reagentai ir papildomos priemonės ginekologinių ir neginekologinių ėminių iš skystosios terpės paruošimo tyrimui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D4B19"/>
    <w:rsid w:val="000F6D0D"/>
    <w:rsid w:val="00175DAA"/>
    <w:rsid w:val="001D08D1"/>
    <w:rsid w:val="00236DF3"/>
    <w:rsid w:val="002A6FAF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45E5C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36F89"/>
    <w:rsid w:val="00DC1AF8"/>
    <w:rsid w:val="00DD0365"/>
    <w:rsid w:val="00E44770"/>
    <w:rsid w:val="00E861FC"/>
    <w:rsid w:val="00EE7A4C"/>
    <w:rsid w:val="00F6698E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29</cp:revision>
  <cp:lastPrinted>2026-06-18T06:31:00Z</cp:lastPrinted>
  <dcterms:created xsi:type="dcterms:W3CDTF">2022-09-20T05:12:00Z</dcterms:created>
  <dcterms:modified xsi:type="dcterms:W3CDTF">2026-06-22T05:02:00Z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