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16" w:type="pct"/>
        <w:tblLook w:val="04A0" w:firstRow="1" w:lastRow="0" w:firstColumn="1" w:lastColumn="0" w:noHBand="0" w:noVBand="1"/>
      </w:tblPr>
      <w:tblGrid>
        <w:gridCol w:w="10372"/>
      </w:tblGrid>
      <w:tr w:rsidR="00407CAA" w:rsidRPr="00CC6943" w14:paraId="44DBF84E" w14:textId="77777777" w:rsidTr="00FA3E97">
        <w:trPr>
          <w:trHeight w:val="142"/>
        </w:trPr>
        <w:tc>
          <w:tcPr>
            <w:tcW w:w="5000" w:type="pct"/>
            <w:shd w:val="clear" w:color="auto" w:fill="FFFFCC"/>
          </w:tcPr>
          <w:p w14:paraId="23851DFB" w14:textId="59D41089" w:rsidR="00407CAA" w:rsidRPr="006A671D" w:rsidRDefault="00407CAA" w:rsidP="00407CAA">
            <w:pPr>
              <w:jc w:val="center"/>
              <w:rPr>
                <w:rFonts w:asciiTheme="majorHAnsi" w:hAnsiTheme="majorHAnsi" w:cstheme="majorHAnsi"/>
                <w:color w:val="000000" w:themeColor="text1"/>
                <w:sz w:val="24"/>
                <w:szCs w:val="24"/>
                <w:lang w:val="lt-LT"/>
              </w:rPr>
            </w:pPr>
            <w:r w:rsidRPr="006A671D">
              <w:rPr>
                <w:rFonts w:asciiTheme="majorHAnsi" w:hAnsiTheme="majorHAnsi" w:cstheme="majorHAnsi"/>
                <w:b/>
                <w:sz w:val="24"/>
                <w:szCs w:val="24"/>
                <w:lang w:val="lt-LT"/>
              </w:rPr>
              <w:t>FIZINĖS APSAUGOS PASLAUGŲ PIRKIMAS (PPR-443)</w:t>
            </w:r>
          </w:p>
        </w:tc>
      </w:tr>
      <w:tr w:rsidR="00DD6D02" w:rsidRPr="00CC6943" w14:paraId="30E25588" w14:textId="77777777" w:rsidTr="00FA3E97">
        <w:trPr>
          <w:trHeight w:val="142"/>
        </w:trPr>
        <w:tc>
          <w:tcPr>
            <w:tcW w:w="5000" w:type="pct"/>
            <w:shd w:val="clear" w:color="auto" w:fill="FFFFCC"/>
          </w:tcPr>
          <w:p w14:paraId="10FC0F44" w14:textId="409A31F2" w:rsidR="00DD6D02" w:rsidRPr="00CC6943" w:rsidRDefault="00DD6D02" w:rsidP="00407CAA">
            <w:pPr>
              <w:jc w:val="center"/>
              <w:rPr>
                <w:rFonts w:asciiTheme="majorHAnsi" w:hAnsiTheme="majorHAnsi" w:cstheme="majorHAnsi"/>
                <w:b/>
                <w:lang w:val="lt-LT"/>
              </w:rPr>
            </w:pPr>
            <w:r w:rsidRPr="00CC6943">
              <w:rPr>
                <w:rFonts w:asciiTheme="majorHAnsi" w:hAnsiTheme="majorHAnsi" w:cstheme="majorHAnsi"/>
                <w:b/>
                <w:lang w:val="lt-LT"/>
              </w:rPr>
              <w:t>TECHNINĖ SPECIFIKACIJA</w:t>
            </w:r>
          </w:p>
        </w:tc>
      </w:tr>
    </w:tbl>
    <w:p w14:paraId="38097A9E" w14:textId="77777777" w:rsidR="00F372C9" w:rsidRPr="00CC6943" w:rsidRDefault="00F372C9" w:rsidP="00D47BC1">
      <w:pPr>
        <w:spacing w:after="0" w:line="240" w:lineRule="auto"/>
        <w:ind w:left="-709"/>
        <w:rPr>
          <w:rFonts w:asciiTheme="majorHAnsi" w:hAnsiTheme="majorHAnsi" w:cstheme="majorHAnsi"/>
          <w:b/>
          <w:lang w:val="lt-LT"/>
        </w:rPr>
      </w:pPr>
      <w:bookmarkStart w:id="0" w:name="part_3d002f34ccb645cfb2957ac8c92cb377"/>
      <w:bookmarkStart w:id="1" w:name="_Ref448409283"/>
      <w:bookmarkEnd w:id="0"/>
    </w:p>
    <w:bookmarkEnd w:id="1"/>
    <w:p w14:paraId="0B890482" w14:textId="77777777" w:rsidR="00407CAA" w:rsidRPr="00CC6943" w:rsidRDefault="00407CAA" w:rsidP="00407CAA">
      <w:pPr>
        <w:spacing w:after="0" w:line="240" w:lineRule="auto"/>
        <w:rPr>
          <w:rFonts w:asciiTheme="majorHAnsi" w:eastAsia="Times New Roman" w:hAnsiTheme="majorHAnsi" w:cstheme="majorHAnsi"/>
          <w:b/>
          <w:bCs/>
          <w:lang w:val="lt-LT"/>
        </w:rPr>
      </w:pPr>
    </w:p>
    <w:p w14:paraId="227EA69A" w14:textId="61EC649F" w:rsidR="00407CAA" w:rsidRPr="00CC6943" w:rsidRDefault="00407CAA" w:rsidP="00407CAA">
      <w:pPr>
        <w:spacing w:after="0" w:line="240" w:lineRule="auto"/>
        <w:rPr>
          <w:rFonts w:asciiTheme="majorHAnsi" w:eastAsia="Calibri" w:hAnsiTheme="majorHAnsi" w:cstheme="majorHAnsi"/>
          <w:b/>
          <w:bCs/>
          <w:color w:val="2F5496"/>
          <w:u w:val="single"/>
          <w:lang w:val="lt-LT"/>
        </w:rPr>
      </w:pPr>
      <w:r w:rsidRPr="00CC6943">
        <w:rPr>
          <w:rFonts w:asciiTheme="majorHAnsi" w:eastAsia="Times New Roman" w:hAnsiTheme="majorHAnsi" w:cstheme="majorHAnsi"/>
          <w:b/>
          <w:bCs/>
          <w:color w:val="2F5496"/>
          <w:u w:val="single"/>
          <w:lang w:val="lt-LT"/>
        </w:rPr>
        <w:t>I.    SĄVOKOS IR TRUMPINIAI</w:t>
      </w:r>
    </w:p>
    <w:p w14:paraId="6FCA1E56" w14:textId="77777777" w:rsidR="00407CAA" w:rsidRPr="00CC6943" w:rsidRDefault="00407CAA" w:rsidP="00407CAA">
      <w:pPr>
        <w:spacing w:after="0" w:line="240" w:lineRule="auto"/>
        <w:rPr>
          <w:rFonts w:asciiTheme="majorHAnsi" w:eastAsia="Times New Roman" w:hAnsiTheme="majorHAnsi" w:cstheme="majorHAnsi"/>
          <w:color w:val="000000"/>
          <w:lang w:val="pt-BR" w:eastAsia="lt-LT"/>
        </w:rPr>
      </w:pPr>
    </w:p>
    <w:p w14:paraId="37FAB284"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color w:val="000000"/>
          <w:lang w:val="lt-LT" w:eastAsia="lt-LT"/>
        </w:rPr>
      </w:pPr>
      <w:r w:rsidRPr="00CC6943">
        <w:rPr>
          <w:rFonts w:asciiTheme="majorHAnsi" w:eastAsia="Times New Roman" w:hAnsiTheme="majorHAnsi" w:cstheme="majorHAnsi"/>
          <w:b/>
          <w:bCs/>
          <w:lang w:val="lt-LT"/>
        </w:rPr>
        <w:t>Perkančioji organizacija</w:t>
      </w:r>
      <w:r w:rsidRPr="00CC6943">
        <w:rPr>
          <w:rFonts w:asciiTheme="majorHAnsi" w:eastAsia="Times New Roman" w:hAnsiTheme="majorHAnsi" w:cstheme="majorHAnsi"/>
          <w:lang w:val="lt-LT"/>
        </w:rPr>
        <w:t xml:space="preserve"> </w:t>
      </w:r>
      <w:bookmarkStart w:id="2" w:name="_Hlk159509059"/>
      <w:r w:rsidRPr="00CC6943">
        <w:rPr>
          <w:rFonts w:asciiTheme="majorHAnsi" w:eastAsia="Times New Roman" w:hAnsiTheme="majorHAnsi" w:cstheme="majorHAnsi"/>
          <w:lang w:val="lt-LT"/>
        </w:rPr>
        <w:t>–</w:t>
      </w:r>
      <w:bookmarkEnd w:id="2"/>
      <w:r w:rsidRPr="00CC6943">
        <w:rPr>
          <w:rFonts w:asciiTheme="majorHAnsi" w:eastAsia="Times New Roman" w:hAnsiTheme="majorHAnsi" w:cstheme="majorHAnsi"/>
          <w:lang w:val="lt-LT"/>
        </w:rPr>
        <w:t xml:space="preserve"> Išteklių agentūra </w:t>
      </w:r>
      <w:r w:rsidRPr="00CC6943">
        <w:rPr>
          <w:rFonts w:asciiTheme="majorHAnsi" w:eastAsia="Times New Roman" w:hAnsiTheme="majorHAnsi" w:cstheme="majorHAnsi"/>
          <w:lang w:val="pt-BR" w:eastAsia="lt-LT"/>
        </w:rPr>
        <w:t>prie Lietuvos Respublikos vidaus reikalų ministerijos,</w:t>
      </w:r>
      <w:r w:rsidRPr="00CC6943">
        <w:rPr>
          <w:rFonts w:asciiTheme="majorHAnsi" w:eastAsia="Times New Roman" w:hAnsiTheme="majorHAnsi" w:cstheme="majorHAnsi"/>
          <w:shd w:val="clear" w:color="auto" w:fill="FFFFFF"/>
          <w:lang w:val="lt-LT"/>
        </w:rPr>
        <w:t xml:space="preserve"> biudžetinės įstaigos kodas 188729923, registruota adresu Šventaragio g. 2, 01510 Vilnius</w:t>
      </w:r>
      <w:r w:rsidRPr="00CC6943">
        <w:rPr>
          <w:rFonts w:asciiTheme="majorHAnsi" w:eastAsia="Times New Roman" w:hAnsiTheme="majorHAnsi" w:cstheme="majorHAnsi"/>
          <w:lang w:val="lt-LT"/>
        </w:rPr>
        <w:t>.</w:t>
      </w:r>
    </w:p>
    <w:p w14:paraId="279F53BD"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 xml:space="preserve">Tiekėjas </w:t>
      </w:r>
      <w:r w:rsidRPr="00CC6943">
        <w:rPr>
          <w:rFonts w:asciiTheme="majorHAnsi" w:eastAsia="Times New Roman" w:hAnsiTheme="majorHAnsi" w:cstheme="majorHAnsi"/>
          <w:lang w:val="lt-LT"/>
        </w:rPr>
        <w:t xml:space="preserve">– ūkio subjektas, su kuriuo Perkančioji organizacija sudarė Sutartį. </w:t>
      </w:r>
    </w:p>
    <w:p w14:paraId="265C2EB6"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 xml:space="preserve">Objektas </w:t>
      </w:r>
      <w:r w:rsidRPr="00CC6943">
        <w:rPr>
          <w:rFonts w:asciiTheme="majorHAnsi" w:eastAsia="Times New Roman" w:hAnsiTheme="majorHAnsi" w:cstheme="majorHAnsi"/>
          <w:lang w:val="lt-LT"/>
        </w:rPr>
        <w:t>– Perkančiosios organizacijos pastatai ir teritorija, juose ar už jų ribų esantys kilnojamieji daiktai, kurie saugomi pagal Sutartį. Objekto detalus apibūdinimas pateiktas šios techninės specifikacijos 12 punkte.</w:t>
      </w:r>
    </w:p>
    <w:p w14:paraId="3978C6AC"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 xml:space="preserve">Apsaugos komanda </w:t>
      </w:r>
      <w:r w:rsidRPr="00CC6943">
        <w:rPr>
          <w:rFonts w:asciiTheme="majorHAnsi" w:eastAsia="Times New Roman" w:hAnsiTheme="majorHAnsi" w:cstheme="majorHAnsi"/>
          <w:lang w:val="lt-LT"/>
        </w:rPr>
        <w:t xml:space="preserve">– Tiekėjo apsaugos darbuotojų grupė, Objekte vienu metu vykdanti jo fizinę apsaugą. </w:t>
      </w:r>
    </w:p>
    <w:p w14:paraId="696A840E"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Apsaugos komandos vyresnysis apsaugos darbuotojas</w:t>
      </w:r>
      <w:r w:rsidRPr="00CC6943">
        <w:rPr>
          <w:rFonts w:asciiTheme="majorHAnsi" w:eastAsia="Times New Roman" w:hAnsiTheme="majorHAnsi" w:cstheme="majorHAnsi"/>
          <w:lang w:val="lt-LT"/>
        </w:rPr>
        <w:t xml:space="preserve"> – Apsaugos komandos narys, Tiekėjo paskirtas vadovauti Apsaugos komandai, koordinuoti jos narių veiksmus teikiant Objekte fizinę apsaugą ir, jei Tiekėjas ir Perkančioji organizacija nesutaria kitaip, esantis pagrindiniu Tiekėjo kontaktiniu asmeniu su Perkančiąja organizacija.</w:t>
      </w:r>
    </w:p>
    <w:p w14:paraId="3659098B"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Apsaugos paslaugos</w:t>
      </w:r>
      <w:r w:rsidRPr="00CC6943">
        <w:rPr>
          <w:rFonts w:asciiTheme="majorHAnsi" w:eastAsia="Times New Roman" w:hAnsiTheme="majorHAnsi" w:cstheme="majorHAnsi"/>
          <w:lang w:val="lt-LT"/>
        </w:rPr>
        <w:t xml:space="preserve"> – Tiekėjo teikiamos Perkančiajai organizacijai šioje techninėje specifikacijoje nurodytos ginkluotos fizinės asmens ir turto apsaugos paslaugos. </w:t>
      </w:r>
    </w:p>
    <w:p w14:paraId="10CFE806"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Aliarmo signalas</w:t>
      </w:r>
      <w:r w:rsidRPr="00CC6943">
        <w:rPr>
          <w:rFonts w:asciiTheme="majorHAnsi" w:eastAsia="Times New Roman" w:hAnsiTheme="majorHAnsi" w:cstheme="majorHAnsi"/>
          <w:lang w:val="lt-LT"/>
        </w:rPr>
        <w:t xml:space="preserve"> – Saugos sistemų aliarminis signalas.</w:t>
      </w:r>
    </w:p>
    <w:p w14:paraId="1304EF72"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Objekto fizinės apsaugos instrukcija</w:t>
      </w:r>
      <w:r w:rsidRPr="00CC6943">
        <w:rPr>
          <w:rFonts w:asciiTheme="majorHAnsi" w:eastAsia="Times New Roman" w:hAnsiTheme="majorHAnsi" w:cstheme="majorHAnsi"/>
          <w:lang w:val="lt-LT"/>
        </w:rPr>
        <w:t xml:space="preserve"> – ne vėliau kaip per 10 darbo dienų nuo Sutarties įsigaliojimo dienos (Objekto fizinės apsaugos instrukcijos keitimo atveju – ne vėliau kaip per 5 darbo dienas nuo Perkančiosios organizacijos rašytinio nurodymo pakeisti Objekto fizinės apsaugos instrukciją pateikimo dienos) Tiekėjo parengtas ir suderintas su Perkančiąja organizacija dokumentas, kuriame nustatoma fizinės apsaugos valdymo, atlikimo ir vidinės kontrolės tvarka, apsaugos darbuotojų teisės, pareigos, atsakomybės ir atskaitomybė.</w:t>
      </w:r>
    </w:p>
    <w:p w14:paraId="3F62A3E8" w14:textId="77777777" w:rsidR="00407CAA" w:rsidRPr="00CC6943" w:rsidRDefault="00407CAA" w:rsidP="00407CAA">
      <w:pPr>
        <w:numPr>
          <w:ilvl w:val="0"/>
          <w:numId w:val="12"/>
        </w:numPr>
        <w:tabs>
          <w:tab w:val="left" w:pos="284"/>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Saugos sistemos</w:t>
      </w:r>
      <w:r w:rsidRPr="00CC6943">
        <w:rPr>
          <w:rFonts w:asciiTheme="majorHAnsi" w:eastAsia="Times New Roman" w:hAnsiTheme="majorHAnsi" w:cstheme="majorHAnsi"/>
          <w:lang w:val="lt-LT"/>
        </w:rPr>
        <w:t xml:space="preserve"> – gaisrinės signalizacijos, evakuacinės pranešimų, apsaugos (įsibrovimo/užpuolimo aptikimo ir signalizavimo), vaizdo stebėjimo ir kita apsauginė įranga. </w:t>
      </w:r>
    </w:p>
    <w:p w14:paraId="4636DDA9" w14:textId="77777777" w:rsidR="00407CAA" w:rsidRPr="00CC6943" w:rsidRDefault="00407CAA" w:rsidP="00407CAA">
      <w:pPr>
        <w:numPr>
          <w:ilvl w:val="0"/>
          <w:numId w:val="12"/>
        </w:numPr>
        <w:tabs>
          <w:tab w:val="left" w:pos="284"/>
          <w:tab w:val="left" w:pos="426"/>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b/>
          <w:bCs/>
          <w:lang w:val="lt-LT"/>
        </w:rPr>
        <w:t>Sutartis</w:t>
      </w:r>
      <w:r w:rsidRPr="00CC6943">
        <w:rPr>
          <w:rFonts w:asciiTheme="majorHAnsi" w:eastAsia="Times New Roman" w:hAnsiTheme="majorHAnsi" w:cstheme="majorHAnsi"/>
          <w:lang w:val="lt-LT"/>
        </w:rPr>
        <w:t xml:space="preserve"> – Fizinės apsaugos paslaugų, numatytų šioje techninėje specifikacijoje, viešojo pirkimo–pardavimo sutartis (įslaptintas sandoris). </w:t>
      </w:r>
    </w:p>
    <w:p w14:paraId="41E28931" w14:textId="77777777" w:rsidR="00407CAA" w:rsidRPr="00CC6943" w:rsidRDefault="00407CAA" w:rsidP="00407CAA">
      <w:pPr>
        <w:numPr>
          <w:ilvl w:val="0"/>
          <w:numId w:val="12"/>
        </w:numPr>
        <w:tabs>
          <w:tab w:val="left" w:pos="284"/>
          <w:tab w:val="left" w:pos="426"/>
          <w:tab w:val="left" w:pos="1418"/>
        </w:tabs>
        <w:spacing w:after="0" w:line="240" w:lineRule="auto"/>
        <w:ind w:left="0" w:firstLine="0"/>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Kitos šioje techninėje specifikacijoje vartojamos sąvokos suprantamos taip, kaip jos apibrėžtos Lietuvos Respublikos asmens ir turto apsaugos įstatyme, Lietuvos Respublikos valstybės ir tarnybos paslapčių įstatyme, Lietuvos Respublikos viešųjų pirkimų įstatyme, Lietuvos Respublikos viešųjų pirkimų, atliekamų gynybos ir saugumo srityje, įstatyme (toliau – VPAGSSĮ). </w:t>
      </w:r>
    </w:p>
    <w:p w14:paraId="2AB5ECC0" w14:textId="77777777" w:rsidR="00407CAA" w:rsidRPr="00CC6943" w:rsidRDefault="00407CAA" w:rsidP="00407CAA">
      <w:pPr>
        <w:tabs>
          <w:tab w:val="left" w:pos="284"/>
          <w:tab w:val="left" w:pos="426"/>
          <w:tab w:val="left" w:pos="1418"/>
        </w:tabs>
        <w:spacing w:after="0" w:line="240" w:lineRule="auto"/>
        <w:contextualSpacing/>
        <w:rPr>
          <w:rFonts w:asciiTheme="majorHAnsi" w:eastAsia="Times New Roman" w:hAnsiTheme="majorHAnsi" w:cstheme="majorHAnsi"/>
          <w:lang w:val="lt-LT"/>
        </w:rPr>
      </w:pPr>
    </w:p>
    <w:p w14:paraId="20485453" w14:textId="78C4F7A0" w:rsidR="00407CAA" w:rsidRPr="00CC6943" w:rsidRDefault="00407CAA" w:rsidP="00407CAA">
      <w:pPr>
        <w:spacing w:after="0" w:line="240" w:lineRule="auto"/>
        <w:rPr>
          <w:rFonts w:asciiTheme="majorHAnsi" w:eastAsia="Calibri" w:hAnsiTheme="majorHAnsi" w:cstheme="majorHAnsi"/>
          <w:b/>
          <w:bCs/>
          <w:color w:val="2F5496"/>
          <w:u w:val="single"/>
          <w:lang w:val="lt-LT"/>
        </w:rPr>
      </w:pPr>
      <w:r w:rsidRPr="00CC6943">
        <w:rPr>
          <w:rFonts w:asciiTheme="majorHAnsi" w:eastAsia="Times New Roman" w:hAnsiTheme="majorHAnsi" w:cstheme="majorHAnsi"/>
          <w:b/>
          <w:bCs/>
          <w:color w:val="2F5496"/>
          <w:u w:val="single"/>
          <w:lang w:val="lt-LT"/>
        </w:rPr>
        <w:t>II.    OBJEKTO APRAŠYMAS</w:t>
      </w:r>
    </w:p>
    <w:p w14:paraId="11D7AE13"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p>
    <w:p w14:paraId="1A3DD20A"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12. Objektą sudaro: </w:t>
      </w:r>
    </w:p>
    <w:p w14:paraId="50AF99E1" w14:textId="77777777" w:rsidR="00407CAA" w:rsidRPr="00CC6943" w:rsidRDefault="00407CAA" w:rsidP="00407CAA">
      <w:pPr>
        <w:tabs>
          <w:tab w:val="left" w:pos="142"/>
        </w:tabs>
        <w:spacing w:after="0" w:line="240" w:lineRule="auto"/>
        <w:contextualSpacing/>
        <w:rPr>
          <w:rFonts w:asciiTheme="majorHAnsi" w:eastAsia="Times New Roman" w:hAnsiTheme="majorHAnsi" w:cstheme="majorHAnsi"/>
          <w:b/>
          <w:bCs/>
          <w:lang w:val="lt-LT"/>
        </w:rPr>
      </w:pPr>
      <w:r w:rsidRPr="00CC6943">
        <w:rPr>
          <w:rFonts w:asciiTheme="majorHAnsi" w:eastAsia="Times New Roman" w:hAnsiTheme="majorHAnsi" w:cstheme="majorHAnsi"/>
          <w:lang w:val="lt-LT"/>
        </w:rPr>
        <w:t>12.1. Perkančiosios organizacijos du administracinės paskirties pastatai (pastatų kompleksas), kurių plotas – 11350 m² ir 289 m², adresu</w:t>
      </w:r>
      <w:r w:rsidRPr="00CC6943">
        <w:rPr>
          <w:rFonts w:asciiTheme="majorHAnsi" w:eastAsia="Times New Roman" w:hAnsiTheme="majorHAnsi" w:cstheme="majorHAnsi"/>
          <w:b/>
          <w:bCs/>
          <w:lang w:val="lt-LT"/>
        </w:rPr>
        <w:t xml:space="preserve"> Šventaragio g. 2, Vilniuje;</w:t>
      </w:r>
    </w:p>
    <w:p w14:paraId="7BAF3B2E"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12.2. Perkančiosios organizacijos vidaus teritorija, kurios plotas – 0,7 ha.</w:t>
      </w:r>
    </w:p>
    <w:p w14:paraId="0C7E49E0"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12.3. Išorės teritorija:</w:t>
      </w:r>
    </w:p>
    <w:p w14:paraId="63E4DB15"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12.3.1. teritorijos perimetras iš Šventaragio g. ir iš Pilies g. pusių;</w:t>
      </w:r>
    </w:p>
    <w:p w14:paraId="5DB5A41F" w14:textId="77777777" w:rsidR="00407CAA" w:rsidRPr="00CC6943" w:rsidRDefault="00407CAA" w:rsidP="00407CAA">
      <w:pPr>
        <w:tabs>
          <w:tab w:val="left" w:pos="567"/>
          <w:tab w:val="left" w:pos="709"/>
          <w:tab w:val="left" w:pos="993"/>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12.3.2. vieta automobiliams statyti prie Perkančiosios organizacijos pastato centrinio įėjimo, esanti Šventaragio gatvės atkarpoje nurodytoje kelio ženklais „Rezervuota stovėjimo vieta“, kurios ilgis 18 m.</w:t>
      </w:r>
    </w:p>
    <w:p w14:paraId="1C661DE5"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12.4. Objekte galioja leidimų režimas.</w:t>
      </w:r>
    </w:p>
    <w:p w14:paraId="14958B7F"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12.5. Objekte įrengti 3 stacionarūs apsaugos postai:</w:t>
      </w:r>
    </w:p>
    <w:p w14:paraId="48154E8B"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12.5.1. I postas – Objekto centralizuoto stebėjimo postas, tarnybinis darbuotojų ir lankytojų įėjimas (išėjimas) į Perkančiosios organizacijos vidaus teritoriją (iš Šventaragio g.);</w:t>
      </w:r>
    </w:p>
    <w:p w14:paraId="7473084E"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12.5.2. II postas – tarnybinių, netarnybinių transporto priemonių ir aptarnaujančio transporto įvažiavimas (išvažiavimas) ir tarnybinis darbuotojų įėjimas (išėjimas) į Perkančiosios organizacijos vidaus teritoriją (iš Šventaragio g.);</w:t>
      </w:r>
    </w:p>
    <w:p w14:paraId="7C12820E"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12.5.3. III postas – tarnybinis darbuotojų įėjimas (išėjimas) į Perkančiosios organizacijos vidaus teritoriją (iš Pilies g.). Kontrolė vykdoma techninėmis priemonėmis iš I-o apsaugos posto.</w:t>
      </w:r>
    </w:p>
    <w:p w14:paraId="6D145EAD"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p>
    <w:p w14:paraId="4180FBF9" w14:textId="7BE474E0" w:rsidR="00407CAA" w:rsidRPr="00CC6943" w:rsidRDefault="00407CAA" w:rsidP="00407CAA">
      <w:pPr>
        <w:spacing w:after="0" w:line="240" w:lineRule="auto"/>
        <w:rPr>
          <w:rFonts w:asciiTheme="majorHAnsi" w:eastAsia="Times New Roman" w:hAnsiTheme="majorHAnsi" w:cstheme="majorHAnsi"/>
          <w:b/>
          <w:bCs/>
          <w:color w:val="2F5496"/>
          <w:u w:val="single"/>
          <w:lang w:val="lt-LT"/>
        </w:rPr>
      </w:pPr>
      <w:r w:rsidRPr="00CC6943">
        <w:rPr>
          <w:rFonts w:asciiTheme="majorHAnsi" w:eastAsia="Times New Roman" w:hAnsiTheme="majorHAnsi" w:cstheme="majorHAnsi"/>
          <w:b/>
          <w:bCs/>
          <w:color w:val="2F5496"/>
          <w:u w:val="single"/>
          <w:lang w:val="lt-LT"/>
        </w:rPr>
        <w:t xml:space="preserve">III. OBJEKTO FIZINĖS APSAUGOS PASLAUGŲ APIMTYS </w:t>
      </w:r>
    </w:p>
    <w:p w14:paraId="0C4F534E" w14:textId="77777777" w:rsidR="00407CAA" w:rsidRPr="00CC6943" w:rsidRDefault="00407CAA" w:rsidP="00407CAA">
      <w:pPr>
        <w:spacing w:after="0" w:line="240" w:lineRule="auto"/>
        <w:rPr>
          <w:rFonts w:asciiTheme="majorHAnsi" w:eastAsia="Calibri" w:hAnsiTheme="majorHAnsi" w:cstheme="majorHAnsi"/>
          <w:b/>
          <w:bCs/>
          <w:color w:val="2F5496"/>
          <w:u w:val="single"/>
          <w:lang w:val="lt-LT"/>
        </w:rPr>
      </w:pPr>
    </w:p>
    <w:p w14:paraId="5A3B94A0" w14:textId="77777777" w:rsidR="00407CAA" w:rsidRPr="00CC6943" w:rsidRDefault="00407CAA" w:rsidP="00407CAA">
      <w:pPr>
        <w:numPr>
          <w:ilvl w:val="0"/>
          <w:numId w:val="13"/>
        </w:numPr>
        <w:tabs>
          <w:tab w:val="left" w:pos="426"/>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lastRenderedPageBreak/>
        <w:t>Tiekėjas sutarties galiojimo laikotarpiu vykdys ginkluotą fizinę apsaugą pastatų komplekse Šventaragio g. 2, Vilniuje ir teritorijoje (vidiniame kieme ir išoriniame perimetre).</w:t>
      </w:r>
    </w:p>
    <w:p w14:paraId="3AC1AE4B" w14:textId="77777777" w:rsidR="00407CAA" w:rsidRPr="00CC6943" w:rsidRDefault="00407CAA" w:rsidP="00407CAA">
      <w:pPr>
        <w:numPr>
          <w:ilvl w:val="0"/>
          <w:numId w:val="13"/>
        </w:numPr>
        <w:tabs>
          <w:tab w:val="left" w:pos="426"/>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Perkančiosios organizacijos darbuotojų ir Objekte teisėtai besilankančių asmenų, Perkančiosios organizacijos patalpų, teritorijos ir jos disponuojamos informacijos (įskaitant, bet neapsiribojant, įslaptintos informacijos) saugumas Perkančiajai organizacijai yra itin svarbus. Atsižvelgiant į tai, Perkančioji organizacija reikalauja ir tikisi, kad Tiekėjas teiks Apsaugos paslaugas, atitinkančias šioje techninėje specifikacijoje nustatytus reikalavimus, laiku ir kokybiškai, bei efektyviai.</w:t>
      </w:r>
    </w:p>
    <w:p w14:paraId="334849DD" w14:textId="77777777" w:rsidR="00407CAA" w:rsidRPr="00CC6943" w:rsidRDefault="00407CAA" w:rsidP="00407CAA">
      <w:pPr>
        <w:numPr>
          <w:ilvl w:val="0"/>
          <w:numId w:val="13"/>
        </w:numPr>
        <w:tabs>
          <w:tab w:val="left" w:pos="426"/>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Tiekėjas, teikdamas Objekto fizinę apsaugą, privalo Objekte vykdyti ginkluotą asmens ir turto apsaugą 24/7 režimu pagal Objekto fizinės apsaugos instrukciją, taip pat  su Perkančiąja organizacija suderintą grafiką, užtikrinant šios techninės specifikacijos 19 punkte nustatytą darbuotojų skaičių, vykdyti režimo užtikrinimą, apsaugoti nuo kėsinimosi į Perkančiosios organizacijos darbuotojų ir Objekte teisėtai besilankančių asmenų gyvybę ir (ar) sveikatą, taip pat į visą Objekte esantį Perkančiosios organizacijos ar jai patikėtą turtą.</w:t>
      </w:r>
    </w:p>
    <w:p w14:paraId="77467C39" w14:textId="77777777" w:rsidR="00407CAA" w:rsidRPr="00CC6943" w:rsidRDefault="00407CAA" w:rsidP="00407CAA">
      <w:pPr>
        <w:numPr>
          <w:ilvl w:val="0"/>
          <w:numId w:val="13"/>
        </w:numPr>
        <w:tabs>
          <w:tab w:val="left" w:pos="426"/>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Objekte fizinę apsaugą tiesiogiai vykdo Apsaugos komanda, kurią sudaro šios specifikacijos 19 punkte nurodytas darbuotojų skaičius. Apsaugos komandą sudaro:</w:t>
      </w:r>
    </w:p>
    <w:p w14:paraId="661887D9" w14:textId="77777777" w:rsidR="00407CAA" w:rsidRPr="00CC6943" w:rsidRDefault="00407CAA" w:rsidP="00407CAA">
      <w:pPr>
        <w:tabs>
          <w:tab w:val="left" w:pos="0"/>
          <w:tab w:val="left" w:pos="567"/>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16.1. </w:t>
      </w:r>
      <w:r w:rsidRPr="00CC6943">
        <w:rPr>
          <w:rFonts w:asciiTheme="majorHAnsi" w:eastAsia="Times New Roman" w:hAnsiTheme="majorHAnsi" w:cstheme="majorHAnsi"/>
          <w:b/>
          <w:bCs/>
          <w:lang w:val="lt-LT"/>
        </w:rPr>
        <w:t>I-</w:t>
      </w:r>
      <w:proofErr w:type="spellStart"/>
      <w:r w:rsidRPr="00CC6943">
        <w:rPr>
          <w:rFonts w:asciiTheme="majorHAnsi" w:eastAsia="Times New Roman" w:hAnsiTheme="majorHAnsi" w:cstheme="majorHAnsi"/>
          <w:b/>
          <w:bCs/>
          <w:lang w:val="lt-LT"/>
        </w:rPr>
        <w:t>asis</w:t>
      </w:r>
      <w:proofErr w:type="spellEnd"/>
      <w:r w:rsidRPr="00CC6943">
        <w:rPr>
          <w:rFonts w:asciiTheme="majorHAnsi" w:eastAsia="Times New Roman" w:hAnsiTheme="majorHAnsi" w:cstheme="majorHAnsi"/>
          <w:b/>
          <w:bCs/>
          <w:lang w:val="lt-LT"/>
        </w:rPr>
        <w:t xml:space="preserve"> postas</w:t>
      </w:r>
      <w:r w:rsidRPr="00CC6943">
        <w:rPr>
          <w:rFonts w:asciiTheme="majorHAnsi" w:eastAsia="Times New Roman" w:hAnsiTheme="majorHAnsi" w:cstheme="majorHAnsi"/>
          <w:lang w:val="lt-LT"/>
        </w:rPr>
        <w:t>, per kurį vyksta asmenų judėjimas (vykdoma patenkančių asmenų kontrolė, dirbama su visomis pastato vidinėmis ir išorinėmis vaizdo stebėjimo sistemomis („</w:t>
      </w:r>
      <w:proofErr w:type="spellStart"/>
      <w:r w:rsidRPr="00CC6943">
        <w:rPr>
          <w:rFonts w:asciiTheme="majorHAnsi" w:eastAsia="Times New Roman" w:hAnsiTheme="majorHAnsi" w:cstheme="majorHAnsi"/>
          <w:lang w:val="lt-LT"/>
        </w:rPr>
        <w:t>Digifort</w:t>
      </w:r>
      <w:proofErr w:type="spellEnd"/>
      <w:r w:rsidRPr="00CC6943">
        <w:rPr>
          <w:rFonts w:asciiTheme="majorHAnsi" w:eastAsia="Times New Roman" w:hAnsiTheme="majorHAnsi" w:cstheme="majorHAnsi"/>
          <w:lang w:val="lt-LT"/>
        </w:rPr>
        <w:t xml:space="preserve"> Professional“), įeigos kontrolės sistema („</w:t>
      </w:r>
      <w:proofErr w:type="spellStart"/>
      <w:r w:rsidRPr="00CC6943">
        <w:rPr>
          <w:rFonts w:asciiTheme="majorHAnsi" w:eastAsia="Times New Roman" w:hAnsiTheme="majorHAnsi" w:cstheme="majorHAnsi"/>
          <w:lang w:val="lt-LT"/>
        </w:rPr>
        <w:t>Concept-Insight</w:t>
      </w:r>
      <w:proofErr w:type="spellEnd"/>
      <w:r w:rsidRPr="00CC6943">
        <w:rPr>
          <w:rFonts w:asciiTheme="majorHAnsi" w:eastAsia="Times New Roman" w:hAnsiTheme="majorHAnsi" w:cstheme="majorHAnsi"/>
          <w:lang w:val="lt-LT"/>
        </w:rPr>
        <w:t xml:space="preserve"> Professional“), apsaugos (</w:t>
      </w:r>
      <w:proofErr w:type="spellStart"/>
      <w:r w:rsidRPr="00CC6943">
        <w:rPr>
          <w:rFonts w:asciiTheme="majorHAnsi" w:eastAsia="Times New Roman" w:hAnsiTheme="majorHAnsi" w:cstheme="majorHAnsi"/>
          <w:lang w:val="lt-LT"/>
        </w:rPr>
        <w:t>Concept-Inner</w:t>
      </w:r>
      <w:proofErr w:type="spellEnd"/>
      <w:r w:rsidRPr="00CC6943">
        <w:rPr>
          <w:rFonts w:asciiTheme="majorHAnsi" w:eastAsia="Times New Roman" w:hAnsiTheme="majorHAnsi" w:cstheme="majorHAnsi"/>
          <w:lang w:val="lt-LT"/>
        </w:rPr>
        <w:t xml:space="preserve"> Range), gaisrinėmis signalizacijomis (</w:t>
      </w:r>
      <w:proofErr w:type="spellStart"/>
      <w:r w:rsidRPr="00CC6943">
        <w:rPr>
          <w:rFonts w:asciiTheme="majorHAnsi" w:eastAsia="Times New Roman" w:hAnsiTheme="majorHAnsi" w:cstheme="majorHAnsi"/>
          <w:lang w:val="lt-LT"/>
        </w:rPr>
        <w:t>Inim</w:t>
      </w:r>
      <w:proofErr w:type="spellEnd"/>
      <w:r w:rsidRPr="00CC6943">
        <w:rPr>
          <w:rFonts w:asciiTheme="majorHAnsi" w:eastAsia="Times New Roman" w:hAnsiTheme="majorHAnsi" w:cstheme="majorHAnsi"/>
          <w:lang w:val="lt-LT"/>
        </w:rPr>
        <w:t xml:space="preserve">-PREVIDIA) ir evakuacine pranešimų sistema (BOSCH-PAVIRO), koordinuojama kitų postų veikla), kuriame nuolat (7 dienas per savaitę, 24 valandas per parą) budintys apsaugos darbuotojai (vienas jų – Apsaugos komandos vyresnysis apsaugos darbuotojas), atsakingi už atitinkamos kompiuterinės įrangos priimtų ir (ar) automatiškai apdorotų Objekte įrengtų Saugos sistemų Aliarmo signalų stebėjimą, atitinkamų reagavimo veiksmų inicijavimą ir koordinavimą; </w:t>
      </w:r>
    </w:p>
    <w:p w14:paraId="56207476" w14:textId="77777777" w:rsidR="00407CAA" w:rsidRPr="00CC6943" w:rsidRDefault="00407CAA" w:rsidP="00407CAA">
      <w:pPr>
        <w:tabs>
          <w:tab w:val="left" w:pos="0"/>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16.2. </w:t>
      </w:r>
      <w:r w:rsidRPr="00CC6943">
        <w:rPr>
          <w:rFonts w:asciiTheme="majorHAnsi" w:eastAsia="Times New Roman" w:hAnsiTheme="majorHAnsi" w:cstheme="majorHAnsi"/>
          <w:b/>
          <w:bCs/>
          <w:lang w:val="lt-LT"/>
        </w:rPr>
        <w:t>II-</w:t>
      </w:r>
      <w:proofErr w:type="spellStart"/>
      <w:r w:rsidRPr="00CC6943">
        <w:rPr>
          <w:rFonts w:asciiTheme="majorHAnsi" w:eastAsia="Times New Roman" w:hAnsiTheme="majorHAnsi" w:cstheme="majorHAnsi"/>
          <w:b/>
          <w:bCs/>
          <w:lang w:val="lt-LT"/>
        </w:rPr>
        <w:t>asis</w:t>
      </w:r>
      <w:proofErr w:type="spellEnd"/>
      <w:r w:rsidRPr="00CC6943">
        <w:rPr>
          <w:rFonts w:asciiTheme="majorHAnsi" w:eastAsia="Times New Roman" w:hAnsiTheme="majorHAnsi" w:cstheme="majorHAnsi"/>
          <w:b/>
          <w:bCs/>
          <w:lang w:val="lt-LT"/>
        </w:rPr>
        <w:t xml:space="preserve"> postas</w:t>
      </w:r>
      <w:r w:rsidRPr="00CC6943">
        <w:rPr>
          <w:rFonts w:asciiTheme="majorHAnsi" w:eastAsia="Times New Roman" w:hAnsiTheme="majorHAnsi" w:cstheme="majorHAnsi"/>
          <w:lang w:val="lt-LT"/>
        </w:rPr>
        <w:t>, per kurį vyksta transporto priemonių ir asmenų judėjimas (vykdoma patenkančių asmenų ir transporto priemonių kontrolė, dirbama su II-o posto vidinėmis / išorinėmis vaizdo stebėjimo („</w:t>
      </w:r>
      <w:proofErr w:type="spellStart"/>
      <w:r w:rsidRPr="00CC6943">
        <w:rPr>
          <w:rFonts w:asciiTheme="majorHAnsi" w:eastAsia="Times New Roman" w:hAnsiTheme="majorHAnsi" w:cstheme="majorHAnsi"/>
          <w:lang w:val="lt-LT"/>
        </w:rPr>
        <w:t>Digifort</w:t>
      </w:r>
      <w:proofErr w:type="spellEnd"/>
      <w:r w:rsidRPr="00CC6943">
        <w:rPr>
          <w:rFonts w:asciiTheme="majorHAnsi" w:eastAsia="Times New Roman" w:hAnsiTheme="majorHAnsi" w:cstheme="majorHAnsi"/>
          <w:lang w:val="lt-LT"/>
        </w:rPr>
        <w:t xml:space="preserve"> Professional“) ir įeigos kontrolės sistemomis („</w:t>
      </w:r>
      <w:proofErr w:type="spellStart"/>
      <w:r w:rsidRPr="00CC6943">
        <w:rPr>
          <w:rFonts w:asciiTheme="majorHAnsi" w:eastAsia="Times New Roman" w:hAnsiTheme="majorHAnsi" w:cstheme="majorHAnsi"/>
          <w:lang w:val="lt-LT"/>
        </w:rPr>
        <w:t>Concept-Insight</w:t>
      </w:r>
      <w:proofErr w:type="spellEnd"/>
      <w:r w:rsidRPr="00CC6943">
        <w:rPr>
          <w:rFonts w:asciiTheme="majorHAnsi" w:eastAsia="Times New Roman" w:hAnsiTheme="majorHAnsi" w:cstheme="majorHAnsi"/>
          <w:lang w:val="lt-LT"/>
        </w:rPr>
        <w:t xml:space="preserve"> Professional“);</w:t>
      </w:r>
    </w:p>
    <w:p w14:paraId="3620AA89" w14:textId="77777777" w:rsidR="00407CAA" w:rsidRPr="00CC6943" w:rsidRDefault="00407CAA" w:rsidP="00407CAA">
      <w:pPr>
        <w:tabs>
          <w:tab w:val="left" w:pos="0"/>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16.3. </w:t>
      </w:r>
      <w:r w:rsidRPr="00CC6943">
        <w:rPr>
          <w:rFonts w:asciiTheme="majorHAnsi" w:eastAsia="Times New Roman" w:hAnsiTheme="majorHAnsi" w:cstheme="majorHAnsi"/>
          <w:b/>
          <w:bCs/>
          <w:lang w:val="lt-LT"/>
        </w:rPr>
        <w:t>III-</w:t>
      </w:r>
      <w:proofErr w:type="spellStart"/>
      <w:r w:rsidRPr="00CC6943">
        <w:rPr>
          <w:rFonts w:asciiTheme="majorHAnsi" w:eastAsia="Times New Roman" w:hAnsiTheme="majorHAnsi" w:cstheme="majorHAnsi"/>
          <w:b/>
          <w:bCs/>
          <w:lang w:val="lt-LT"/>
        </w:rPr>
        <w:t>iasis</w:t>
      </w:r>
      <w:proofErr w:type="spellEnd"/>
      <w:r w:rsidRPr="00CC6943">
        <w:rPr>
          <w:rFonts w:asciiTheme="majorHAnsi" w:eastAsia="Times New Roman" w:hAnsiTheme="majorHAnsi" w:cstheme="majorHAnsi"/>
          <w:b/>
          <w:bCs/>
          <w:lang w:val="lt-LT"/>
        </w:rPr>
        <w:t xml:space="preserve"> postas</w:t>
      </w:r>
      <w:r w:rsidRPr="00CC6943">
        <w:rPr>
          <w:rFonts w:asciiTheme="majorHAnsi" w:eastAsia="Times New Roman" w:hAnsiTheme="majorHAnsi" w:cstheme="majorHAnsi"/>
          <w:lang w:val="lt-LT"/>
        </w:rPr>
        <w:t xml:space="preserve"> (nėra apsaugos darbuotojo, kontrolė vykdoma techninėmis priemonėmis iš I-o posto), per kurį vyksta asmenų judėjimas iš pastato ir į pastatą. Kontrolė vykdoma naudojant įeigos kontrolės sistema („</w:t>
      </w:r>
      <w:proofErr w:type="spellStart"/>
      <w:r w:rsidRPr="00CC6943">
        <w:rPr>
          <w:rFonts w:asciiTheme="majorHAnsi" w:eastAsia="Times New Roman" w:hAnsiTheme="majorHAnsi" w:cstheme="majorHAnsi"/>
          <w:lang w:val="lt-LT"/>
        </w:rPr>
        <w:t>Concept-Insight</w:t>
      </w:r>
      <w:proofErr w:type="spellEnd"/>
      <w:r w:rsidRPr="00CC6943">
        <w:rPr>
          <w:rFonts w:asciiTheme="majorHAnsi" w:eastAsia="Times New Roman" w:hAnsiTheme="majorHAnsi" w:cstheme="majorHAnsi"/>
          <w:lang w:val="lt-LT"/>
        </w:rPr>
        <w:t xml:space="preserve"> Professional“) ir vaizdo stebėjimo sistemų pagalba („</w:t>
      </w:r>
      <w:proofErr w:type="spellStart"/>
      <w:r w:rsidRPr="00CC6943">
        <w:rPr>
          <w:rFonts w:asciiTheme="majorHAnsi" w:eastAsia="Times New Roman" w:hAnsiTheme="majorHAnsi" w:cstheme="majorHAnsi"/>
          <w:lang w:val="lt-LT"/>
        </w:rPr>
        <w:t>Digifort</w:t>
      </w:r>
      <w:proofErr w:type="spellEnd"/>
      <w:r w:rsidRPr="00CC6943">
        <w:rPr>
          <w:rFonts w:asciiTheme="majorHAnsi" w:eastAsia="Times New Roman" w:hAnsiTheme="majorHAnsi" w:cstheme="majorHAnsi"/>
          <w:lang w:val="lt-LT"/>
        </w:rPr>
        <w:t xml:space="preserve"> Professional“).</w:t>
      </w:r>
    </w:p>
    <w:p w14:paraId="1E3B112E" w14:textId="77777777" w:rsidR="00407CAA" w:rsidRPr="00CC6943" w:rsidRDefault="00407CAA" w:rsidP="00407CAA">
      <w:pPr>
        <w:numPr>
          <w:ilvl w:val="0"/>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Sauga vykdoma stacionariuose apsaugos postuose, vizualiai ir vaizdo stebėjimo bei apsauginės signalizacijos priemonių pagalba stebint saugos situaciją Objekte ir jo prieigose, reaguojant į saugos situacijos pasikeitimus.</w:t>
      </w:r>
    </w:p>
    <w:p w14:paraId="5B0EC928" w14:textId="77777777" w:rsidR="00407CAA" w:rsidRPr="00CC6943" w:rsidRDefault="00407CAA" w:rsidP="00407CAA">
      <w:pPr>
        <w:numPr>
          <w:ilvl w:val="0"/>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 Pastatų komplekse yra įdiegtos:</w:t>
      </w:r>
    </w:p>
    <w:p w14:paraId="6147ED41" w14:textId="77777777" w:rsidR="00407CAA" w:rsidRPr="00CC6943" w:rsidRDefault="00407CAA" w:rsidP="00407CAA">
      <w:pPr>
        <w:numPr>
          <w:ilvl w:val="1"/>
          <w:numId w:val="13"/>
        </w:numPr>
        <w:tabs>
          <w:tab w:val="left" w:pos="0"/>
          <w:tab w:val="left" w:pos="284"/>
          <w:tab w:val="left" w:pos="426"/>
        </w:tabs>
        <w:spacing w:after="0" w:line="240" w:lineRule="auto"/>
        <w:contextualSpacing/>
        <w:rPr>
          <w:rFonts w:asciiTheme="majorHAnsi" w:eastAsia="Times New Roman" w:hAnsiTheme="majorHAnsi" w:cstheme="majorHAnsi"/>
          <w:i/>
          <w:iCs/>
          <w:lang w:val="lt-LT"/>
        </w:rPr>
      </w:pPr>
      <w:r w:rsidRPr="00CC6943">
        <w:rPr>
          <w:rFonts w:asciiTheme="majorHAnsi" w:eastAsia="Times New Roman" w:hAnsiTheme="majorHAnsi" w:cstheme="majorHAnsi"/>
          <w:lang w:val="lt-LT"/>
        </w:rPr>
        <w:t>autonominės, neturinčios ryšio su išore, įeigos kontrolės sistemos („</w:t>
      </w:r>
      <w:proofErr w:type="spellStart"/>
      <w:r w:rsidRPr="00CC6943">
        <w:rPr>
          <w:rFonts w:asciiTheme="majorHAnsi" w:eastAsia="Times New Roman" w:hAnsiTheme="majorHAnsi" w:cstheme="majorHAnsi"/>
          <w:lang w:val="lt-LT"/>
        </w:rPr>
        <w:t>Concept-Insight</w:t>
      </w:r>
      <w:proofErr w:type="spellEnd"/>
      <w:r w:rsidRPr="00CC6943">
        <w:rPr>
          <w:rFonts w:asciiTheme="majorHAnsi" w:eastAsia="Times New Roman" w:hAnsiTheme="majorHAnsi" w:cstheme="majorHAnsi"/>
          <w:lang w:val="lt-LT"/>
        </w:rPr>
        <w:t xml:space="preserve"> Professional“, „CREDO ID </w:t>
      </w:r>
      <w:proofErr w:type="spellStart"/>
      <w:r w:rsidRPr="00CC6943">
        <w:rPr>
          <w:rFonts w:asciiTheme="majorHAnsi" w:eastAsia="Times New Roman" w:hAnsiTheme="majorHAnsi" w:cstheme="majorHAnsi"/>
          <w:lang w:val="lt-LT"/>
        </w:rPr>
        <w:t>version</w:t>
      </w:r>
      <w:proofErr w:type="spellEnd"/>
      <w:r w:rsidRPr="00CC6943">
        <w:rPr>
          <w:rFonts w:asciiTheme="majorHAnsi" w:eastAsia="Times New Roman" w:hAnsiTheme="majorHAnsi" w:cstheme="majorHAnsi"/>
          <w:lang w:val="lt-LT"/>
        </w:rPr>
        <w:t xml:space="preserve"> 4.21.18“); </w:t>
      </w:r>
    </w:p>
    <w:p w14:paraId="1F65BBC5" w14:textId="77777777" w:rsidR="00407CAA" w:rsidRPr="00CC6943" w:rsidRDefault="00407CAA" w:rsidP="00407CAA">
      <w:pPr>
        <w:numPr>
          <w:ilvl w:val="1"/>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gaisrinė (</w:t>
      </w:r>
      <w:proofErr w:type="spellStart"/>
      <w:r w:rsidRPr="00CC6943">
        <w:rPr>
          <w:rFonts w:asciiTheme="majorHAnsi" w:eastAsia="Times New Roman" w:hAnsiTheme="majorHAnsi" w:cstheme="majorHAnsi"/>
          <w:lang w:val="lt-LT"/>
        </w:rPr>
        <w:t>Inim</w:t>
      </w:r>
      <w:proofErr w:type="spellEnd"/>
      <w:r w:rsidRPr="00CC6943">
        <w:rPr>
          <w:rFonts w:asciiTheme="majorHAnsi" w:eastAsia="Times New Roman" w:hAnsiTheme="majorHAnsi" w:cstheme="majorHAnsi"/>
          <w:lang w:val="lt-LT"/>
        </w:rPr>
        <w:t xml:space="preserve"> -PREVIDIA) ir gesinimo dujomis signalizacijos / sistemos - 4 vnt. (Informatikos ir ryšių departamentas prie LR VRM). Pastato gaisrinės signalizacijos nepajungtos į bendrą pagalbos centrą;</w:t>
      </w:r>
    </w:p>
    <w:p w14:paraId="1CE13049" w14:textId="77777777" w:rsidR="00407CAA" w:rsidRPr="00CC6943" w:rsidRDefault="00407CAA" w:rsidP="00407CAA">
      <w:pPr>
        <w:numPr>
          <w:ilvl w:val="1"/>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autonominės, neturinčios ryšio su išore, apsaugos signalizacijos („</w:t>
      </w:r>
      <w:proofErr w:type="spellStart"/>
      <w:r w:rsidRPr="00CC6943">
        <w:rPr>
          <w:rFonts w:asciiTheme="majorHAnsi" w:eastAsia="Times New Roman" w:hAnsiTheme="majorHAnsi" w:cstheme="majorHAnsi"/>
          <w:lang w:val="lt-LT"/>
        </w:rPr>
        <w:t>Concept-Inner</w:t>
      </w:r>
      <w:proofErr w:type="spellEnd"/>
      <w:r w:rsidRPr="00CC6943">
        <w:rPr>
          <w:rFonts w:asciiTheme="majorHAnsi" w:eastAsia="Times New Roman" w:hAnsiTheme="majorHAnsi" w:cstheme="majorHAnsi"/>
          <w:lang w:val="lt-LT"/>
        </w:rPr>
        <w:t xml:space="preserve"> Range“, „CREDO ID </w:t>
      </w:r>
      <w:proofErr w:type="spellStart"/>
      <w:r w:rsidRPr="00CC6943">
        <w:rPr>
          <w:rFonts w:asciiTheme="majorHAnsi" w:eastAsia="Times New Roman" w:hAnsiTheme="majorHAnsi" w:cstheme="majorHAnsi"/>
          <w:lang w:val="lt-LT"/>
        </w:rPr>
        <w:t>version</w:t>
      </w:r>
      <w:proofErr w:type="spellEnd"/>
      <w:r w:rsidRPr="00CC6943">
        <w:rPr>
          <w:rFonts w:asciiTheme="majorHAnsi" w:eastAsia="Times New Roman" w:hAnsiTheme="majorHAnsi" w:cstheme="majorHAnsi"/>
          <w:lang w:val="lt-LT"/>
        </w:rPr>
        <w:t xml:space="preserve"> 4.21.18“), penki pavojaus mygtukai. Perspėjimo signalai gaunami į 1-ą apsaugos postą ir matomi apsaugos signalizacijos monitoriuje ir kituose perspėjimo įrenginiuose;</w:t>
      </w:r>
    </w:p>
    <w:p w14:paraId="06063172" w14:textId="77777777" w:rsidR="00407CAA" w:rsidRPr="00CC6943" w:rsidRDefault="00407CAA" w:rsidP="00407CAA">
      <w:pPr>
        <w:numPr>
          <w:ilvl w:val="1"/>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vaizdo stebėjimo sistemos - 2 vnt., („</w:t>
      </w:r>
      <w:proofErr w:type="spellStart"/>
      <w:r w:rsidRPr="00CC6943">
        <w:rPr>
          <w:rFonts w:asciiTheme="majorHAnsi" w:eastAsia="Times New Roman" w:hAnsiTheme="majorHAnsi" w:cstheme="majorHAnsi"/>
          <w:lang w:val="lt-LT"/>
        </w:rPr>
        <w:t>Digifort</w:t>
      </w:r>
      <w:proofErr w:type="spellEnd"/>
      <w:r w:rsidRPr="00CC6943">
        <w:rPr>
          <w:rFonts w:asciiTheme="majorHAnsi" w:eastAsia="Times New Roman" w:hAnsiTheme="majorHAnsi" w:cstheme="majorHAnsi"/>
          <w:lang w:val="lt-LT"/>
        </w:rPr>
        <w:t xml:space="preserve"> Professional“, iš viso yra 64 vnt. vaizdo kamerų, viena vaizdo stebėjimo sistema valdo ir pakeliamą kelio užtvarą, įvažiavimas į vidinį kiemą);</w:t>
      </w:r>
    </w:p>
    <w:p w14:paraId="36A39C7C" w14:textId="77777777" w:rsidR="00407CAA" w:rsidRPr="00CC6943" w:rsidRDefault="00407CAA" w:rsidP="00407CAA">
      <w:pPr>
        <w:numPr>
          <w:ilvl w:val="1"/>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autonominė, neturinčios ryšio su išore, evakuacinė pranešimų sistema (BOSCH-PAVIRO);</w:t>
      </w:r>
    </w:p>
    <w:p w14:paraId="3DB7121F" w14:textId="77777777" w:rsidR="00407CAA" w:rsidRPr="00CC6943" w:rsidRDefault="00407CAA" w:rsidP="00407CAA">
      <w:pPr>
        <w:numPr>
          <w:ilvl w:val="0"/>
          <w:numId w:val="13"/>
        </w:numPr>
        <w:tabs>
          <w:tab w:val="left" w:pos="0"/>
          <w:tab w:val="left" w:pos="284"/>
          <w:tab w:val="left" w:pos="426"/>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Apsaugos darbuotojų poreikis:</w:t>
      </w:r>
    </w:p>
    <w:p w14:paraId="333EF745" w14:textId="77777777" w:rsidR="00407CAA" w:rsidRPr="00CC6943" w:rsidRDefault="00407CAA" w:rsidP="00407CAA">
      <w:pPr>
        <w:tabs>
          <w:tab w:val="left" w:pos="0"/>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19.1. darbo dienomis nuo 6:00 iki 18:00 val. – 3 apsaugos  darbuotojai (vienas jų – Apsaugos komandos vyresnysis apsaugos darbuotojas);</w:t>
      </w:r>
    </w:p>
    <w:p w14:paraId="11A0DAE6" w14:textId="77777777" w:rsidR="00407CAA" w:rsidRPr="00CC6943" w:rsidRDefault="00407CAA" w:rsidP="00407CAA">
      <w:pPr>
        <w:tabs>
          <w:tab w:val="left" w:pos="0"/>
          <w:tab w:val="left" w:pos="567"/>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19.2. kitu paros metu, savaitgaliais ir švenčių dienomis – 2 apsaugos  darbuotojai.</w:t>
      </w:r>
    </w:p>
    <w:p w14:paraId="51C484A5" w14:textId="2FE9748F" w:rsidR="00407CAA" w:rsidRPr="00CC6943" w:rsidRDefault="00407CAA" w:rsidP="00407CAA">
      <w:pPr>
        <w:tabs>
          <w:tab w:val="left" w:pos="0"/>
          <w:tab w:val="left" w:pos="567"/>
          <w:tab w:val="left" w:pos="993"/>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 </w:t>
      </w:r>
    </w:p>
    <w:p w14:paraId="7B218E5F" w14:textId="0E30D0B1" w:rsidR="00407CAA" w:rsidRPr="00CC6943" w:rsidRDefault="00407CAA" w:rsidP="00407CAA">
      <w:pPr>
        <w:spacing w:after="0" w:line="240" w:lineRule="auto"/>
        <w:rPr>
          <w:rFonts w:asciiTheme="majorHAnsi" w:eastAsia="Calibri" w:hAnsiTheme="majorHAnsi" w:cstheme="majorHAnsi"/>
          <w:b/>
          <w:bCs/>
          <w:color w:val="2F5496"/>
          <w:u w:val="single"/>
          <w:lang w:val="lt-LT"/>
        </w:rPr>
      </w:pPr>
      <w:r w:rsidRPr="00CC6943">
        <w:rPr>
          <w:rFonts w:asciiTheme="majorHAnsi" w:eastAsia="Times New Roman" w:hAnsiTheme="majorHAnsi" w:cstheme="majorHAnsi"/>
          <w:b/>
          <w:bCs/>
          <w:color w:val="2F5496"/>
          <w:u w:val="single"/>
          <w:lang w:val="lt-LT"/>
        </w:rPr>
        <w:t>IV. TIEKĖJO FUNKCIJOS IR PAREIGOS</w:t>
      </w:r>
    </w:p>
    <w:p w14:paraId="515FC9F2" w14:textId="77777777" w:rsidR="00407CAA" w:rsidRPr="00CC6943" w:rsidRDefault="00407CAA" w:rsidP="00407CAA">
      <w:pPr>
        <w:tabs>
          <w:tab w:val="left" w:pos="426"/>
          <w:tab w:val="left" w:pos="567"/>
        </w:tabs>
        <w:spacing w:after="0" w:line="240" w:lineRule="auto"/>
        <w:rPr>
          <w:rFonts w:asciiTheme="majorHAnsi" w:eastAsia="Times New Roman" w:hAnsiTheme="majorHAnsi" w:cstheme="majorHAnsi"/>
          <w:b/>
          <w:bCs/>
          <w:lang w:val="lt-LT"/>
        </w:rPr>
      </w:pPr>
    </w:p>
    <w:p w14:paraId="62D3376E" w14:textId="77777777" w:rsidR="00407CAA" w:rsidRPr="00CC6943" w:rsidRDefault="00407CAA" w:rsidP="00407CAA">
      <w:pPr>
        <w:tabs>
          <w:tab w:val="left" w:pos="426"/>
          <w:tab w:val="left" w:pos="567"/>
        </w:tabs>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20. Tiekėjas / Apsaugos komanda (apsaugos darbuotojas) privalo:</w:t>
      </w:r>
    </w:p>
    <w:p w14:paraId="5C027417"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 stebėti Objekto, kuriame pagal Sutartį teikiamos fizinės apsaugos paslaugos, pastatus, teritoriją ir jo prieigas (saugoti turtą, įrenginius bei įrangą, esančią patalpų viduje bei sumontuotus įrenginius ant išorinių pastato sienų bei šalia pastato (kondicionierių išorinius įrenginius, vėdinimo įrenginius, ir kitus įrenginius, esančius ar įrengtus Sutarties vykdymo laikotarpiu šalia pastato). Tikrinti Objekto saugos būklę ir teikti pasiūlymus dėl trūkumų, mažinančių saugumą Objekte, pašalinimo. Trūkumų pašalinimą koordinuoja ir organizuoja Perkančioji organizacija. Apsaugos komanda (apsaugos darbuotojas) privalo būti Objekto stacionariuose apsaugos postuose, stebėti Perkančiosios organizacijos patalpas ir teritoriją, jei Objekto fizinės apsaugos instrukcijoje nenustatyta kitaip – ne rečiau kaip kas 2 (dvi) valandas, apeiti ir apžiūrėti Objektą iš vidaus bei išorės (atlikti Objekto apvaikštą);</w:t>
      </w:r>
    </w:p>
    <w:p w14:paraId="652C7D3B"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lastRenderedPageBreak/>
        <w:t>20.2. užtikrinti leidimų režimo vykdymą (asmenų, patenkančių į Objektą, identifikavimas, registravimas ir kontrolė, informacijos suteikimas ir pagalba Objekte besilankantiems svečiams, automobilių stovėjimo aikštelių naudojimo kontrolė ir priežiūra ir kt.) ir patekimo (įėjimo / įvažiavimo ir išėjimo / išvažiavimo) į Objektą kontrolę bei vykdyti kitas funkcijas, susijusias su Apsaugos paslaugų teikimu, kurios bus nustatytos Objekto fizinės apsaugos instrukcijoje;</w:t>
      </w:r>
    </w:p>
    <w:p w14:paraId="76CD2955"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20.3. imtis visų veiksmų, būtinų viešosios tvarkos, Objekto materialinių vertybių, asmenų bei turto saugumui užtikrinti, užkertant kelią nustatytos tvarkos Objekte pažeidimui ir neteisėtiems veiksmams; apsauginės ir (ar) priešgaisrinės signalizacijos suveikimo atveju ar pastebėjus įtarimą keliančių faktų Objekte – privalo nedelsiant patikrinti Objektą. Nustačius įsibrovimo faktą – informuoti teisėtvarkos institucijas ir pranešti apie įvykį atsakingiems Perkančiosios organizacijos darbuotojams bei imtis visų įmanomų veiksmų asmenų bei turto apsaugojimui; pastebėjus gaisrą – nedelsiant iškviesti specialiąsias ir technines tarnybas (priešgaisrinę tarnybą), bei esant galimybei, kai nekyla grėsmės apsaugos darbuotojo sveikatai ir gyvybei, imtis priemonių likviduoti ar lokalizuoti gaisro židinį pasinaudojant turimomis priešgaisrinėmis priemonėmis, apie įvykį pranešti atsakingiems Perkančiosios organizacijos darbuotojams. Gavus priešgaisrinės gelbėjimo tarnybos ir atsakingų Perkančiosios organizacijos darbuotojų nurodymą, skelbti pastato evakuaciją;</w:t>
      </w:r>
    </w:p>
    <w:p w14:paraId="37B7871C"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20.4. stebėti, fiksuoti ir nustatyta tvarka informuoti kompetentingus subjektus (pavyzdžiui, Vilniaus miesto savivaldybės administracijos įgaliotą savivaldybės įmonę „Susisiekimo paslaugos“) apie vietos automobiliams statyti, nurodytos šios techninės specifikacijos 12.3.2. papunktyje, naudojimą pažeidžiant Kelių eismo taisykles (Stovėjimo vieta, kurioje transporto priemonėms leidžiama stovėti tik su specialiais leidimais. Ne elektroniniai leidimai tvirtinami už priekinio stiklo);</w:t>
      </w:r>
    </w:p>
    <w:p w14:paraId="16C6FFF0"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20.5. avarijos ar gedimo (liftų, elektros, vandentiekio, gaisro ir kt.) atveju žinoti, kur išjungti pagrindinius įvadus, iškviesti avarinę tarnybą, pastatą aptarnaujančio teikėjo (įmonės) atstovus ir nedelsiant informuoti Perkančiosios organizacijos atsakingą darbuotoją;</w:t>
      </w:r>
    </w:p>
    <w:p w14:paraId="6B554797"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20.6. privalo nuolat stebėti patalpų apsaugos ir gaisro pultų, apsaugos vaizdo kamerų ir kitų Saugos sistemų perduodamą informaciją bei atitinkamai reaguoti. Gavus Aliarmo signalą tinkamai ir operatyviai, ne vėliau kaip per 5 min., reaguoti (pavyzdžiui, gavus apsaugos signalizacijos ar priešgaisrinės signalizacijos Aliarmo signalą į suveikimo (įsibrovimo) vietą atvykti ne vėliau kaip per 5 min., jei Objekto fizinės apsaugos instrukcijoje nenustatytas trumpesnis laikas);</w:t>
      </w:r>
    </w:p>
    <w:p w14:paraId="41A86EE8"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20.7. saugoti visų patalpų atsarginius raktus ir esant ekstremaliai situacijai (gaisras ar kitas pavojus) atrakinti patalpas, kaip numatyta Objekto fizinės apsaugos instrukcijoje; </w:t>
      </w:r>
    </w:p>
    <w:p w14:paraId="75B38847"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20.8. apie įvykį, dėl kurio galėjo atsirasti materialinė žala ar nuostolis Perkančiajai organizacijai, nedelsiant pranešti jos nurodytam atsakingam darbuotojui bei organizuoti įvykio vietos apsaugą; </w:t>
      </w:r>
    </w:p>
    <w:p w14:paraId="03800F5F"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20.9. atlyginti visus perkančiosios organizacijos patirtus nuostolius dėl netinkamai vykdytų apsaugos reikalavimų;</w:t>
      </w:r>
    </w:p>
    <w:p w14:paraId="62DA617D"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20.10. užtikrinti gaunamos korespondencijos, siuntų priėmimą, jų saugumo įvertinimą ir perdavimą Perkančiosios organizacijos atsakingiems asmenims;</w:t>
      </w:r>
    </w:p>
    <w:p w14:paraId="6EDAD82A"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20.11. tvarkingai ir tinkamai pildyti poste esančią tarnybinę dokumentaciją (el. žurnalas, atsarginių raktų išdavimo žurnalas);</w:t>
      </w:r>
    </w:p>
    <w:p w14:paraId="5CA3C8B4"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20.12. įvykus saugos ar kitam incidentui, prireikus suteikti pirmąją medicinos pagalbą nukentėjusiesiems;</w:t>
      </w:r>
    </w:p>
    <w:p w14:paraId="12578E90"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20.13. reguliariai atnaujinti savo teorines žinias ir praktinius įgūdžius pirmosios pagalbos, priešgaisrinės saugos, savigynos ir saugumo srityse. Visas sąnaudas, susijusias su apsaugos darbuotojų mokymu ir kvalifikacijos kėlimu, apmoka Tiekėjas;</w:t>
      </w:r>
    </w:p>
    <w:p w14:paraId="4404F6BD"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20.14. su savimi turėti ir Perkančiosios organizacijos atsakingam asmeniui pareikalavus pateikti kvalifikaciją liudijantį dokumentą (apsaugos darbuotojo pažymėjimą), darbo pažymėjimą (darbuotojo kortelę);</w:t>
      </w:r>
    </w:p>
    <w:p w14:paraId="0D7A94FE"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20.15. savo jėgomis ir sąskaita užtikrinti organizuotą vientisą apsaugą, t. y. esant būtinybei (saugos incidento, ekstremalaus įvykio, ekstremalios situacijos, apsaugos funkcijų veiksnumo patikrinimo ar pratybų metu), iškilus pavojui, Apsaugos komandai į pagalbą turi atvykti reikiamas kiekis greitojo reagavimo ekipažų (greitojo reagavimo ekipažas turi atvykti į Objektą (reaguoti) operatyviai, tačiau ne vėliau kaip per 10 min.). Tiekėjas, suderinęs su Perkančiąja organizacija, Objekte gali įdiegti, savo jėgomis ir sąskaita, papildomas apsaugos sistemas, kurios padidina Objekto saugos būklę, bei savo pajėgumais aptarnauti (prižiūrėti) papildomai įdiegtą sistemą.</w:t>
      </w:r>
    </w:p>
    <w:p w14:paraId="32B29011"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20.16. turėti pakankamą (būtiną užtikrinti nepertraukiamą šioje techninėje specifikacijoje nustatytus reikalavimus atitinkančių Apsaugos paslaugų teikimą) skaičių pirkimo dokumentuose nustatytus kvalifikacijos reikalavimus atitinkančių darbuotojų (apsaugos darbuotojų), kurie galėtų teikti Objekte fizinę apsaugą planinio ir (ar) nenumatyto Apsaugos komandos narių (apsaugos darbuotojų) nebuvimo atveju.</w:t>
      </w:r>
    </w:p>
    <w:p w14:paraId="074DB412"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20.17. dėti visas pastangas, kad Apsaugos komandos kaita būtų kuo mažesnė, ir siekti, kad Apsaugos komandos vyresnysis apsaugos darbuotojas ir darbo dienomis nuo 06:00 iki 18:00 val. dirbantys apsaugos darbuotojai būtų nesikeičiantys darbuotojai (išskyrus jų atostogas, ligą, darbo ar kt. sutarties nutraukimą ir kt. panašius atvejus).</w:t>
      </w:r>
    </w:p>
    <w:p w14:paraId="4B01CC7D"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lastRenderedPageBreak/>
        <w:t>20.18. kiekvieną apsaugos darbuotoją aprūpinti Apsaugos paslaugų teikimui būtinais darbo įrankiais (ryšio priemonėmis (skaitmenine radijo stotele su šifravimo funkcija, radijo ryšio, pavojaus mygtuko priemonėmis ir pan.); specialiosiomis priemonėmis; šaunamuoju ginklu; asmeninėmis apsaugos priemonėmis ir kt.).</w:t>
      </w:r>
    </w:p>
    <w:p w14:paraId="1F0EA8DC"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r w:rsidRPr="00CC6943">
        <w:rPr>
          <w:rFonts w:asciiTheme="majorHAnsi" w:eastAsia="Times New Roman" w:hAnsiTheme="majorHAnsi" w:cstheme="majorHAnsi"/>
          <w:lang w:val="lt-LT"/>
        </w:rPr>
        <w:t>20.19. Perkančioji organizacija pasilieka teisę reikalauti, kad dėl netinkamai vykdomų pareigų, elgesio bet kuris Tiekėjo apsaugos darbuotojas būtų pakeistas</w:t>
      </w:r>
    </w:p>
    <w:p w14:paraId="1070C469"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p>
    <w:p w14:paraId="512BA45E"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b/>
          <w:bCs/>
          <w:color w:val="2F5496"/>
          <w:u w:val="single"/>
          <w:lang w:val="lt-LT"/>
        </w:rPr>
      </w:pPr>
      <w:r w:rsidRPr="00CC6943">
        <w:rPr>
          <w:rFonts w:asciiTheme="majorHAnsi" w:eastAsia="Times New Roman" w:hAnsiTheme="majorHAnsi" w:cstheme="majorHAnsi"/>
          <w:b/>
          <w:bCs/>
          <w:color w:val="2F5496"/>
          <w:u w:val="single"/>
          <w:lang w:val="lt-LT"/>
        </w:rPr>
        <w:t xml:space="preserve">VI. REIKALAVIMAI TIEKĖJO APSAUGOS DARBUOTOJAMS  </w:t>
      </w:r>
    </w:p>
    <w:p w14:paraId="124D9B25" w14:textId="77777777" w:rsidR="00407CAA" w:rsidRPr="00CC6943" w:rsidRDefault="00407CAA" w:rsidP="00407CAA">
      <w:pPr>
        <w:tabs>
          <w:tab w:val="left" w:pos="567"/>
        </w:tabs>
        <w:spacing w:after="0" w:line="240" w:lineRule="auto"/>
        <w:contextualSpacing/>
        <w:rPr>
          <w:rFonts w:asciiTheme="majorHAnsi" w:eastAsia="Times New Roman" w:hAnsiTheme="majorHAnsi" w:cstheme="majorHAnsi"/>
          <w:lang w:val="lt-LT"/>
        </w:rPr>
      </w:pPr>
    </w:p>
    <w:p w14:paraId="46458A9F" w14:textId="77777777" w:rsidR="00407CAA" w:rsidRPr="00CC6943" w:rsidRDefault="00407CAA" w:rsidP="00407CAA">
      <w:pPr>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b/>
          <w:bCs/>
          <w:lang w:val="lt-LT"/>
        </w:rPr>
        <w:t xml:space="preserve">21. Reikalavimai Tiekėjo apsaugos darbuotojams (tiesiogiai vykdysiantiems apsaugos funkcijas): </w:t>
      </w:r>
    </w:p>
    <w:p w14:paraId="74E3C7BB" w14:textId="77777777" w:rsidR="00407CAA" w:rsidRPr="00CC6943" w:rsidRDefault="00407CAA" w:rsidP="00407CAA">
      <w:pPr>
        <w:spacing w:after="0" w:line="240" w:lineRule="auto"/>
        <w:rPr>
          <w:rFonts w:asciiTheme="majorHAnsi" w:eastAsia="Calibri" w:hAnsiTheme="majorHAnsi" w:cstheme="majorHAnsi"/>
          <w:lang w:val="lt-LT"/>
        </w:rPr>
      </w:pPr>
      <w:r w:rsidRPr="00CC6943">
        <w:rPr>
          <w:rFonts w:asciiTheme="majorHAnsi" w:eastAsia="Calibri" w:hAnsiTheme="majorHAnsi" w:cstheme="majorHAnsi"/>
          <w:lang w:val="lt-LT"/>
        </w:rPr>
        <w:t xml:space="preserve">21.1. </w:t>
      </w:r>
      <w:r w:rsidRPr="00CC6943">
        <w:rPr>
          <w:rFonts w:asciiTheme="majorHAnsi" w:eastAsia="Times New Roman" w:hAnsiTheme="majorHAnsi" w:cstheme="majorHAnsi"/>
          <w:lang w:val="lt-LT"/>
        </w:rPr>
        <w:t xml:space="preserve">apsaugos darbuotojai turi turėti </w:t>
      </w:r>
      <w:r w:rsidRPr="00CC6943">
        <w:rPr>
          <w:rFonts w:asciiTheme="majorHAnsi" w:eastAsia="Calibri" w:hAnsiTheme="majorHAnsi" w:cstheme="majorHAnsi"/>
          <w:lang w:val="lt-LT"/>
        </w:rPr>
        <w:t>apsaugos darbuotojo pažymėjimą;</w:t>
      </w:r>
    </w:p>
    <w:p w14:paraId="61724632" w14:textId="77777777" w:rsidR="00407CAA" w:rsidRPr="00CC6943" w:rsidRDefault="00407CAA" w:rsidP="00407CAA">
      <w:pPr>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21.2. apsaugos darbuotojai privalo dėvėti kostiumą / tarnybinę uniformą, mokėti valstybinę kalbą, būti tvarkingi, mandagūs, taktiški, laikytis aplinkosaugos, saugos darbe ir priešgaisrinės saugos reikalavimų bei perkančiosios organizacijos vidaus tvarkos taisyklių;</w:t>
      </w:r>
    </w:p>
    <w:p w14:paraId="77FBD057" w14:textId="77777777" w:rsidR="00407CAA" w:rsidRPr="00CC6943" w:rsidRDefault="00407CAA" w:rsidP="00407CAA">
      <w:pPr>
        <w:spacing w:after="0" w:line="240" w:lineRule="auto"/>
        <w:rPr>
          <w:rFonts w:asciiTheme="majorHAnsi" w:eastAsia="Calibri" w:hAnsiTheme="majorHAnsi" w:cstheme="majorHAnsi"/>
          <w:lang w:val="lt-LT"/>
        </w:rPr>
      </w:pPr>
      <w:r w:rsidRPr="00CC6943">
        <w:rPr>
          <w:rFonts w:asciiTheme="majorHAnsi" w:eastAsia="Calibri" w:hAnsiTheme="majorHAnsi" w:cstheme="majorHAnsi"/>
          <w:lang w:val="lt-LT"/>
        </w:rPr>
        <w:t xml:space="preserve">21.3. </w:t>
      </w:r>
      <w:r w:rsidRPr="00CC6943">
        <w:rPr>
          <w:rFonts w:asciiTheme="majorHAnsi" w:eastAsia="Times New Roman" w:hAnsiTheme="majorHAnsi" w:cstheme="majorHAnsi"/>
          <w:lang w:val="lt-LT"/>
        </w:rPr>
        <w:t>apsaugos darbuotojai turi būti aprūpinti šaunamaisiais ginklais, specialiosiomis bei radijo ryšio priemonėmis;</w:t>
      </w:r>
    </w:p>
    <w:p w14:paraId="12749431" w14:textId="12ECFDA0" w:rsidR="00407CAA" w:rsidRPr="00CC6943" w:rsidRDefault="00407CAA" w:rsidP="00407CAA">
      <w:pPr>
        <w:spacing w:after="0" w:line="240" w:lineRule="auto"/>
        <w:rPr>
          <w:rFonts w:asciiTheme="majorHAnsi" w:eastAsia="Times New Roman" w:hAnsiTheme="majorHAnsi" w:cstheme="majorHAnsi"/>
          <w:lang w:val="lt-LT"/>
        </w:rPr>
      </w:pPr>
      <w:r w:rsidRPr="00CC6943">
        <w:rPr>
          <w:rFonts w:asciiTheme="majorHAnsi" w:eastAsia="Times New Roman" w:hAnsiTheme="majorHAnsi" w:cstheme="majorHAnsi"/>
          <w:lang w:val="lt-LT"/>
        </w:rPr>
        <w:t xml:space="preserve">21.4. apsaugos darbuotojai privalo atitikti ir laikytis Lietuvos Respublikos asmens ir turto saugos įstatyme nustatytų reikalavimų. </w:t>
      </w:r>
    </w:p>
    <w:p w14:paraId="49E36CDF" w14:textId="7BC7AFFA" w:rsidR="00D47BC1" w:rsidRPr="00CC6943" w:rsidRDefault="00D47BC1" w:rsidP="00407CAA">
      <w:pPr>
        <w:spacing w:after="0" w:line="240" w:lineRule="auto"/>
        <w:rPr>
          <w:rFonts w:asciiTheme="majorHAnsi" w:eastAsia="Calibri" w:hAnsiTheme="majorHAnsi" w:cstheme="majorHAnsi"/>
          <w:lang w:val="lt-LT"/>
        </w:rPr>
      </w:pPr>
    </w:p>
    <w:p w14:paraId="17350510" w14:textId="75063B90" w:rsidR="00D47BC1" w:rsidRPr="00CC6943" w:rsidRDefault="00D47BC1" w:rsidP="00407CAA">
      <w:pPr>
        <w:suppressAutoHyphens/>
        <w:autoSpaceDN w:val="0"/>
        <w:spacing w:after="0" w:line="240" w:lineRule="auto"/>
        <w:jc w:val="center"/>
        <w:textAlignment w:val="baseline"/>
        <w:rPr>
          <w:rFonts w:asciiTheme="majorHAnsi" w:eastAsia="Calibri" w:hAnsiTheme="majorHAnsi" w:cstheme="majorHAnsi"/>
        </w:rPr>
      </w:pPr>
      <w:r w:rsidRPr="00CC6943">
        <w:rPr>
          <w:rFonts w:asciiTheme="majorHAnsi" w:eastAsia="Calibri" w:hAnsiTheme="majorHAnsi" w:cstheme="majorHAnsi"/>
        </w:rPr>
        <w:t>__________________________</w:t>
      </w:r>
    </w:p>
    <w:p w14:paraId="4709B409" w14:textId="77777777" w:rsidR="00D47BC1" w:rsidRPr="00CC6943" w:rsidRDefault="00D47BC1">
      <w:pPr>
        <w:suppressAutoHyphens/>
        <w:autoSpaceDN w:val="0"/>
        <w:spacing w:after="0" w:line="240" w:lineRule="auto"/>
        <w:jc w:val="center"/>
        <w:textAlignment w:val="baseline"/>
        <w:rPr>
          <w:rFonts w:asciiTheme="majorHAnsi" w:eastAsia="Calibri" w:hAnsiTheme="majorHAnsi" w:cstheme="majorHAnsi"/>
        </w:rPr>
      </w:pPr>
    </w:p>
    <w:sectPr w:rsidR="00D47BC1" w:rsidRPr="00CC6943" w:rsidSect="003D5402">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5BDE" w14:textId="77777777" w:rsidR="00CC0A8D" w:rsidRDefault="00CC0A8D">
      <w:pPr>
        <w:spacing w:after="0" w:line="240" w:lineRule="auto"/>
      </w:pPr>
      <w:r>
        <w:separator/>
      </w:r>
    </w:p>
  </w:endnote>
  <w:endnote w:type="continuationSeparator" w:id="0">
    <w:p w14:paraId="2454E80A" w14:textId="77777777" w:rsidR="00CC0A8D" w:rsidRDefault="00CC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6A7E" w14:textId="77777777" w:rsidR="0033047F" w:rsidRDefault="003304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24C8042F"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92A8F">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92A8F">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3F1" w14:textId="77777777" w:rsidR="0033047F" w:rsidRDefault="003304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15B0" w14:textId="77777777" w:rsidR="00CC0A8D" w:rsidRDefault="00CC0A8D">
      <w:pPr>
        <w:spacing w:after="0" w:line="240" w:lineRule="auto"/>
      </w:pPr>
      <w:r>
        <w:separator/>
      </w:r>
    </w:p>
  </w:footnote>
  <w:footnote w:type="continuationSeparator" w:id="0">
    <w:p w14:paraId="2AFDE482" w14:textId="77777777" w:rsidR="00CC0A8D" w:rsidRDefault="00CC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7478" w14:textId="77777777" w:rsidR="0033047F" w:rsidRDefault="003304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15024F"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1F090594" w:rsidR="00CC5562" w:rsidRPr="0033047F" w:rsidRDefault="00410086" w:rsidP="003D61CE">
          <w:pPr>
            <w:jc w:val="left"/>
            <w:rPr>
              <w:rFonts w:ascii="Arial" w:hAnsi="Arial" w:cs="Arial"/>
              <w:b/>
              <w:lang w:val="lt-LT"/>
            </w:rPr>
          </w:pPr>
          <w:r>
            <w:rPr>
              <w:rFonts w:ascii="Arial" w:hAnsi="Arial" w:cs="Arial"/>
              <w:b/>
              <w:color w:val="FFFFFF" w:themeColor="background1"/>
              <w:lang w:val="lt-LT"/>
            </w:rPr>
            <w:t>IAGS</w:t>
          </w:r>
          <w:r w:rsidR="00CC5562" w:rsidRPr="0033047F">
            <w:rPr>
              <w:rFonts w:ascii="Arial" w:hAnsi="Arial" w:cs="Arial"/>
              <w:b/>
              <w:color w:val="FFFFFF" w:themeColor="background1"/>
              <w:lang w:val="lt-LT"/>
            </w:rPr>
            <w:t xml:space="preserve"> &gt; PIRKIMO DOKUMENTAI (PD) &gt; TECHNINĖ SPECIFIKACIJA (TS)</w:t>
          </w:r>
        </w:p>
      </w:tc>
    </w:tr>
  </w:tbl>
  <w:p w14:paraId="382CCFC6" w14:textId="6175AAE9" w:rsidR="00CC5562" w:rsidRPr="000273A7" w:rsidRDefault="00CC5562" w:rsidP="00A122D6">
    <w:pPr>
      <w:pStyle w:val="Antrats"/>
      <w:rPr>
        <w:rFonts w:ascii="Calibri Light" w:hAnsi="Calibri Light" w:cs="Calibri Light"/>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AE40" w14:textId="77777777" w:rsidR="0033047F" w:rsidRDefault="003304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5E53CC"/>
    <w:multiLevelType w:val="multilevel"/>
    <w:tmpl w:val="39525376"/>
    <w:lvl w:ilvl="0">
      <w:start w:val="13"/>
      <w:numFmt w:val="decimal"/>
      <w:lvlText w:val="%1."/>
      <w:lvlJc w:val="left"/>
      <w:pPr>
        <w:ind w:left="644" w:hanging="360"/>
      </w:pPr>
      <w:rPr>
        <w:rFonts w:hint="default"/>
      </w:rPr>
    </w:lvl>
    <w:lvl w:ilvl="1">
      <w:start w:val="1"/>
      <w:numFmt w:val="decimal"/>
      <w:isLgl/>
      <w:lvlText w:val="%1.%2."/>
      <w:lvlJc w:val="left"/>
      <w:pPr>
        <w:ind w:left="848" w:hanging="564"/>
      </w:pPr>
      <w:rPr>
        <w:rFonts w:hint="default"/>
        <w:i w:val="0"/>
        <w:iCs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6B378FA"/>
    <w:multiLevelType w:val="hybridMultilevel"/>
    <w:tmpl w:val="01C09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348801117">
    <w:abstractNumId w:val="4"/>
  </w:num>
  <w:num w:numId="2" w16cid:durableId="1977829601">
    <w:abstractNumId w:val="3"/>
  </w:num>
  <w:num w:numId="3" w16cid:durableId="921453161">
    <w:abstractNumId w:val="2"/>
  </w:num>
  <w:num w:numId="4" w16cid:durableId="1802189942">
    <w:abstractNumId w:val="1"/>
  </w:num>
  <w:num w:numId="5" w16cid:durableId="798913982">
    <w:abstractNumId w:val="0"/>
  </w:num>
  <w:num w:numId="6" w16cid:durableId="678233551">
    <w:abstractNumId w:val="8"/>
  </w:num>
  <w:num w:numId="7" w16cid:durableId="1253972191">
    <w:abstractNumId w:val="10"/>
  </w:num>
  <w:num w:numId="8" w16cid:durableId="1953516828">
    <w:abstractNumId w:val="12"/>
    <w:lvlOverride w:ilvl="0">
      <w:lvl w:ilvl="0">
        <w:start w:val="1"/>
        <w:numFmt w:val="decimal"/>
        <w:suff w:val="space"/>
        <w:lvlText w:val="%1."/>
        <w:lvlJc w:val="left"/>
      </w:lvl>
    </w:lvlOverride>
  </w:num>
  <w:num w:numId="9" w16cid:durableId="1308629138">
    <w:abstractNumId w:val="12"/>
  </w:num>
  <w:num w:numId="10" w16cid:durableId="277496789">
    <w:abstractNumId w:val="7"/>
  </w:num>
  <w:num w:numId="11" w16cid:durableId="1217427191">
    <w:abstractNumId w:val="6"/>
  </w:num>
  <w:num w:numId="12" w16cid:durableId="1819691753">
    <w:abstractNumId w:val="11"/>
  </w:num>
  <w:num w:numId="13" w16cid:durableId="49133976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273A7"/>
    <w:rsid w:val="0003366F"/>
    <w:rsid w:val="00036DBB"/>
    <w:rsid w:val="0004685E"/>
    <w:rsid w:val="00052BB3"/>
    <w:rsid w:val="00055B22"/>
    <w:rsid w:val="00084F44"/>
    <w:rsid w:val="0009047A"/>
    <w:rsid w:val="00091B59"/>
    <w:rsid w:val="00097241"/>
    <w:rsid w:val="000A23D3"/>
    <w:rsid w:val="000A58DB"/>
    <w:rsid w:val="000B0A6A"/>
    <w:rsid w:val="000B5089"/>
    <w:rsid w:val="000C32D2"/>
    <w:rsid w:val="000F4ACC"/>
    <w:rsid w:val="000F554D"/>
    <w:rsid w:val="0012374D"/>
    <w:rsid w:val="00141101"/>
    <w:rsid w:val="0014465A"/>
    <w:rsid w:val="001452AF"/>
    <w:rsid w:val="0015024F"/>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260EB"/>
    <w:rsid w:val="00230C9A"/>
    <w:rsid w:val="00246179"/>
    <w:rsid w:val="002607C9"/>
    <w:rsid w:val="00261339"/>
    <w:rsid w:val="00261B88"/>
    <w:rsid w:val="00263108"/>
    <w:rsid w:val="00272755"/>
    <w:rsid w:val="00273CFD"/>
    <w:rsid w:val="00280219"/>
    <w:rsid w:val="00290944"/>
    <w:rsid w:val="002912FE"/>
    <w:rsid w:val="00291B9E"/>
    <w:rsid w:val="00292A8F"/>
    <w:rsid w:val="002A626E"/>
    <w:rsid w:val="002C2765"/>
    <w:rsid w:val="002C4E6E"/>
    <w:rsid w:val="002C658C"/>
    <w:rsid w:val="002C7F2C"/>
    <w:rsid w:val="002F1836"/>
    <w:rsid w:val="002F7BBC"/>
    <w:rsid w:val="0030668D"/>
    <w:rsid w:val="003150D0"/>
    <w:rsid w:val="003236D0"/>
    <w:rsid w:val="0033047F"/>
    <w:rsid w:val="00334A5F"/>
    <w:rsid w:val="00341C69"/>
    <w:rsid w:val="00355B56"/>
    <w:rsid w:val="00357BD5"/>
    <w:rsid w:val="0036000D"/>
    <w:rsid w:val="003673D6"/>
    <w:rsid w:val="0037027C"/>
    <w:rsid w:val="003768DE"/>
    <w:rsid w:val="00385616"/>
    <w:rsid w:val="0039787C"/>
    <w:rsid w:val="003B0B81"/>
    <w:rsid w:val="003D0DA8"/>
    <w:rsid w:val="003D5402"/>
    <w:rsid w:val="003D5439"/>
    <w:rsid w:val="003D61CE"/>
    <w:rsid w:val="003E3438"/>
    <w:rsid w:val="003F2E3F"/>
    <w:rsid w:val="003F6C42"/>
    <w:rsid w:val="00404943"/>
    <w:rsid w:val="00407CAA"/>
    <w:rsid w:val="00410086"/>
    <w:rsid w:val="00420CF8"/>
    <w:rsid w:val="00421D4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3F9D"/>
    <w:rsid w:val="004B4E73"/>
    <w:rsid w:val="004B6DE3"/>
    <w:rsid w:val="004B7CF6"/>
    <w:rsid w:val="004C6FFD"/>
    <w:rsid w:val="004D238B"/>
    <w:rsid w:val="004E2DBF"/>
    <w:rsid w:val="004E5655"/>
    <w:rsid w:val="004F4B43"/>
    <w:rsid w:val="004F690D"/>
    <w:rsid w:val="0050743B"/>
    <w:rsid w:val="0051322B"/>
    <w:rsid w:val="005238FE"/>
    <w:rsid w:val="00546084"/>
    <w:rsid w:val="00547246"/>
    <w:rsid w:val="005907B7"/>
    <w:rsid w:val="005A5512"/>
    <w:rsid w:val="005B3D81"/>
    <w:rsid w:val="005B6D83"/>
    <w:rsid w:val="005C18AC"/>
    <w:rsid w:val="005C3338"/>
    <w:rsid w:val="005C3A82"/>
    <w:rsid w:val="005C5150"/>
    <w:rsid w:val="005C5732"/>
    <w:rsid w:val="005D00A5"/>
    <w:rsid w:val="005D113B"/>
    <w:rsid w:val="005D6336"/>
    <w:rsid w:val="005F2817"/>
    <w:rsid w:val="006040B7"/>
    <w:rsid w:val="006171F1"/>
    <w:rsid w:val="00625545"/>
    <w:rsid w:val="0062594A"/>
    <w:rsid w:val="0062688A"/>
    <w:rsid w:val="0063093F"/>
    <w:rsid w:val="00630D15"/>
    <w:rsid w:val="00632C2F"/>
    <w:rsid w:val="00655C70"/>
    <w:rsid w:val="00671C08"/>
    <w:rsid w:val="0068002E"/>
    <w:rsid w:val="006A2DF1"/>
    <w:rsid w:val="006A671D"/>
    <w:rsid w:val="006B2576"/>
    <w:rsid w:val="006B5389"/>
    <w:rsid w:val="006B7C61"/>
    <w:rsid w:val="006C070D"/>
    <w:rsid w:val="006D305F"/>
    <w:rsid w:val="006E50C3"/>
    <w:rsid w:val="006E5EDB"/>
    <w:rsid w:val="006F235D"/>
    <w:rsid w:val="006F599E"/>
    <w:rsid w:val="00711888"/>
    <w:rsid w:val="00733BB8"/>
    <w:rsid w:val="00735357"/>
    <w:rsid w:val="00750531"/>
    <w:rsid w:val="007577F7"/>
    <w:rsid w:val="007607FF"/>
    <w:rsid w:val="007651CB"/>
    <w:rsid w:val="00791CCE"/>
    <w:rsid w:val="00795452"/>
    <w:rsid w:val="007B004A"/>
    <w:rsid w:val="007B2144"/>
    <w:rsid w:val="007C1EB6"/>
    <w:rsid w:val="007C6AE7"/>
    <w:rsid w:val="007D484D"/>
    <w:rsid w:val="007E41FC"/>
    <w:rsid w:val="007F33CB"/>
    <w:rsid w:val="00801195"/>
    <w:rsid w:val="008137D1"/>
    <w:rsid w:val="00835835"/>
    <w:rsid w:val="00842DA7"/>
    <w:rsid w:val="008430BA"/>
    <w:rsid w:val="0085688B"/>
    <w:rsid w:val="00856EBD"/>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C5292"/>
    <w:rsid w:val="008E2DBF"/>
    <w:rsid w:val="009123C2"/>
    <w:rsid w:val="0095386F"/>
    <w:rsid w:val="00957A69"/>
    <w:rsid w:val="00971258"/>
    <w:rsid w:val="00973147"/>
    <w:rsid w:val="00974023"/>
    <w:rsid w:val="0099199E"/>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72069"/>
    <w:rsid w:val="00A775C7"/>
    <w:rsid w:val="00A90AB3"/>
    <w:rsid w:val="00A91815"/>
    <w:rsid w:val="00AB0406"/>
    <w:rsid w:val="00AB7E05"/>
    <w:rsid w:val="00B00BCD"/>
    <w:rsid w:val="00B0486E"/>
    <w:rsid w:val="00B065CB"/>
    <w:rsid w:val="00B1115A"/>
    <w:rsid w:val="00B11314"/>
    <w:rsid w:val="00B20BFE"/>
    <w:rsid w:val="00B2421F"/>
    <w:rsid w:val="00B30679"/>
    <w:rsid w:val="00B44400"/>
    <w:rsid w:val="00B47F94"/>
    <w:rsid w:val="00B56DE9"/>
    <w:rsid w:val="00B71273"/>
    <w:rsid w:val="00B712A8"/>
    <w:rsid w:val="00B7462E"/>
    <w:rsid w:val="00B76618"/>
    <w:rsid w:val="00B779DF"/>
    <w:rsid w:val="00B80AA2"/>
    <w:rsid w:val="00B9260E"/>
    <w:rsid w:val="00BA2917"/>
    <w:rsid w:val="00BA5B69"/>
    <w:rsid w:val="00BB4829"/>
    <w:rsid w:val="00BB6668"/>
    <w:rsid w:val="00BD0CA9"/>
    <w:rsid w:val="00BD1775"/>
    <w:rsid w:val="00BD2308"/>
    <w:rsid w:val="00BD665B"/>
    <w:rsid w:val="00BD6CEF"/>
    <w:rsid w:val="00BE7109"/>
    <w:rsid w:val="00BF7E4E"/>
    <w:rsid w:val="00C0304D"/>
    <w:rsid w:val="00C130BC"/>
    <w:rsid w:val="00C16318"/>
    <w:rsid w:val="00C163C7"/>
    <w:rsid w:val="00C2041D"/>
    <w:rsid w:val="00C23C40"/>
    <w:rsid w:val="00C32E0A"/>
    <w:rsid w:val="00C372B8"/>
    <w:rsid w:val="00C4540F"/>
    <w:rsid w:val="00C4712B"/>
    <w:rsid w:val="00C47B4A"/>
    <w:rsid w:val="00C52E8B"/>
    <w:rsid w:val="00C5491D"/>
    <w:rsid w:val="00C54F6C"/>
    <w:rsid w:val="00C6353C"/>
    <w:rsid w:val="00C80BC3"/>
    <w:rsid w:val="00C85EEA"/>
    <w:rsid w:val="00C86FB6"/>
    <w:rsid w:val="00C92CAA"/>
    <w:rsid w:val="00C9514E"/>
    <w:rsid w:val="00CA60F1"/>
    <w:rsid w:val="00CB6CCE"/>
    <w:rsid w:val="00CC09A7"/>
    <w:rsid w:val="00CC0A8D"/>
    <w:rsid w:val="00CC0F45"/>
    <w:rsid w:val="00CC5562"/>
    <w:rsid w:val="00CC6943"/>
    <w:rsid w:val="00CD0DE0"/>
    <w:rsid w:val="00CD0E31"/>
    <w:rsid w:val="00CD184D"/>
    <w:rsid w:val="00CD4779"/>
    <w:rsid w:val="00CE4BAC"/>
    <w:rsid w:val="00CF07AC"/>
    <w:rsid w:val="00D019CF"/>
    <w:rsid w:val="00D0377C"/>
    <w:rsid w:val="00D04F42"/>
    <w:rsid w:val="00D1317D"/>
    <w:rsid w:val="00D2233A"/>
    <w:rsid w:val="00D23D84"/>
    <w:rsid w:val="00D25C2F"/>
    <w:rsid w:val="00D36319"/>
    <w:rsid w:val="00D47BC1"/>
    <w:rsid w:val="00D62C94"/>
    <w:rsid w:val="00D92A1E"/>
    <w:rsid w:val="00DB2CC7"/>
    <w:rsid w:val="00DB4F69"/>
    <w:rsid w:val="00DC06DE"/>
    <w:rsid w:val="00DC4FBD"/>
    <w:rsid w:val="00DD2695"/>
    <w:rsid w:val="00DD6373"/>
    <w:rsid w:val="00DD6D02"/>
    <w:rsid w:val="00E04374"/>
    <w:rsid w:val="00E043BF"/>
    <w:rsid w:val="00E066C9"/>
    <w:rsid w:val="00E10B6C"/>
    <w:rsid w:val="00E20D2C"/>
    <w:rsid w:val="00E241BC"/>
    <w:rsid w:val="00E2482E"/>
    <w:rsid w:val="00E327BB"/>
    <w:rsid w:val="00E35014"/>
    <w:rsid w:val="00E37313"/>
    <w:rsid w:val="00E45E4F"/>
    <w:rsid w:val="00E754ED"/>
    <w:rsid w:val="00EA0899"/>
    <w:rsid w:val="00EC17D6"/>
    <w:rsid w:val="00EE5126"/>
    <w:rsid w:val="00F039BB"/>
    <w:rsid w:val="00F048F2"/>
    <w:rsid w:val="00F22BDF"/>
    <w:rsid w:val="00F268B6"/>
    <w:rsid w:val="00F35B7F"/>
    <w:rsid w:val="00F372C9"/>
    <w:rsid w:val="00F467F9"/>
    <w:rsid w:val="00F5081D"/>
    <w:rsid w:val="00F62532"/>
    <w:rsid w:val="00F63E39"/>
    <w:rsid w:val="00F64268"/>
    <w:rsid w:val="00F946E3"/>
    <w:rsid w:val="00FA3E97"/>
    <w:rsid w:val="00FB366A"/>
    <w:rsid w:val="00FB46C5"/>
    <w:rsid w:val="00FC044B"/>
    <w:rsid w:val="00FC72ED"/>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E84D3F2-990C-4D62-BAC8-432DD4F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
    <w:name w:val="Table Grid1"/>
    <w:basedOn w:val="prastojilentel"/>
    <w:next w:val="Lentelstinklelis"/>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Sraonra"/>
    <w:rsid w:val="000273A7"/>
    <w:pPr>
      <w:numPr>
        <w:numId w:val="9"/>
      </w:numPr>
    </w:pPr>
  </w:style>
  <w:style w:type="table" w:customStyle="1" w:styleId="Lentelstinklelis2">
    <w:name w:val="Lentelės tinklelis2"/>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Sraonra"/>
    <w:rsid w:val="0030668D"/>
  </w:style>
  <w:style w:type="table" w:customStyle="1" w:styleId="Lentelstinklelis3">
    <w:name w:val="Lentelės tinklelis3"/>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Sraonra"/>
    <w:rsid w:val="0030668D"/>
  </w:style>
  <w:style w:type="table" w:customStyle="1" w:styleId="Lentelstinklelis4">
    <w:name w:val="Lentelės tinklelis4"/>
    <w:basedOn w:val="prastojilentel"/>
    <w:next w:val="Lentelstinklelis"/>
    <w:uiPriority w:val="59"/>
    <w:rsid w:val="00407CAA"/>
    <w:pPr>
      <w:spacing w:after="0" w:line="240" w:lineRule="auto"/>
      <w:jc w:val="left"/>
    </w:pPr>
    <w:rPr>
      <w:rFonts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2D0B08-937F-4BF5-84D4-AE3BE3253C90}">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36</TotalTime>
  <Pages>1</Pages>
  <Words>9978</Words>
  <Characters>5689</Characters>
  <Application>Microsoft Office Word</Application>
  <DocSecurity>0</DocSecurity>
  <Lines>47</Lines>
  <Paragraphs>31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2022-03-22T13:13:00Z</dcterms:created>
  <dc:creator>Rasa Vaitiekūnaitė</dc:creator>
  <cp:lastModifiedBy>Asta Šimonėlienė</cp:lastModifiedBy>
  <cp:lastPrinted>2018-03-07T08:06:00Z</cp:lastPrinted>
  <dcterms:modified xsi:type="dcterms:W3CDTF">2026-06-19T09:51:00Z</dcterms:modified>
  <cp:revision>26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