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CEA9E" w14:textId="77777777" w:rsidR="00552991" w:rsidRPr="0014465A" w:rsidRDefault="00552991" w:rsidP="00552991">
      <w:pPr>
        <w:pStyle w:val="FreeForm"/>
        <w:spacing w:line="300" w:lineRule="atLeast"/>
        <w:jc w:val="center"/>
        <w:rPr>
          <w:rFonts w:ascii="Times New Roman" w:hAnsi="Times New Roman" w:cs="Times New Roman"/>
          <w:b/>
          <w:bCs/>
          <w:caps/>
          <w:color w:val="000000" w:themeColor="text1"/>
          <w:spacing w:val="4"/>
          <w:sz w:val="22"/>
          <w:szCs w:val="24"/>
          <w:lang w:val="lt-LT"/>
        </w:rPr>
      </w:pPr>
      <w:r w:rsidRPr="005D3BD5">
        <w:rPr>
          <w:rFonts w:ascii="Times New Roman" w:hAnsi="Times New Roman" w:cs="Times New Roman"/>
          <w:b/>
          <w:bCs/>
          <w:caps/>
          <w:color w:val="000000" w:themeColor="text1"/>
          <w:spacing w:val="4"/>
          <w:sz w:val="24"/>
          <w:szCs w:val="24"/>
          <w:lang w:val="lt-LT"/>
        </w:rPr>
        <w:t>LIETUVOS KARIUOMENĖS PĖSTININKŲ BRIGADA „GELEŽINIS VILKAS“</w:t>
      </w:r>
    </w:p>
    <w:p w14:paraId="7DB19586" w14:textId="77777777" w:rsidR="00552991" w:rsidRDefault="00552991" w:rsidP="00552991">
      <w:pPr>
        <w:pStyle w:val="FreeForm"/>
        <w:spacing w:line="300" w:lineRule="atLeast"/>
        <w:jc w:val="center"/>
        <w:rPr>
          <w:rFonts w:ascii="Times New Roman" w:hAnsi="Times New Roman" w:cs="Times New Roman"/>
          <w:b/>
          <w:bCs/>
          <w:color w:val="000000" w:themeColor="text1"/>
          <w:spacing w:val="16"/>
          <w:sz w:val="24"/>
          <w:szCs w:val="24"/>
          <w:lang w:val="lt-LT"/>
        </w:rPr>
      </w:pPr>
      <w:r>
        <w:rPr>
          <w:rFonts w:ascii="Times New Roman" w:hAnsi="Times New Roman" w:cs="Times New Roman"/>
          <w:b/>
          <w:sz w:val="24"/>
          <w:szCs w:val="24"/>
          <w:lang w:val="lt-LT"/>
        </w:rPr>
        <w:t xml:space="preserve"> </w:t>
      </w:r>
      <w:r w:rsidRPr="005D3BD5">
        <w:rPr>
          <w:rFonts w:ascii="Times New Roman" w:hAnsi="Times New Roman" w:cs="Times New Roman"/>
          <w:b/>
          <w:bCs/>
          <w:sz w:val="24"/>
          <w:szCs w:val="24"/>
        </w:rPr>
        <w:t>KARIŲ APGYVENDINIMO KONTEINERINĖJE STOVYKLOJE Į</w:t>
      </w:r>
      <w:r>
        <w:rPr>
          <w:rFonts w:ascii="Times New Roman" w:hAnsi="Times New Roman" w:cs="Times New Roman"/>
          <w:b/>
          <w:bCs/>
          <w:sz w:val="24"/>
          <w:szCs w:val="24"/>
        </w:rPr>
        <w:t>RENGIMO IR APTARNAVIMO PASLAUGO</w:t>
      </w:r>
      <w:r>
        <w:rPr>
          <w:rFonts w:ascii="Times New Roman" w:hAnsi="Times New Roman" w:cs="Times New Roman"/>
          <w:b/>
          <w:sz w:val="24"/>
          <w:szCs w:val="24"/>
          <w:lang w:val="lt-LT"/>
        </w:rPr>
        <w:t>S, VIEŠOJO PIRKIMO KOMISIJA</w:t>
      </w:r>
    </w:p>
    <w:p w14:paraId="52932451" w14:textId="77777777" w:rsidR="00682DC0" w:rsidRDefault="00682DC0" w:rsidP="002A0223">
      <w:pPr>
        <w:jc w:val="center"/>
      </w:pPr>
    </w:p>
    <w:p w14:paraId="71E527AA" w14:textId="77777777" w:rsidR="00682DC0" w:rsidRDefault="00682DC0" w:rsidP="00682DC0">
      <w:pPr>
        <w:pStyle w:val="Default"/>
      </w:pPr>
    </w:p>
    <w:p w14:paraId="7F2FA8B4" w14:textId="77777777" w:rsidR="00256946" w:rsidRDefault="00682DC0" w:rsidP="00682DC0">
      <w:pPr>
        <w:pStyle w:val="Default"/>
        <w:rPr>
          <w:color w:val="00241A"/>
          <w:sz w:val="22"/>
          <w:szCs w:val="22"/>
          <w:shd w:val="clear" w:color="auto" w:fill="FFFFFF"/>
          <w:lang w:val="lt-LT"/>
        </w:rPr>
      </w:pPr>
      <w:r>
        <w:t xml:space="preserve"> </w:t>
      </w:r>
      <w:r w:rsidR="005678F0">
        <w:rPr>
          <w:color w:val="000000" w:themeColor="text1"/>
          <w:sz w:val="22"/>
          <w:szCs w:val="22"/>
          <w:lang w:val="lt-LT"/>
        </w:rPr>
        <w:t>Tiekėjams</w:t>
      </w:r>
    </w:p>
    <w:p w14:paraId="6267FCA5" w14:textId="2AA350A4" w:rsidR="00682DC0" w:rsidRDefault="00D97EDC" w:rsidP="00682DC0">
      <w:pPr>
        <w:pStyle w:val="Default"/>
        <w:rPr>
          <w:sz w:val="23"/>
          <w:szCs w:val="23"/>
        </w:rPr>
      </w:pPr>
      <w:r>
        <w:rPr>
          <w:i/>
          <w:iCs/>
          <w:lang w:val="lt-LT"/>
        </w:rPr>
        <w:t xml:space="preserve"> </w:t>
      </w:r>
      <w:r w:rsidR="00682DC0" w:rsidRPr="00682DC0">
        <w:rPr>
          <w:i/>
          <w:iCs/>
          <w:lang w:val="lt-LT"/>
        </w:rPr>
        <w:t xml:space="preserve">CVP IS priemonėmis                                                                                          </w:t>
      </w:r>
      <w:r w:rsidR="000E0DB6">
        <w:t>2026</w:t>
      </w:r>
      <w:r w:rsidR="000A5F90">
        <w:t xml:space="preserve"> – 06</w:t>
      </w:r>
      <w:r w:rsidR="00602168">
        <w:t xml:space="preserve"> – </w:t>
      </w:r>
      <w:r w:rsidR="004B210C">
        <w:t>22</w:t>
      </w:r>
      <w:r w:rsidR="00602168">
        <w:t xml:space="preserve"> </w:t>
      </w:r>
    </w:p>
    <w:p w14:paraId="4A543E80" w14:textId="77777777" w:rsidR="00682DC0" w:rsidRDefault="00682DC0" w:rsidP="00682DC0">
      <w:pPr>
        <w:pStyle w:val="Default"/>
        <w:rPr>
          <w:b/>
          <w:bCs/>
          <w:sz w:val="23"/>
          <w:szCs w:val="23"/>
        </w:rPr>
      </w:pPr>
      <w:r>
        <w:rPr>
          <w:b/>
          <w:bCs/>
          <w:sz w:val="23"/>
          <w:szCs w:val="23"/>
        </w:rPr>
        <w:t xml:space="preserve">  </w:t>
      </w:r>
    </w:p>
    <w:p w14:paraId="1CEE984F" w14:textId="77777777" w:rsidR="007A4FAB" w:rsidRDefault="007A4FAB" w:rsidP="007A4F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
          <w:color w:val="000000"/>
          <w:bdr w:val="none" w:sz="0" w:space="0" w:color="auto"/>
          <w:lang w:val="lt-LT"/>
        </w:rPr>
      </w:pPr>
    </w:p>
    <w:p w14:paraId="0855C015" w14:textId="655DA320" w:rsidR="007A4FAB" w:rsidRDefault="007A4FAB" w:rsidP="007A4F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
          <w:color w:val="000000"/>
          <w:bdr w:val="none" w:sz="0" w:space="0" w:color="auto"/>
          <w:lang w:val="lt-LT"/>
        </w:rPr>
      </w:pPr>
      <w:r w:rsidRPr="00473C4C">
        <w:rPr>
          <w:rFonts w:eastAsia="Times New Roman"/>
          <w:b/>
          <w:color w:val="000000"/>
          <w:bdr w:val="none" w:sz="0" w:space="0" w:color="auto"/>
          <w:lang w:val="lt-LT"/>
        </w:rPr>
        <w:t xml:space="preserve">DĖL </w:t>
      </w:r>
      <w:r w:rsidR="00256946">
        <w:rPr>
          <w:rFonts w:eastAsia="Times New Roman"/>
          <w:b/>
          <w:color w:val="000000"/>
          <w:bdr w:val="none" w:sz="0" w:space="0" w:color="auto"/>
          <w:lang w:val="lt-LT"/>
        </w:rPr>
        <w:t>TIEKĖJ</w:t>
      </w:r>
      <w:r w:rsidR="002A0223">
        <w:rPr>
          <w:rFonts w:eastAsia="Times New Roman"/>
          <w:b/>
          <w:color w:val="000000"/>
          <w:bdr w:val="none" w:sz="0" w:space="0" w:color="auto"/>
          <w:lang w:val="lt-LT"/>
        </w:rPr>
        <w:t>Ų</w:t>
      </w:r>
      <w:r w:rsidR="00256946">
        <w:rPr>
          <w:rFonts w:eastAsia="Times New Roman"/>
          <w:b/>
          <w:color w:val="000000"/>
          <w:bdr w:val="none" w:sz="0" w:space="0" w:color="auto"/>
          <w:lang w:val="lt-LT"/>
        </w:rPr>
        <w:t xml:space="preserve"> PAKLAUSIMO</w:t>
      </w:r>
    </w:p>
    <w:p w14:paraId="5CB68DA4" w14:textId="77777777" w:rsidR="00682DC0" w:rsidRDefault="00682DC0" w:rsidP="00682DC0">
      <w:pPr>
        <w:pStyle w:val="Default"/>
      </w:pPr>
    </w:p>
    <w:p w14:paraId="6264A644" w14:textId="02932EC6" w:rsidR="00226F8E" w:rsidRPr="009A2E51" w:rsidRDefault="00682DC0" w:rsidP="00226F8E">
      <w:pPr>
        <w:pStyle w:val="Default"/>
        <w:jc w:val="both"/>
        <w:rPr>
          <w:rFonts w:eastAsia="TimesNewRomanPS-BoldMT"/>
          <w:bCs/>
          <w:lang w:val="lt-LT"/>
        </w:rPr>
      </w:pPr>
      <w:r w:rsidRPr="00682DC0">
        <w:rPr>
          <w:lang w:val="lt-LT"/>
        </w:rPr>
        <w:t xml:space="preserve"> </w:t>
      </w:r>
      <w:r w:rsidR="00054B27">
        <w:rPr>
          <w:lang w:val="lt-LT"/>
        </w:rPr>
        <w:tab/>
      </w:r>
      <w:r w:rsidR="00BD34B9" w:rsidRPr="009A2E51">
        <w:rPr>
          <w:color w:val="000000" w:themeColor="text1"/>
          <w:lang w:val="lt-LT"/>
        </w:rPr>
        <w:t xml:space="preserve">Lietuvos kariuomenės </w:t>
      </w:r>
      <w:r w:rsidR="00552991">
        <w:rPr>
          <w:color w:val="000000" w:themeColor="text1"/>
          <w:lang w:val="lt-LT"/>
        </w:rPr>
        <w:t>P</w:t>
      </w:r>
      <w:r w:rsidR="00552991" w:rsidRPr="00552991">
        <w:rPr>
          <w:color w:val="000000" w:themeColor="text1"/>
          <w:lang w:val="lt-LT"/>
        </w:rPr>
        <w:t xml:space="preserve">ėstininkų brigada </w:t>
      </w:r>
      <w:r w:rsidR="00552991">
        <w:rPr>
          <w:color w:val="000000" w:themeColor="text1"/>
          <w:lang w:val="lt-LT"/>
        </w:rPr>
        <w:t>„Geležinis Vilkas</w:t>
      </w:r>
      <w:r w:rsidR="00552991" w:rsidRPr="00552991">
        <w:rPr>
          <w:color w:val="000000" w:themeColor="text1"/>
          <w:lang w:val="lt-LT"/>
        </w:rPr>
        <w:t>“</w:t>
      </w:r>
      <w:r w:rsidR="002A0223" w:rsidRPr="009A2E51">
        <w:rPr>
          <w:color w:val="000000" w:themeColor="text1"/>
          <w:lang w:val="lt-LT"/>
        </w:rPr>
        <w:t xml:space="preserve"> </w:t>
      </w:r>
      <w:r w:rsidRPr="009A2E51">
        <w:rPr>
          <w:lang w:val="lt-LT"/>
        </w:rPr>
        <w:t xml:space="preserve">(toliau </w:t>
      </w:r>
      <w:r w:rsidR="000E0DB6">
        <w:rPr>
          <w:lang w:val="lt-LT"/>
        </w:rPr>
        <w:t>– perkančioji organizacija) 2026</w:t>
      </w:r>
      <w:r w:rsidRPr="009A2E51">
        <w:rPr>
          <w:lang w:val="lt-LT"/>
        </w:rPr>
        <w:t xml:space="preserve"> m. </w:t>
      </w:r>
      <w:r w:rsidR="00552991">
        <w:rPr>
          <w:lang w:val="lt-LT"/>
        </w:rPr>
        <w:t>gegužės</w:t>
      </w:r>
      <w:r w:rsidR="000E0DB6">
        <w:rPr>
          <w:lang w:val="lt-LT"/>
        </w:rPr>
        <w:t xml:space="preserve"> 2</w:t>
      </w:r>
      <w:r w:rsidR="00552991">
        <w:rPr>
          <w:lang w:val="lt-LT"/>
        </w:rPr>
        <w:t>2</w:t>
      </w:r>
      <w:r w:rsidRPr="009A2E51">
        <w:rPr>
          <w:lang w:val="lt-LT"/>
        </w:rPr>
        <w:t xml:space="preserve"> d. paskelbė centrinėje viešųjų pirkimų informacinėje sistemoje (CVP IS, </w:t>
      </w:r>
      <w:hyperlink r:id="rId8" w:history="1">
        <w:r w:rsidR="00A11D3B" w:rsidRPr="009A2E51">
          <w:rPr>
            <w:rStyle w:val="Hyperlink"/>
            <w:rFonts w:eastAsia="Times New Roman"/>
            <w:lang w:val="lt-LT"/>
          </w:rPr>
          <w:t>https://viesiejipirkimai.lt</w:t>
        </w:r>
      </w:hyperlink>
      <w:r w:rsidR="00BD34B9" w:rsidRPr="009A2E51">
        <w:rPr>
          <w:lang w:val="lt-LT"/>
        </w:rPr>
        <w:t xml:space="preserve">) </w:t>
      </w:r>
      <w:r w:rsidR="00552991" w:rsidRPr="00CF6376">
        <w:rPr>
          <w:rFonts w:eastAsia="TimesNewRomanPS-BoldMT"/>
          <w:bCs/>
          <w:color w:val="000000" w:themeColor="text1"/>
          <w:lang w:val="lt-LT"/>
        </w:rPr>
        <w:t>Stovyklaviečių paslaugos (Karių apgyvendinimo konteinerinėje stovykloje įrengimo ir aptarnavimo paslauga)</w:t>
      </w:r>
      <w:r w:rsidR="00552991">
        <w:rPr>
          <w:rFonts w:eastAsia="TimesNewRomanPS-BoldMT"/>
          <w:bCs/>
          <w:color w:val="000000" w:themeColor="text1"/>
          <w:lang w:val="lt-LT"/>
        </w:rPr>
        <w:t xml:space="preserve">“ </w:t>
      </w:r>
      <w:r w:rsidR="000E0DB6" w:rsidRPr="009A2E51">
        <w:rPr>
          <w:color w:val="000000" w:themeColor="text1"/>
          <w:lang w:val="lt-LT"/>
        </w:rPr>
        <w:t xml:space="preserve"> </w:t>
      </w:r>
      <w:r w:rsidR="002A0223" w:rsidRPr="009A2E51">
        <w:rPr>
          <w:color w:val="000000" w:themeColor="text1"/>
          <w:lang w:val="lt-LT"/>
        </w:rPr>
        <w:t xml:space="preserve">Nr. </w:t>
      </w:r>
      <w:r w:rsidR="00552991" w:rsidRPr="00CF6376">
        <w:rPr>
          <w:color w:val="000000" w:themeColor="text1"/>
          <w:lang w:val="lt-LT"/>
        </w:rPr>
        <w:t xml:space="preserve">8002665 </w:t>
      </w:r>
      <w:r w:rsidR="00256946" w:rsidRPr="009A2E51">
        <w:rPr>
          <w:color w:val="000000" w:themeColor="text1"/>
          <w:lang w:val="lt-LT"/>
        </w:rPr>
        <w:t>(toliau – Pirkimas)</w:t>
      </w:r>
      <w:r w:rsidRPr="009A2E51">
        <w:rPr>
          <w:lang w:val="lt-LT"/>
        </w:rPr>
        <w:t xml:space="preserve"> atvirą (</w:t>
      </w:r>
      <w:r w:rsidR="000E0DB6">
        <w:rPr>
          <w:lang w:val="lt-LT"/>
        </w:rPr>
        <w:t>supaprastintą</w:t>
      </w:r>
      <w:r w:rsidRPr="009A2E51">
        <w:rPr>
          <w:lang w:val="lt-LT"/>
        </w:rPr>
        <w:t xml:space="preserve">) konkursą (toliau – konkursas). </w:t>
      </w:r>
    </w:p>
    <w:p w14:paraId="4A4B68CD" w14:textId="6F39043C" w:rsidR="00256946" w:rsidRPr="009A2E51" w:rsidRDefault="00226F8E" w:rsidP="00226F8E">
      <w:pPr>
        <w:pStyle w:val="Default"/>
        <w:jc w:val="both"/>
        <w:rPr>
          <w:rFonts w:eastAsia="Times New Roman"/>
          <w:lang w:val="lt-LT"/>
        </w:rPr>
      </w:pPr>
      <w:r w:rsidRPr="009A2E51">
        <w:rPr>
          <w:lang w:val="lt-LT"/>
        </w:rPr>
        <w:tab/>
      </w:r>
      <w:r w:rsidR="00552991" w:rsidRPr="00EE661A">
        <w:rPr>
          <w:rFonts w:eastAsia="Times New Roman"/>
          <w:spacing w:val="4"/>
          <w:bdr w:val="none" w:sz="0" w:space="0" w:color="auto" w:frame="1"/>
          <w:lang w:val="lt-LT"/>
        </w:rPr>
        <w:t>K</w:t>
      </w:r>
      <w:r w:rsidR="00552991" w:rsidRPr="00EE661A">
        <w:rPr>
          <w:rFonts w:eastAsia="Calibri"/>
          <w:lang w:val="lt-LT"/>
        </w:rPr>
        <w:t>onteinerinės stovyklos įrengimo, nuomos ir aptarnavimo paslaugos</w:t>
      </w:r>
      <w:r w:rsidR="00552991">
        <w:rPr>
          <w:color w:val="000000" w:themeColor="text1"/>
          <w:lang w:val="lt-LT"/>
        </w:rPr>
        <w:t xml:space="preserve"> viešojo pirkimo komisija</w:t>
      </w:r>
      <w:r w:rsidR="007A4FAB" w:rsidRPr="009A2E51">
        <w:rPr>
          <w:lang w:val="lt-LT"/>
        </w:rPr>
        <w:t xml:space="preserve"> (toliau – Komisija), </w:t>
      </w:r>
      <w:r w:rsidR="006C6854" w:rsidRPr="009A2E51">
        <w:rPr>
          <w:lang w:val="lt-LT"/>
        </w:rPr>
        <w:t>vykdydama paslaugų</w:t>
      </w:r>
      <w:r w:rsidR="007A4FAB" w:rsidRPr="009A2E51">
        <w:rPr>
          <w:lang w:val="lt-LT"/>
        </w:rPr>
        <w:t xml:space="preserve"> pirk</w:t>
      </w:r>
      <w:r w:rsidR="00256946" w:rsidRPr="009A2E51">
        <w:rPr>
          <w:lang w:val="lt-LT"/>
        </w:rPr>
        <w:t>imo procedūras, inform</w:t>
      </w:r>
      <w:r w:rsidR="002A0223" w:rsidRPr="009A2E51">
        <w:rPr>
          <w:lang w:val="lt-LT"/>
        </w:rPr>
        <w:t>uoja, kad buvo gauti Tiekėjų paklausimai</w:t>
      </w:r>
      <w:r w:rsidR="00B613EE" w:rsidRPr="009A2E51">
        <w:rPr>
          <w:lang w:val="lt-LT"/>
        </w:rPr>
        <w:t>.</w:t>
      </w:r>
    </w:p>
    <w:p w14:paraId="4EE1098B" w14:textId="77777777" w:rsidR="00B613EE" w:rsidRDefault="00B613EE" w:rsidP="00B613EE">
      <w:pPr>
        <w:pStyle w:val="FreeForm"/>
        <w:ind w:firstLine="567"/>
        <w:jc w:val="both"/>
        <w:rPr>
          <w:rFonts w:ascii="Times New Roman" w:hAnsi="Times New Roman" w:cs="Times New Roman"/>
          <w:color w:val="000000" w:themeColor="text1"/>
          <w:sz w:val="24"/>
          <w:szCs w:val="24"/>
          <w:lang w:val="lt-LT"/>
        </w:rPr>
      </w:pPr>
    </w:p>
    <w:tbl>
      <w:tblPr>
        <w:tblStyle w:val="TableGrid"/>
        <w:tblW w:w="9603" w:type="dxa"/>
        <w:tblLook w:val="04A0" w:firstRow="1" w:lastRow="0" w:firstColumn="1" w:lastColumn="0" w:noHBand="0" w:noVBand="1"/>
      </w:tblPr>
      <w:tblGrid>
        <w:gridCol w:w="4815"/>
        <w:gridCol w:w="4788"/>
      </w:tblGrid>
      <w:tr w:rsidR="00B613EE" w:rsidRPr="00E93527" w14:paraId="40B2C222" w14:textId="77777777" w:rsidTr="009E4204">
        <w:tc>
          <w:tcPr>
            <w:tcW w:w="4815" w:type="dxa"/>
          </w:tcPr>
          <w:p w14:paraId="2A37F177" w14:textId="77777777" w:rsidR="00B613EE" w:rsidRPr="00E93527" w:rsidRDefault="00B613EE" w:rsidP="00532363">
            <w:pPr>
              <w:jc w:val="center"/>
              <w:rPr>
                <w:b/>
                <w:lang w:val="lt-LT"/>
              </w:rPr>
            </w:pPr>
            <w:r w:rsidRPr="00E93527">
              <w:rPr>
                <w:b/>
                <w:bCs/>
                <w:color w:val="000000" w:themeColor="text1"/>
                <w:lang w:val="lt-LT"/>
              </w:rPr>
              <w:t>Tiekėjo paklausimas (paklausimų tekstas neredaguotas)</w:t>
            </w:r>
          </w:p>
        </w:tc>
        <w:tc>
          <w:tcPr>
            <w:tcW w:w="4788" w:type="dxa"/>
          </w:tcPr>
          <w:p w14:paraId="3F371F26" w14:textId="77777777" w:rsidR="00B613EE" w:rsidRPr="00E93527" w:rsidRDefault="00B613EE" w:rsidP="00532363">
            <w:pPr>
              <w:jc w:val="center"/>
              <w:rPr>
                <w:b/>
                <w:lang w:val="lt-LT"/>
              </w:rPr>
            </w:pPr>
            <w:r w:rsidRPr="00E93527">
              <w:rPr>
                <w:b/>
                <w:bCs/>
                <w:color w:val="000000" w:themeColor="text1"/>
                <w:lang w:val="lt-LT"/>
              </w:rPr>
              <w:t>Perkančiosios organizacijos atsakymas</w:t>
            </w:r>
          </w:p>
        </w:tc>
      </w:tr>
      <w:tr w:rsidR="000E0DB6" w:rsidRPr="00074870" w14:paraId="6A9D09F4" w14:textId="77777777" w:rsidTr="009E4204">
        <w:tc>
          <w:tcPr>
            <w:tcW w:w="4815" w:type="dxa"/>
          </w:tcPr>
          <w:p w14:paraId="64826912" w14:textId="77777777" w:rsidR="000E0DB6" w:rsidRDefault="00D963EE" w:rsidP="0024024E">
            <w:pPr>
              <w:pStyle w:val="NormalWeb"/>
              <w:shd w:val="clear" w:color="auto" w:fill="FFFFFF"/>
              <w:spacing w:before="0" w:beforeAutospacing="0" w:after="150" w:afterAutospacing="0"/>
              <w:jc w:val="both"/>
              <w:rPr>
                <w:lang w:val="lt-LT"/>
              </w:rPr>
            </w:pPr>
            <w:r>
              <w:rPr>
                <w:lang w:val="lt-LT"/>
              </w:rPr>
              <w:t xml:space="preserve">1. </w:t>
            </w:r>
            <w:r w:rsidR="006C4DFA">
              <w:rPr>
                <w:lang w:val="lt-LT"/>
              </w:rPr>
              <w:t xml:space="preserve">CVP IS ID </w:t>
            </w:r>
            <w:r w:rsidR="006C4DFA" w:rsidRPr="006C4DFA">
              <w:rPr>
                <w:lang w:val="lt-LT"/>
              </w:rPr>
              <w:t>690910</w:t>
            </w:r>
          </w:p>
          <w:p w14:paraId="2FA6E7C9" w14:textId="49E82B96" w:rsidR="00465573" w:rsidRPr="000E0DB6" w:rsidRDefault="00465573" w:rsidP="0024024E">
            <w:pPr>
              <w:pStyle w:val="NormalWeb"/>
              <w:shd w:val="clear" w:color="auto" w:fill="FFFFFF"/>
              <w:spacing w:before="0" w:beforeAutospacing="0" w:after="150" w:afterAutospacing="0"/>
              <w:jc w:val="both"/>
              <w:rPr>
                <w:lang w:val="lt-LT"/>
              </w:rPr>
            </w:pPr>
            <w:r w:rsidRPr="006C4DFA">
              <w:rPr>
                <w:lang w:val="lt-LT"/>
              </w:rPr>
              <w:t>Prašome patikslinti, ar už stovyklai reikalingą elektrą ir vandenį mokės Perkančioji organizacija, ar šias išlaidas į kainą turi įsiskaičiuoti Tiekėjas?</w:t>
            </w:r>
          </w:p>
        </w:tc>
        <w:tc>
          <w:tcPr>
            <w:tcW w:w="4788" w:type="dxa"/>
          </w:tcPr>
          <w:p w14:paraId="08CD569A" w14:textId="65FCE09F" w:rsidR="00581EEA" w:rsidRPr="00581EEA" w:rsidRDefault="006C4DFA" w:rsidP="00581EEA">
            <w:pPr>
              <w:jc w:val="both"/>
              <w:rPr>
                <w:lang w:val="lt-LT"/>
              </w:rPr>
            </w:pPr>
            <w:r>
              <w:rPr>
                <w:lang w:val="lt-LT"/>
              </w:rPr>
              <w:t xml:space="preserve">1. </w:t>
            </w:r>
            <w:r w:rsidR="00137306">
              <w:rPr>
                <w:lang w:val="lt-LT"/>
              </w:rPr>
              <w:t xml:space="preserve">Perkančioji organizacija atsako, kad </w:t>
            </w:r>
            <w:r w:rsidR="00581EEA" w:rsidRPr="00581EEA">
              <w:rPr>
                <w:lang w:val="lt-LT"/>
              </w:rPr>
              <w:t xml:space="preserve"> apmokės tik tą elektros energiją ir vandenį, kurie faktiškai sunaudojami Stovyklos eksploatavimui ir karių apgyvendinimo reikmėms.</w:t>
            </w:r>
          </w:p>
          <w:p w14:paraId="488017B4" w14:textId="77777777" w:rsidR="00581EEA" w:rsidRPr="00581EEA" w:rsidRDefault="00581EEA" w:rsidP="00581EEA">
            <w:pPr>
              <w:jc w:val="both"/>
              <w:rPr>
                <w:lang w:val="lt-LT"/>
              </w:rPr>
            </w:pPr>
            <w:r w:rsidRPr="00581EEA">
              <w:rPr>
                <w:lang w:val="lt-LT"/>
              </w:rPr>
              <w:t>Tiekėjas privalo savo lėšomis įrengti atskirus elektros energijos ir vandens apskaitos prietaisus, leidžiančius atskirti Stovyklos eksploatavimui ir karių apgyvendinimo reikmėms sunaudotus komunalinius išteklius nuo Tiekėjo veiklai vykdyti sunaudotų komunalinių išteklių.</w:t>
            </w:r>
          </w:p>
          <w:p w14:paraId="751A3259" w14:textId="77777777" w:rsidR="00581EEA" w:rsidRPr="00581EEA" w:rsidRDefault="00581EEA" w:rsidP="00581EEA">
            <w:pPr>
              <w:jc w:val="both"/>
              <w:rPr>
                <w:lang w:val="lt-LT"/>
              </w:rPr>
            </w:pPr>
            <w:r w:rsidRPr="00581EEA">
              <w:rPr>
                <w:lang w:val="lt-LT"/>
              </w:rPr>
              <w:t>Stovyklos elektros energijos poreikis turi būti užtikrinamas naudojant Perkančiosios organizacijos elektros tinklus. Tiekėjo generatoriai ar kiti autonominiai energijos šaltiniai gali būti naudojami tik kaip rezervinis arba papildomas energijos šaltinis tais atvejais, kai esamų elektros tinklų galios nepakanka Stovyklos funkcionavimui užtikrinti arba sutrinka elektros energijos tiekimas.</w:t>
            </w:r>
          </w:p>
          <w:p w14:paraId="1EA63DC9" w14:textId="090A77FF" w:rsidR="009E4204" w:rsidRPr="008229F7" w:rsidRDefault="00581EEA" w:rsidP="00581EEA">
            <w:pPr>
              <w:jc w:val="both"/>
              <w:rPr>
                <w:lang w:val="lt-LT"/>
              </w:rPr>
            </w:pPr>
            <w:r w:rsidRPr="00581EEA">
              <w:rPr>
                <w:lang w:val="lt-LT"/>
              </w:rPr>
              <w:t xml:space="preserve">Su Tiekėjo generatorių ar kitų autonominių energijos šaltinių eksploatavimu susijusias </w:t>
            </w:r>
            <w:r w:rsidRPr="00581EEA">
              <w:rPr>
                <w:lang w:val="lt-LT"/>
              </w:rPr>
              <w:lastRenderedPageBreak/>
              <w:t>išlaidas, įskaitant kuro, priežiūros ir remonto sąnaudas, Tiekėjas vertina ir įtraukia į pasiūlymo kainą.</w:t>
            </w:r>
          </w:p>
        </w:tc>
      </w:tr>
      <w:tr w:rsidR="00581EEA" w:rsidRPr="00074870" w14:paraId="27EC6A80" w14:textId="77777777" w:rsidTr="009E4204">
        <w:tc>
          <w:tcPr>
            <w:tcW w:w="4815" w:type="dxa"/>
          </w:tcPr>
          <w:p w14:paraId="1AB11B6D" w14:textId="77777777" w:rsidR="00581EEA" w:rsidRDefault="00581EEA" w:rsidP="0024024E">
            <w:pPr>
              <w:pStyle w:val="NormalWeb"/>
              <w:shd w:val="clear" w:color="auto" w:fill="FFFFFF"/>
              <w:spacing w:before="0" w:beforeAutospacing="0" w:after="150" w:afterAutospacing="0"/>
              <w:jc w:val="both"/>
              <w:rPr>
                <w:lang w:val="lt-LT"/>
              </w:rPr>
            </w:pPr>
            <w:r>
              <w:rPr>
                <w:lang w:val="lt-LT"/>
              </w:rPr>
              <w:lastRenderedPageBreak/>
              <w:t xml:space="preserve">2. CVP IS ID </w:t>
            </w:r>
            <w:r w:rsidRPr="00581EEA">
              <w:rPr>
                <w:lang w:val="lt-LT"/>
              </w:rPr>
              <w:t>692926</w:t>
            </w:r>
          </w:p>
          <w:p w14:paraId="35655ACB" w14:textId="77777777" w:rsidR="00581EEA" w:rsidRDefault="00581EEA" w:rsidP="00581EEA">
            <w:pPr>
              <w:pStyle w:val="NormalWeb"/>
              <w:shd w:val="clear" w:color="auto" w:fill="FFFFFF"/>
              <w:spacing w:after="150"/>
              <w:jc w:val="both"/>
              <w:rPr>
                <w:lang w:val="lt-LT"/>
              </w:rPr>
            </w:pPr>
            <w:r>
              <w:rPr>
                <w:lang w:val="lt-LT"/>
              </w:rPr>
              <w:t>Laba diena,</w:t>
            </w:r>
          </w:p>
          <w:p w14:paraId="30D0927D" w14:textId="77777777" w:rsidR="00581EEA" w:rsidRDefault="00581EEA" w:rsidP="00581EEA">
            <w:pPr>
              <w:pStyle w:val="NormalWeb"/>
              <w:shd w:val="clear" w:color="auto" w:fill="FFFFFF"/>
              <w:spacing w:after="150"/>
              <w:jc w:val="both"/>
              <w:rPr>
                <w:lang w:val="lt-LT"/>
              </w:rPr>
            </w:pPr>
            <w:r w:rsidRPr="00581EEA">
              <w:rPr>
                <w:lang w:val="lt-LT"/>
              </w:rPr>
              <w:t xml:space="preserve">Papildomai prie 7 </w:t>
            </w:r>
            <w:r>
              <w:rPr>
                <w:lang w:val="lt-LT"/>
              </w:rPr>
              <w:t>klausimo:</w:t>
            </w:r>
          </w:p>
          <w:p w14:paraId="522D6C61" w14:textId="14AB9017" w:rsidR="00581EEA" w:rsidRDefault="00581EEA" w:rsidP="00581EEA">
            <w:pPr>
              <w:pStyle w:val="NormalWeb"/>
              <w:shd w:val="clear" w:color="auto" w:fill="FFFFFF"/>
              <w:spacing w:after="150"/>
              <w:jc w:val="both"/>
              <w:rPr>
                <w:lang w:val="lt-LT"/>
              </w:rPr>
            </w:pPr>
            <w:r w:rsidRPr="00581EEA">
              <w:rPr>
                <w:lang w:val="lt-LT"/>
              </w:rPr>
              <w:t>Prašome patikslinti, ar 3 mm lakštu turi būti armuojamos tik prie fasado esančios vidinės sienos, ar visos kiek</w:t>
            </w:r>
            <w:r>
              <w:rPr>
                <w:lang w:val="lt-LT"/>
              </w:rPr>
              <w:t xml:space="preserve">vienos patalpos vidinės sienos. </w:t>
            </w:r>
            <w:r w:rsidRPr="00581EEA">
              <w:rPr>
                <w:lang w:val="lt-LT"/>
              </w:rPr>
              <w:t>Taip pat prašome paaiškinti, ar konteinerių lubos turi būti armuojamos abiejuose aukštuose, ar tik an</w:t>
            </w:r>
            <w:r>
              <w:rPr>
                <w:lang w:val="lt-LT"/>
              </w:rPr>
              <w:t xml:space="preserve">trajame aukšte. </w:t>
            </w:r>
            <w:r w:rsidRPr="00581EEA">
              <w:rPr>
                <w:lang w:val="lt-LT"/>
              </w:rPr>
              <w:t>Suprantame, kad kai kurioms patalpoms armavimas reikalingas visoms vidinėms sienoms, todėl dėl jų reikalavimai yra aiškūs.</w:t>
            </w:r>
          </w:p>
        </w:tc>
        <w:tc>
          <w:tcPr>
            <w:tcW w:w="4788" w:type="dxa"/>
          </w:tcPr>
          <w:p w14:paraId="33A3A48C" w14:textId="195ABB84" w:rsidR="00581EEA" w:rsidRDefault="000C7013" w:rsidP="00465573">
            <w:pPr>
              <w:jc w:val="both"/>
              <w:rPr>
                <w:lang w:val="lt-LT"/>
              </w:rPr>
            </w:pPr>
            <w:r>
              <w:rPr>
                <w:lang w:val="lt-LT"/>
              </w:rPr>
              <w:t xml:space="preserve">2. Perkančioji organizacija atsako, kad </w:t>
            </w:r>
            <w:r w:rsidRPr="000C7013">
              <w:rPr>
                <w:lang w:val="lt-LT"/>
              </w:rPr>
              <w:t>išorinės pastato sienos ir antro aukšto lubos turi būti armuojamos, kitos patalpos armuojamos pagal aprašymą.</w:t>
            </w:r>
            <w:r>
              <w:rPr>
                <w:lang w:val="lt-LT"/>
              </w:rPr>
              <w:t xml:space="preserve"> </w:t>
            </w:r>
          </w:p>
        </w:tc>
      </w:tr>
      <w:tr w:rsidR="005C006D" w:rsidRPr="00074870" w14:paraId="525B350E" w14:textId="77777777" w:rsidTr="009E4204">
        <w:tc>
          <w:tcPr>
            <w:tcW w:w="4815" w:type="dxa"/>
          </w:tcPr>
          <w:p w14:paraId="6711F038" w14:textId="77777777" w:rsidR="005C006D" w:rsidRDefault="005C006D" w:rsidP="0024024E">
            <w:pPr>
              <w:pStyle w:val="NormalWeb"/>
              <w:shd w:val="clear" w:color="auto" w:fill="FFFFFF"/>
              <w:spacing w:before="0" w:beforeAutospacing="0" w:after="150" w:afterAutospacing="0"/>
              <w:jc w:val="both"/>
              <w:rPr>
                <w:lang w:val="lt-LT"/>
              </w:rPr>
            </w:pPr>
            <w:r>
              <w:rPr>
                <w:lang w:val="lt-LT"/>
              </w:rPr>
              <w:t xml:space="preserve">3. CVP IS ID </w:t>
            </w:r>
            <w:r w:rsidRPr="005C006D">
              <w:rPr>
                <w:lang w:val="lt-LT"/>
              </w:rPr>
              <w:t>693547</w:t>
            </w:r>
          </w:p>
          <w:p w14:paraId="6F278F81" w14:textId="77777777" w:rsidR="005C006D" w:rsidRDefault="005C006D" w:rsidP="005C006D">
            <w:pPr>
              <w:rPr>
                <w:lang w:val="lt-LT"/>
              </w:rPr>
            </w:pPr>
            <w:r>
              <w:rPr>
                <w:lang w:val="lt-LT"/>
              </w:rPr>
              <w:t>Klausimai:</w:t>
            </w:r>
          </w:p>
          <w:p w14:paraId="5BB947C4" w14:textId="2C4B0DE8" w:rsidR="005C006D" w:rsidRDefault="005C006D" w:rsidP="005C006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lang w:val="lt-LT"/>
              </w:rPr>
            </w:pPr>
            <w:r>
              <w:rPr>
                <w:lang w:val="lt-LT"/>
              </w:rPr>
              <w:t>Prašome patikslinti ar šioje eilutėje pateikti kiekiai teisingai: (nuotrauka pridedama kaip priedas)</w:t>
            </w:r>
          </w:p>
          <w:p w14:paraId="39A873F7" w14:textId="6769F612" w:rsidR="005C006D" w:rsidRDefault="005C006D" w:rsidP="0024024E">
            <w:pPr>
              <w:pStyle w:val="NormalWeb"/>
              <w:shd w:val="clear" w:color="auto" w:fill="FFFFFF"/>
              <w:spacing w:before="0" w:beforeAutospacing="0" w:after="150" w:afterAutospacing="0"/>
              <w:jc w:val="both"/>
              <w:rPr>
                <w:lang w:val="lt-LT"/>
              </w:rPr>
            </w:pPr>
          </w:p>
        </w:tc>
        <w:tc>
          <w:tcPr>
            <w:tcW w:w="4788" w:type="dxa"/>
          </w:tcPr>
          <w:p w14:paraId="4EECD5ED" w14:textId="77777777" w:rsidR="005C006D" w:rsidRDefault="000C7013" w:rsidP="00465573">
            <w:pPr>
              <w:jc w:val="both"/>
              <w:rPr>
                <w:lang w:val="lt-LT"/>
              </w:rPr>
            </w:pPr>
            <w:r>
              <w:rPr>
                <w:lang w:val="lt-LT"/>
              </w:rPr>
              <w:t xml:space="preserve">3. </w:t>
            </w:r>
            <w:r w:rsidR="00137306">
              <w:rPr>
                <w:lang w:val="lt-LT"/>
              </w:rPr>
              <w:t xml:space="preserve">Perkančioji organizacija atsako, kad pirkimo sąlygų 2 priedo 1 lentelėje 72 pozicijoje nurodytas teisingas kiekis. </w:t>
            </w:r>
          </w:p>
          <w:p w14:paraId="6ED7BF89" w14:textId="77777777" w:rsidR="008E6F42" w:rsidRDefault="008E6F42" w:rsidP="00465573">
            <w:pPr>
              <w:jc w:val="both"/>
              <w:rPr>
                <w:lang w:val="lt-LT"/>
              </w:rPr>
            </w:pPr>
          </w:p>
          <w:p w14:paraId="0E75A582" w14:textId="08B12626" w:rsidR="008E6F42" w:rsidRDefault="008E6F42" w:rsidP="00465573">
            <w:pPr>
              <w:jc w:val="both"/>
              <w:rPr>
                <w:lang w:val="lt-LT"/>
              </w:rPr>
            </w:pPr>
          </w:p>
        </w:tc>
      </w:tr>
      <w:tr w:rsidR="008E6F42" w:rsidRPr="00074870" w14:paraId="5C2EEC98" w14:textId="77777777" w:rsidTr="00AA6800">
        <w:tc>
          <w:tcPr>
            <w:tcW w:w="9603" w:type="dxa"/>
            <w:gridSpan w:val="2"/>
          </w:tcPr>
          <w:p w14:paraId="03C29DDD" w14:textId="42547325" w:rsidR="008E6F42" w:rsidRDefault="008E6F42" w:rsidP="00465573">
            <w:pPr>
              <w:jc w:val="both"/>
              <w:rPr>
                <w:lang w:val="lt-LT"/>
              </w:rPr>
            </w:pPr>
            <w:r>
              <w:rPr>
                <w:lang w:val="lt-LT"/>
              </w:rPr>
              <w:t xml:space="preserve">Perkančioji organizacija </w:t>
            </w:r>
            <w:r>
              <w:rPr>
                <w:rFonts w:eastAsia="Times New Roman"/>
                <w:bCs/>
                <w:lang w:val="lt-LT"/>
              </w:rPr>
              <w:t>vadovaujantis Viešųjų pirkimų, atliekamų gynybos ir saugumo srityje, statymo 20 straipsnio 3 dalimi ir p</w:t>
            </w:r>
            <w:r w:rsidRPr="00EB0D68">
              <w:rPr>
                <w:rFonts w:eastAsia="Times New Roman"/>
                <w:bCs/>
                <w:lang w:val="lt-LT"/>
              </w:rPr>
              <w:t>irkimo sąlygų</w:t>
            </w:r>
            <w:r w:rsidR="001366C2">
              <w:rPr>
                <w:rFonts w:eastAsia="Times New Roman"/>
                <w:bCs/>
                <w:lang w:val="lt-LT"/>
              </w:rPr>
              <w:t xml:space="preserve"> 9.6 punktu  paaiškina</w:t>
            </w:r>
            <w:r>
              <w:rPr>
                <w:rFonts w:eastAsia="Times New Roman"/>
                <w:bCs/>
                <w:lang w:val="lt-LT"/>
              </w:rPr>
              <w:t xml:space="preserve"> pirkimo sąlygų</w:t>
            </w:r>
            <w:r w:rsidRPr="00EB0D68">
              <w:rPr>
                <w:rFonts w:eastAsia="Times New Roman"/>
                <w:bCs/>
                <w:lang w:val="lt-LT"/>
              </w:rPr>
              <w:t xml:space="preserve"> 4 priede „Kvali</w:t>
            </w:r>
            <w:r>
              <w:rPr>
                <w:rFonts w:eastAsia="Times New Roman"/>
                <w:bCs/>
                <w:lang w:val="lt-LT"/>
              </w:rPr>
              <w:t xml:space="preserve">fikacijos reikalavimai“ (toliau – 4 </w:t>
            </w:r>
            <w:r w:rsidRPr="00EB0D68">
              <w:rPr>
                <w:rFonts w:eastAsia="Times New Roman"/>
                <w:bCs/>
                <w:lang w:val="lt-LT"/>
              </w:rPr>
              <w:t>priedas) nustatyt</w:t>
            </w:r>
            <w:r w:rsidR="001366C2">
              <w:rPr>
                <w:rFonts w:eastAsia="Times New Roman"/>
                <w:bCs/>
                <w:lang w:val="lt-LT"/>
              </w:rPr>
              <w:t>u</w:t>
            </w:r>
            <w:r>
              <w:rPr>
                <w:rFonts w:eastAsia="Times New Roman"/>
                <w:bCs/>
                <w:lang w:val="lt-LT"/>
              </w:rPr>
              <w:t>s</w:t>
            </w:r>
            <w:r w:rsidRPr="00EB0D68">
              <w:rPr>
                <w:rFonts w:eastAsia="Times New Roman"/>
                <w:bCs/>
                <w:lang w:val="lt-LT"/>
              </w:rPr>
              <w:t xml:space="preserve"> kvalifikacijos reikalavim</w:t>
            </w:r>
            <w:r w:rsidR="001366C2">
              <w:rPr>
                <w:rFonts w:eastAsia="Times New Roman"/>
                <w:bCs/>
                <w:lang w:val="lt-LT"/>
              </w:rPr>
              <w:t>u</w:t>
            </w:r>
            <w:r>
              <w:rPr>
                <w:rFonts w:eastAsia="Times New Roman"/>
                <w:bCs/>
                <w:lang w:val="lt-LT"/>
              </w:rPr>
              <w:t>s</w:t>
            </w:r>
            <w:r w:rsidRPr="00EB0D68">
              <w:rPr>
                <w:rFonts w:eastAsia="Times New Roman"/>
                <w:bCs/>
                <w:lang w:val="lt-LT"/>
              </w:rPr>
              <w:t xml:space="preserve"> „Techninis ir (arba) profesinis pajėgumas“ nurod</w:t>
            </w:r>
            <w:r w:rsidR="001366C2">
              <w:rPr>
                <w:rFonts w:eastAsia="Times New Roman"/>
                <w:bCs/>
                <w:lang w:val="lt-LT"/>
              </w:rPr>
              <w:t>oma</w:t>
            </w:r>
            <w:r w:rsidRPr="00EB0D68">
              <w:rPr>
                <w:rFonts w:eastAsia="Times New Roman"/>
                <w:bCs/>
                <w:lang w:val="lt-LT"/>
              </w:rPr>
              <w:t>, kad kvalifikacijos reikalavime vartojamos sąvokos „įrengimas“ ir „aptarnavimas“</w:t>
            </w:r>
            <w:r w:rsidR="001366C2">
              <w:rPr>
                <w:rFonts w:eastAsia="Times New Roman"/>
                <w:bCs/>
                <w:lang w:val="lt-LT"/>
              </w:rPr>
              <w:t xml:space="preserve"> </w:t>
            </w:r>
            <w:bookmarkStart w:id="0" w:name="_GoBack"/>
            <w:bookmarkEnd w:id="0"/>
            <w:r w:rsidRPr="00EB0D68">
              <w:rPr>
                <w:rFonts w:eastAsia="Times New Roman"/>
                <w:bCs/>
                <w:lang w:val="lt-LT"/>
              </w:rPr>
              <w:t xml:space="preserve">aiškinamos atsižvelgiant į </w:t>
            </w:r>
            <w:r>
              <w:rPr>
                <w:rFonts w:eastAsia="Times New Roman"/>
                <w:bCs/>
                <w:lang w:val="lt-LT"/>
              </w:rPr>
              <w:t>p</w:t>
            </w:r>
            <w:r w:rsidRPr="00EB0D68">
              <w:rPr>
                <w:rFonts w:eastAsia="Times New Roman"/>
                <w:bCs/>
                <w:lang w:val="lt-LT"/>
              </w:rPr>
              <w:t xml:space="preserve">irkimo objekto pobūdį ir </w:t>
            </w:r>
            <w:r>
              <w:rPr>
                <w:rFonts w:eastAsia="Times New Roman"/>
                <w:bCs/>
                <w:lang w:val="lt-LT"/>
              </w:rPr>
              <w:t>pirkimo sąlygų 1 priede „</w:t>
            </w:r>
            <w:r w:rsidRPr="003E4B63">
              <w:rPr>
                <w:rFonts w:eastAsia="Times New Roman"/>
                <w:bCs/>
                <w:lang w:val="lt-LT"/>
              </w:rPr>
              <w:t>techninė specifikacija</w:t>
            </w:r>
            <w:r>
              <w:rPr>
                <w:rFonts w:eastAsia="Times New Roman"/>
                <w:bCs/>
                <w:lang w:val="lt-LT"/>
              </w:rPr>
              <w:t>“</w:t>
            </w:r>
            <w:r w:rsidRPr="00EB0D68">
              <w:rPr>
                <w:rFonts w:eastAsia="Times New Roman"/>
                <w:bCs/>
                <w:lang w:val="lt-LT"/>
              </w:rPr>
              <w:t xml:space="preserve"> nustatytus reikalavimus. Konteinerinių patalpų komplekso „įrengimu“ laikomos veiklos, kuriomis modulinių konteinerinių patalpų kompleksas parengiamas naudoti pagal paskirtį. Tai apima konteinerinių patalpų atgabenimą į vietą, pastatymą, sumontavimą, ir komplekso parengimą eksploatacijai ir perdavimą naudoti. Konteinerinių patalpų komplekso „aptarnavimu“ laikomos veiklos, kuriomis užtikrinamas tinkamas įrengto komplekso veikimas ir naudojimas sutarties vykdymo laikotarpiu. Tai apima sumontuotos įrangos ir sistemų veikimo užtikrinimą, bei tinkamą eksploatavimą. Taip pat pažymėtina, kad </w:t>
            </w:r>
            <w:r>
              <w:rPr>
                <w:rFonts w:eastAsia="Times New Roman"/>
                <w:bCs/>
                <w:lang w:val="lt-LT"/>
              </w:rPr>
              <w:t>p</w:t>
            </w:r>
            <w:r w:rsidRPr="00EB0D68">
              <w:rPr>
                <w:rFonts w:eastAsia="Times New Roman"/>
                <w:bCs/>
                <w:lang w:val="lt-LT"/>
              </w:rPr>
              <w:t xml:space="preserve">irkimo sąlygų 4 priedo nustatytame kvalifikacijos reikalavime „Techninis ir (arba) profesinis pajėgumas“ yra nurodyta kad modulinių konteinerinių patalpų kompleksas gali susidėti iš ne mažiau kaip 90 </w:t>
            </w:r>
            <w:r>
              <w:rPr>
                <w:rFonts w:eastAsia="Times New Roman"/>
                <w:bCs/>
                <w:lang w:val="lt-LT"/>
              </w:rPr>
              <w:t xml:space="preserve">(devyniasdešimt) </w:t>
            </w:r>
            <w:r w:rsidRPr="00EB0D68">
              <w:rPr>
                <w:rFonts w:eastAsia="Times New Roman"/>
                <w:bCs/>
                <w:lang w:val="lt-LT"/>
              </w:rPr>
              <w:t xml:space="preserve">vnt. konteinerių - ar administracinių ar gyvenamųjų ar sandėliavimo ar techninių ar sanitarinių/buities. Taip pat pažymėtina, kad </w:t>
            </w:r>
            <w:r>
              <w:rPr>
                <w:rFonts w:eastAsia="Times New Roman"/>
                <w:bCs/>
                <w:lang w:val="lt-LT"/>
              </w:rPr>
              <w:t>p</w:t>
            </w:r>
            <w:r w:rsidRPr="00EB0D68">
              <w:rPr>
                <w:rFonts w:eastAsia="Times New Roman"/>
                <w:bCs/>
                <w:lang w:val="lt-LT"/>
              </w:rPr>
              <w:t>irkimo sąlygų 4 priedo nustatytame kvalifikacijos reikalavime „Techninis ir (arba) profesinis pajėgumas“ yra nurodyta, kad techninis ir (arba) profesinis pajėgumas vertinamas teikiant informaciją apie suteiktas paslaugas, kurios apima modulinių konteinerinių patalpų kompleks</w:t>
            </w:r>
            <w:r>
              <w:rPr>
                <w:rFonts w:eastAsia="Times New Roman"/>
                <w:bCs/>
                <w:lang w:val="lt-LT"/>
              </w:rPr>
              <w:t>o</w:t>
            </w:r>
            <w:r w:rsidRPr="00EB0D68">
              <w:rPr>
                <w:rFonts w:eastAsia="Times New Roman"/>
                <w:bCs/>
                <w:lang w:val="lt-LT"/>
              </w:rPr>
              <w:t xml:space="preserve"> susidedan</w:t>
            </w:r>
            <w:r>
              <w:rPr>
                <w:rFonts w:eastAsia="Times New Roman"/>
                <w:bCs/>
                <w:lang w:val="lt-LT"/>
              </w:rPr>
              <w:t>čio</w:t>
            </w:r>
            <w:r w:rsidRPr="00EB0D68">
              <w:rPr>
                <w:rFonts w:eastAsia="Times New Roman"/>
                <w:bCs/>
                <w:lang w:val="lt-LT"/>
              </w:rPr>
              <w:t xml:space="preserve"> iš ne mažiau kaip 90 </w:t>
            </w:r>
            <w:r>
              <w:rPr>
                <w:rFonts w:eastAsia="Times New Roman"/>
                <w:bCs/>
                <w:lang w:val="lt-LT"/>
              </w:rPr>
              <w:t xml:space="preserve">(devyniasdešimt) </w:t>
            </w:r>
            <w:r w:rsidRPr="00EB0D68">
              <w:rPr>
                <w:rFonts w:eastAsia="Times New Roman"/>
                <w:bCs/>
                <w:lang w:val="lt-LT"/>
              </w:rPr>
              <w:t>konteinerių</w:t>
            </w:r>
            <w:r>
              <w:rPr>
                <w:rFonts w:eastAsia="Times New Roman"/>
                <w:bCs/>
                <w:lang w:val="lt-LT"/>
              </w:rPr>
              <w:t>,</w:t>
            </w:r>
            <w:r w:rsidRPr="00EB0D68">
              <w:rPr>
                <w:rFonts w:eastAsia="Times New Roman"/>
                <w:bCs/>
                <w:lang w:val="lt-LT"/>
              </w:rPr>
              <w:t xml:space="preserve"> įrengimo ir aptarnavimo pagal 1 (vieną) ar kelias sutartį (-is).</w:t>
            </w:r>
          </w:p>
        </w:tc>
      </w:tr>
    </w:tbl>
    <w:p w14:paraId="3DED7F56" w14:textId="77777777" w:rsidR="00E870FD" w:rsidRPr="00E132B1" w:rsidRDefault="00E870FD" w:rsidP="00682DC0">
      <w:pPr>
        <w:pStyle w:val="FreeForm"/>
        <w:ind w:firstLine="567"/>
        <w:jc w:val="both"/>
        <w:rPr>
          <w:rFonts w:ascii="Times New Roman" w:hAnsi="Times New Roman" w:cs="Times New Roman"/>
          <w:color w:val="auto"/>
          <w:sz w:val="24"/>
          <w:szCs w:val="24"/>
          <w:lang w:val="lt-LT"/>
        </w:rPr>
      </w:pPr>
      <w:r w:rsidRPr="00E132B1">
        <w:rPr>
          <w:rFonts w:ascii="Times New Roman" w:hAnsi="Times New Roman" w:cs="Times New Roman"/>
          <w:color w:val="auto"/>
          <w:sz w:val="24"/>
          <w:szCs w:val="24"/>
          <w:lang w:val="lt-LT"/>
        </w:rPr>
        <w:lastRenderedPageBreak/>
        <w:t>Komisija</w:t>
      </w:r>
    </w:p>
    <w:sectPr w:rsidR="00E870FD" w:rsidRPr="00E132B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0A2F2" w14:textId="77777777" w:rsidR="00D67D07" w:rsidRDefault="00D67D07" w:rsidP="00B613EE">
      <w:r>
        <w:separator/>
      </w:r>
    </w:p>
  </w:endnote>
  <w:endnote w:type="continuationSeparator" w:id="0">
    <w:p w14:paraId="41ABBA14" w14:textId="77777777" w:rsidR="00D67D07" w:rsidRDefault="00D67D07" w:rsidP="00B6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B0EC4" w14:textId="77777777" w:rsidR="00D67D07" w:rsidRDefault="00D67D07" w:rsidP="00B613EE">
      <w:r>
        <w:separator/>
      </w:r>
    </w:p>
  </w:footnote>
  <w:footnote w:type="continuationSeparator" w:id="0">
    <w:p w14:paraId="6B38A814" w14:textId="77777777" w:rsidR="00D67D07" w:rsidRDefault="00D67D07" w:rsidP="00B61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D7451"/>
    <w:multiLevelType w:val="multilevel"/>
    <w:tmpl w:val="4E58F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426AF9"/>
    <w:multiLevelType w:val="hybridMultilevel"/>
    <w:tmpl w:val="B11E6E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B3"/>
    <w:rsid w:val="00023CC7"/>
    <w:rsid w:val="00050CA4"/>
    <w:rsid w:val="000514EF"/>
    <w:rsid w:val="00054B27"/>
    <w:rsid w:val="000A5F90"/>
    <w:rsid w:val="000C1B4D"/>
    <w:rsid w:val="000C7013"/>
    <w:rsid w:val="000E0DB6"/>
    <w:rsid w:val="000F7166"/>
    <w:rsid w:val="0012314A"/>
    <w:rsid w:val="0013509E"/>
    <w:rsid w:val="001366C2"/>
    <w:rsid w:val="00137306"/>
    <w:rsid w:val="0014458E"/>
    <w:rsid w:val="001450B3"/>
    <w:rsid w:val="00176780"/>
    <w:rsid w:val="001A22D2"/>
    <w:rsid w:val="001A6CC3"/>
    <w:rsid w:val="001B1A7E"/>
    <w:rsid w:val="001C41B2"/>
    <w:rsid w:val="001E24D7"/>
    <w:rsid w:val="001F33DF"/>
    <w:rsid w:val="00201B3F"/>
    <w:rsid w:val="00216AB7"/>
    <w:rsid w:val="002267F8"/>
    <w:rsid w:val="00226F8E"/>
    <w:rsid w:val="0024024E"/>
    <w:rsid w:val="00243040"/>
    <w:rsid w:val="002434CA"/>
    <w:rsid w:val="00256946"/>
    <w:rsid w:val="002A0223"/>
    <w:rsid w:val="002A5060"/>
    <w:rsid w:val="002B5192"/>
    <w:rsid w:val="002B7510"/>
    <w:rsid w:val="002D5EE3"/>
    <w:rsid w:val="0031626D"/>
    <w:rsid w:val="00320A6F"/>
    <w:rsid w:val="003552BC"/>
    <w:rsid w:val="003A180D"/>
    <w:rsid w:val="003A3A9D"/>
    <w:rsid w:val="003B2625"/>
    <w:rsid w:val="003B3CB3"/>
    <w:rsid w:val="00401FDD"/>
    <w:rsid w:val="00414428"/>
    <w:rsid w:val="0042645D"/>
    <w:rsid w:val="00442BAF"/>
    <w:rsid w:val="00460450"/>
    <w:rsid w:val="00465573"/>
    <w:rsid w:val="004B210C"/>
    <w:rsid w:val="004B4172"/>
    <w:rsid w:val="004C3C94"/>
    <w:rsid w:val="004D05B7"/>
    <w:rsid w:val="004D37EE"/>
    <w:rsid w:val="004F55F3"/>
    <w:rsid w:val="004F5B22"/>
    <w:rsid w:val="00515B4C"/>
    <w:rsid w:val="00541B22"/>
    <w:rsid w:val="00552991"/>
    <w:rsid w:val="00565C91"/>
    <w:rsid w:val="005678F0"/>
    <w:rsid w:val="00573168"/>
    <w:rsid w:val="00581EEA"/>
    <w:rsid w:val="00584C91"/>
    <w:rsid w:val="005C006D"/>
    <w:rsid w:val="005C5584"/>
    <w:rsid w:val="005F2ACA"/>
    <w:rsid w:val="00602168"/>
    <w:rsid w:val="00637477"/>
    <w:rsid w:val="00641E78"/>
    <w:rsid w:val="00653F4C"/>
    <w:rsid w:val="00682DC0"/>
    <w:rsid w:val="006A1087"/>
    <w:rsid w:val="006C4DFA"/>
    <w:rsid w:val="006C6854"/>
    <w:rsid w:val="006D7AC3"/>
    <w:rsid w:val="006F69D4"/>
    <w:rsid w:val="00702AD8"/>
    <w:rsid w:val="007104AC"/>
    <w:rsid w:val="00733957"/>
    <w:rsid w:val="00750213"/>
    <w:rsid w:val="00790A93"/>
    <w:rsid w:val="007A4FAB"/>
    <w:rsid w:val="007C78AF"/>
    <w:rsid w:val="00813E80"/>
    <w:rsid w:val="0082088D"/>
    <w:rsid w:val="0082123E"/>
    <w:rsid w:val="008229F7"/>
    <w:rsid w:val="00844F78"/>
    <w:rsid w:val="00857328"/>
    <w:rsid w:val="00860F7E"/>
    <w:rsid w:val="008B12C1"/>
    <w:rsid w:val="008C31B1"/>
    <w:rsid w:val="008E6F42"/>
    <w:rsid w:val="0090537D"/>
    <w:rsid w:val="00927E7A"/>
    <w:rsid w:val="00946FF9"/>
    <w:rsid w:val="00970B80"/>
    <w:rsid w:val="009A2E51"/>
    <w:rsid w:val="009B58B7"/>
    <w:rsid w:val="009C2EFD"/>
    <w:rsid w:val="009C64F5"/>
    <w:rsid w:val="009E4204"/>
    <w:rsid w:val="00A11D3B"/>
    <w:rsid w:val="00A514A8"/>
    <w:rsid w:val="00AE2F01"/>
    <w:rsid w:val="00B022D3"/>
    <w:rsid w:val="00B15BF9"/>
    <w:rsid w:val="00B22B7D"/>
    <w:rsid w:val="00B613EE"/>
    <w:rsid w:val="00B82E04"/>
    <w:rsid w:val="00B93CAF"/>
    <w:rsid w:val="00B94537"/>
    <w:rsid w:val="00BB3B13"/>
    <w:rsid w:val="00BD34B9"/>
    <w:rsid w:val="00BF72C7"/>
    <w:rsid w:val="00C24BB0"/>
    <w:rsid w:val="00C33CAE"/>
    <w:rsid w:val="00C45439"/>
    <w:rsid w:val="00C61E76"/>
    <w:rsid w:val="00C82916"/>
    <w:rsid w:val="00C922FF"/>
    <w:rsid w:val="00C9752E"/>
    <w:rsid w:val="00C97FCD"/>
    <w:rsid w:val="00CA35A7"/>
    <w:rsid w:val="00CC4A58"/>
    <w:rsid w:val="00CD3B5B"/>
    <w:rsid w:val="00CF11C3"/>
    <w:rsid w:val="00D17965"/>
    <w:rsid w:val="00D6359B"/>
    <w:rsid w:val="00D67D07"/>
    <w:rsid w:val="00D963EE"/>
    <w:rsid w:val="00D97EDC"/>
    <w:rsid w:val="00DB45C5"/>
    <w:rsid w:val="00DC362F"/>
    <w:rsid w:val="00DD6885"/>
    <w:rsid w:val="00DF5AEC"/>
    <w:rsid w:val="00E06424"/>
    <w:rsid w:val="00E132B1"/>
    <w:rsid w:val="00E13A4D"/>
    <w:rsid w:val="00E17B38"/>
    <w:rsid w:val="00E26337"/>
    <w:rsid w:val="00E72FF7"/>
    <w:rsid w:val="00E742CF"/>
    <w:rsid w:val="00E870FD"/>
    <w:rsid w:val="00E929B1"/>
    <w:rsid w:val="00EA0173"/>
    <w:rsid w:val="00F3109C"/>
    <w:rsid w:val="00FA6629"/>
    <w:rsid w:val="00FB46FC"/>
    <w:rsid w:val="00FC68DD"/>
    <w:rsid w:val="00FE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6532"/>
  <w15:chartTrackingRefBased/>
  <w15:docId w15:val="{D3841A04-D091-43FF-A1E6-0F89803F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CB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3B3CB3"/>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3B3CB3"/>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3B3CB3"/>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682D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682DC0"/>
    <w:rPr>
      <w:u w:val="single"/>
    </w:rPr>
  </w:style>
  <w:style w:type="paragraph" w:styleId="ListParagraph">
    <w:name w:val="List Paragraph"/>
    <w:basedOn w:val="Normal"/>
    <w:uiPriority w:val="34"/>
    <w:qFormat/>
    <w:rsid w:val="00682DC0"/>
    <w:pPr>
      <w:ind w:left="720"/>
      <w:contextualSpacing/>
    </w:pPr>
  </w:style>
  <w:style w:type="paragraph" w:styleId="NormalWeb">
    <w:name w:val="Normal (Web)"/>
    <w:basedOn w:val="Normal"/>
    <w:uiPriority w:val="99"/>
    <w:unhideWhenUsed/>
    <w:rsid w:val="00682D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table" w:styleId="TableGrid">
    <w:name w:val="Table Grid"/>
    <w:basedOn w:val="TableNormal"/>
    <w:uiPriority w:val="39"/>
    <w:rsid w:val="0068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69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9D4"/>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641E78"/>
    <w:rPr>
      <w:sz w:val="16"/>
      <w:szCs w:val="16"/>
    </w:rPr>
  </w:style>
  <w:style w:type="paragraph" w:styleId="CommentText">
    <w:name w:val="annotation text"/>
    <w:basedOn w:val="Normal"/>
    <w:link w:val="CommentTextChar"/>
    <w:uiPriority w:val="99"/>
    <w:semiHidden/>
    <w:unhideWhenUsed/>
    <w:rsid w:val="00641E78"/>
    <w:rPr>
      <w:sz w:val="20"/>
      <w:szCs w:val="20"/>
    </w:rPr>
  </w:style>
  <w:style w:type="character" w:customStyle="1" w:styleId="CommentTextChar">
    <w:name w:val="Comment Text Char"/>
    <w:basedOn w:val="DefaultParagraphFont"/>
    <w:link w:val="CommentText"/>
    <w:uiPriority w:val="99"/>
    <w:semiHidden/>
    <w:rsid w:val="00641E78"/>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641E78"/>
    <w:rPr>
      <w:b/>
      <w:bCs/>
    </w:rPr>
  </w:style>
  <w:style w:type="character" w:customStyle="1" w:styleId="CommentSubjectChar">
    <w:name w:val="Comment Subject Char"/>
    <w:basedOn w:val="CommentTextChar"/>
    <w:link w:val="CommentSubject"/>
    <w:uiPriority w:val="99"/>
    <w:semiHidden/>
    <w:rsid w:val="00641E78"/>
    <w:rPr>
      <w:rFonts w:ascii="Times New Roman" w:eastAsia="Arial Unicode MS" w:hAnsi="Times New Roman" w:cs="Times New Roman"/>
      <w:b/>
      <w:bCs/>
      <w:sz w:val="20"/>
      <w:szCs w:val="20"/>
      <w:bdr w:val="nil"/>
    </w:rPr>
  </w:style>
  <w:style w:type="paragraph" w:styleId="FootnoteText">
    <w:name w:val="footnote text"/>
    <w:basedOn w:val="Normal"/>
    <w:link w:val="FootnoteTextChar"/>
    <w:uiPriority w:val="99"/>
    <w:semiHidden/>
    <w:unhideWhenUsed/>
    <w:rsid w:val="00B613EE"/>
    <w:rPr>
      <w:sz w:val="20"/>
      <w:szCs w:val="20"/>
    </w:rPr>
  </w:style>
  <w:style w:type="character" w:customStyle="1" w:styleId="FootnoteTextChar">
    <w:name w:val="Footnote Text Char"/>
    <w:basedOn w:val="DefaultParagraphFont"/>
    <w:link w:val="FootnoteText"/>
    <w:uiPriority w:val="99"/>
    <w:semiHidden/>
    <w:rsid w:val="00B613EE"/>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B613EE"/>
    <w:rPr>
      <w:vertAlign w:val="superscript"/>
    </w:rPr>
  </w:style>
  <w:style w:type="paragraph" w:customStyle="1" w:styleId="isselectedend">
    <w:name w:val="isselectedend"/>
    <w:basedOn w:val="Normal"/>
    <w:uiPriority w:val="99"/>
    <w:rsid w:val="001F33D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185">
      <w:bodyDiv w:val="1"/>
      <w:marLeft w:val="0"/>
      <w:marRight w:val="0"/>
      <w:marTop w:val="0"/>
      <w:marBottom w:val="0"/>
      <w:divBdr>
        <w:top w:val="none" w:sz="0" w:space="0" w:color="auto"/>
        <w:left w:val="none" w:sz="0" w:space="0" w:color="auto"/>
        <w:bottom w:val="none" w:sz="0" w:space="0" w:color="auto"/>
        <w:right w:val="none" w:sz="0" w:space="0" w:color="auto"/>
      </w:divBdr>
    </w:div>
    <w:div w:id="74018966">
      <w:bodyDiv w:val="1"/>
      <w:marLeft w:val="0"/>
      <w:marRight w:val="0"/>
      <w:marTop w:val="0"/>
      <w:marBottom w:val="0"/>
      <w:divBdr>
        <w:top w:val="none" w:sz="0" w:space="0" w:color="auto"/>
        <w:left w:val="none" w:sz="0" w:space="0" w:color="auto"/>
        <w:bottom w:val="none" w:sz="0" w:space="0" w:color="auto"/>
        <w:right w:val="none" w:sz="0" w:space="0" w:color="auto"/>
      </w:divBdr>
    </w:div>
    <w:div w:id="289895132">
      <w:bodyDiv w:val="1"/>
      <w:marLeft w:val="0"/>
      <w:marRight w:val="0"/>
      <w:marTop w:val="0"/>
      <w:marBottom w:val="0"/>
      <w:divBdr>
        <w:top w:val="none" w:sz="0" w:space="0" w:color="auto"/>
        <w:left w:val="none" w:sz="0" w:space="0" w:color="auto"/>
        <w:bottom w:val="none" w:sz="0" w:space="0" w:color="auto"/>
        <w:right w:val="none" w:sz="0" w:space="0" w:color="auto"/>
      </w:divBdr>
    </w:div>
    <w:div w:id="535199556">
      <w:bodyDiv w:val="1"/>
      <w:marLeft w:val="0"/>
      <w:marRight w:val="0"/>
      <w:marTop w:val="0"/>
      <w:marBottom w:val="0"/>
      <w:divBdr>
        <w:top w:val="none" w:sz="0" w:space="0" w:color="auto"/>
        <w:left w:val="none" w:sz="0" w:space="0" w:color="auto"/>
        <w:bottom w:val="none" w:sz="0" w:space="0" w:color="auto"/>
        <w:right w:val="none" w:sz="0" w:space="0" w:color="auto"/>
      </w:divBdr>
    </w:div>
    <w:div w:id="560947208">
      <w:bodyDiv w:val="1"/>
      <w:marLeft w:val="0"/>
      <w:marRight w:val="0"/>
      <w:marTop w:val="0"/>
      <w:marBottom w:val="0"/>
      <w:divBdr>
        <w:top w:val="none" w:sz="0" w:space="0" w:color="auto"/>
        <w:left w:val="none" w:sz="0" w:space="0" w:color="auto"/>
        <w:bottom w:val="none" w:sz="0" w:space="0" w:color="auto"/>
        <w:right w:val="none" w:sz="0" w:space="0" w:color="auto"/>
      </w:divBdr>
    </w:div>
    <w:div w:id="697269079">
      <w:bodyDiv w:val="1"/>
      <w:marLeft w:val="0"/>
      <w:marRight w:val="0"/>
      <w:marTop w:val="0"/>
      <w:marBottom w:val="0"/>
      <w:divBdr>
        <w:top w:val="none" w:sz="0" w:space="0" w:color="auto"/>
        <w:left w:val="none" w:sz="0" w:space="0" w:color="auto"/>
        <w:bottom w:val="none" w:sz="0" w:space="0" w:color="auto"/>
        <w:right w:val="none" w:sz="0" w:space="0" w:color="auto"/>
      </w:divBdr>
    </w:div>
    <w:div w:id="723942156">
      <w:bodyDiv w:val="1"/>
      <w:marLeft w:val="0"/>
      <w:marRight w:val="0"/>
      <w:marTop w:val="0"/>
      <w:marBottom w:val="0"/>
      <w:divBdr>
        <w:top w:val="none" w:sz="0" w:space="0" w:color="auto"/>
        <w:left w:val="none" w:sz="0" w:space="0" w:color="auto"/>
        <w:bottom w:val="none" w:sz="0" w:space="0" w:color="auto"/>
        <w:right w:val="none" w:sz="0" w:space="0" w:color="auto"/>
      </w:divBdr>
    </w:div>
    <w:div w:id="751898301">
      <w:bodyDiv w:val="1"/>
      <w:marLeft w:val="0"/>
      <w:marRight w:val="0"/>
      <w:marTop w:val="0"/>
      <w:marBottom w:val="0"/>
      <w:divBdr>
        <w:top w:val="none" w:sz="0" w:space="0" w:color="auto"/>
        <w:left w:val="none" w:sz="0" w:space="0" w:color="auto"/>
        <w:bottom w:val="none" w:sz="0" w:space="0" w:color="auto"/>
        <w:right w:val="none" w:sz="0" w:space="0" w:color="auto"/>
      </w:divBdr>
    </w:div>
    <w:div w:id="907419873">
      <w:bodyDiv w:val="1"/>
      <w:marLeft w:val="0"/>
      <w:marRight w:val="0"/>
      <w:marTop w:val="0"/>
      <w:marBottom w:val="0"/>
      <w:divBdr>
        <w:top w:val="none" w:sz="0" w:space="0" w:color="auto"/>
        <w:left w:val="none" w:sz="0" w:space="0" w:color="auto"/>
        <w:bottom w:val="none" w:sz="0" w:space="0" w:color="auto"/>
        <w:right w:val="none" w:sz="0" w:space="0" w:color="auto"/>
      </w:divBdr>
    </w:div>
    <w:div w:id="1313287530">
      <w:bodyDiv w:val="1"/>
      <w:marLeft w:val="0"/>
      <w:marRight w:val="0"/>
      <w:marTop w:val="0"/>
      <w:marBottom w:val="0"/>
      <w:divBdr>
        <w:top w:val="none" w:sz="0" w:space="0" w:color="auto"/>
        <w:left w:val="none" w:sz="0" w:space="0" w:color="auto"/>
        <w:bottom w:val="none" w:sz="0" w:space="0" w:color="auto"/>
        <w:right w:val="none" w:sz="0" w:space="0" w:color="auto"/>
      </w:divBdr>
    </w:div>
    <w:div w:id="1329556001">
      <w:bodyDiv w:val="1"/>
      <w:marLeft w:val="0"/>
      <w:marRight w:val="0"/>
      <w:marTop w:val="0"/>
      <w:marBottom w:val="0"/>
      <w:divBdr>
        <w:top w:val="none" w:sz="0" w:space="0" w:color="auto"/>
        <w:left w:val="none" w:sz="0" w:space="0" w:color="auto"/>
        <w:bottom w:val="none" w:sz="0" w:space="0" w:color="auto"/>
        <w:right w:val="none" w:sz="0" w:space="0" w:color="auto"/>
      </w:divBdr>
    </w:div>
    <w:div w:id="1332484862">
      <w:bodyDiv w:val="1"/>
      <w:marLeft w:val="0"/>
      <w:marRight w:val="0"/>
      <w:marTop w:val="0"/>
      <w:marBottom w:val="0"/>
      <w:divBdr>
        <w:top w:val="none" w:sz="0" w:space="0" w:color="auto"/>
        <w:left w:val="none" w:sz="0" w:space="0" w:color="auto"/>
        <w:bottom w:val="none" w:sz="0" w:space="0" w:color="auto"/>
        <w:right w:val="none" w:sz="0" w:space="0" w:color="auto"/>
      </w:divBdr>
    </w:div>
    <w:div w:id="1450006728">
      <w:bodyDiv w:val="1"/>
      <w:marLeft w:val="0"/>
      <w:marRight w:val="0"/>
      <w:marTop w:val="0"/>
      <w:marBottom w:val="0"/>
      <w:divBdr>
        <w:top w:val="none" w:sz="0" w:space="0" w:color="auto"/>
        <w:left w:val="none" w:sz="0" w:space="0" w:color="auto"/>
        <w:bottom w:val="none" w:sz="0" w:space="0" w:color="auto"/>
        <w:right w:val="none" w:sz="0" w:space="0" w:color="auto"/>
      </w:divBdr>
    </w:div>
    <w:div w:id="1554081187">
      <w:bodyDiv w:val="1"/>
      <w:marLeft w:val="0"/>
      <w:marRight w:val="0"/>
      <w:marTop w:val="0"/>
      <w:marBottom w:val="0"/>
      <w:divBdr>
        <w:top w:val="none" w:sz="0" w:space="0" w:color="auto"/>
        <w:left w:val="none" w:sz="0" w:space="0" w:color="auto"/>
        <w:bottom w:val="none" w:sz="0" w:space="0" w:color="auto"/>
        <w:right w:val="none" w:sz="0" w:space="0" w:color="auto"/>
      </w:divBdr>
    </w:div>
    <w:div w:id="1812945913">
      <w:bodyDiv w:val="1"/>
      <w:marLeft w:val="0"/>
      <w:marRight w:val="0"/>
      <w:marTop w:val="0"/>
      <w:marBottom w:val="0"/>
      <w:divBdr>
        <w:top w:val="none" w:sz="0" w:space="0" w:color="auto"/>
        <w:left w:val="none" w:sz="0" w:space="0" w:color="auto"/>
        <w:bottom w:val="none" w:sz="0" w:space="0" w:color="auto"/>
        <w:right w:val="none" w:sz="0" w:space="0" w:color="auto"/>
      </w:divBdr>
    </w:div>
    <w:div w:id="1845196773">
      <w:bodyDiv w:val="1"/>
      <w:marLeft w:val="0"/>
      <w:marRight w:val="0"/>
      <w:marTop w:val="0"/>
      <w:marBottom w:val="0"/>
      <w:divBdr>
        <w:top w:val="none" w:sz="0" w:space="0" w:color="auto"/>
        <w:left w:val="none" w:sz="0" w:space="0" w:color="auto"/>
        <w:bottom w:val="none" w:sz="0" w:space="0" w:color="auto"/>
        <w:right w:val="none" w:sz="0" w:space="0" w:color="auto"/>
      </w:divBdr>
    </w:div>
    <w:div w:id="1860465900">
      <w:bodyDiv w:val="1"/>
      <w:marLeft w:val="0"/>
      <w:marRight w:val="0"/>
      <w:marTop w:val="0"/>
      <w:marBottom w:val="0"/>
      <w:divBdr>
        <w:top w:val="none" w:sz="0" w:space="0" w:color="auto"/>
        <w:left w:val="none" w:sz="0" w:space="0" w:color="auto"/>
        <w:bottom w:val="none" w:sz="0" w:space="0" w:color="auto"/>
        <w:right w:val="none" w:sz="0" w:space="0" w:color="auto"/>
      </w:divBdr>
    </w:div>
    <w:div w:id="1981887334">
      <w:bodyDiv w:val="1"/>
      <w:marLeft w:val="0"/>
      <w:marRight w:val="0"/>
      <w:marTop w:val="0"/>
      <w:marBottom w:val="0"/>
      <w:divBdr>
        <w:top w:val="none" w:sz="0" w:space="0" w:color="auto"/>
        <w:left w:val="none" w:sz="0" w:space="0" w:color="auto"/>
        <w:bottom w:val="none" w:sz="0" w:space="0" w:color="auto"/>
        <w:right w:val="none" w:sz="0" w:space="0" w:color="auto"/>
      </w:divBdr>
    </w:div>
    <w:div w:id="20361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664D0-E56A-403E-B25B-A1F32FF5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Jokūbas Stasiulis</cp:lastModifiedBy>
  <cp:revision>10</cp:revision>
  <cp:lastPrinted>2025-09-03T07:11:00Z</cp:lastPrinted>
  <dcterms:created xsi:type="dcterms:W3CDTF">2026-06-17T10:28:00Z</dcterms:created>
  <dcterms:modified xsi:type="dcterms:W3CDTF">2026-06-22T06:55:00Z</dcterms:modified>
</cp:coreProperties>
</file>