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148390FE" w:rsidR="00027B83" w:rsidRPr="00421C3E" w:rsidRDefault="00330668" w:rsidP="00330668">
            <w:pPr>
              <w:jc w:val="center"/>
              <w:rPr>
                <w:b/>
                <w:bCs/>
                <w:kern w:val="2"/>
                <w:szCs w:val="24"/>
              </w:rPr>
            </w:pPr>
            <w:r>
              <w:rPr>
                <w:b/>
                <w:bCs/>
              </w:rPr>
              <w:t>RIVILĖ API (</w:t>
            </w:r>
            <w:r w:rsidR="00421C3E" w:rsidRPr="00421C3E">
              <w:rPr>
                <w:b/>
                <w:bCs/>
              </w:rPr>
              <w:t>N</w:t>
            </w:r>
            <w:r>
              <w:rPr>
                <w:b/>
                <w:bCs/>
              </w:rPr>
              <w:t>R</w:t>
            </w:r>
            <w:r w:rsidR="00421C3E" w:rsidRPr="00421C3E">
              <w:rPr>
                <w:b/>
                <w:bCs/>
              </w:rPr>
              <w:t xml:space="preserve">. </w:t>
            </w:r>
            <w:r w:rsidR="00995BAD">
              <w:rPr>
                <w:b/>
                <w:bCs/>
              </w:rPr>
              <w:t>10965</w:t>
            </w:r>
            <w:r w:rsidR="00421C3E"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47F7F3EC" w:rsidR="00EB0FCC" w:rsidRDefault="00EB0FCC" w:rsidP="00EB0FCC">
            <w:pPr>
              <w:jc w:val="center"/>
              <w:rPr>
                <w:kern w:val="2"/>
                <w:szCs w:val="24"/>
              </w:rPr>
            </w:pPr>
            <w:r w:rsidRPr="00B422F6">
              <w:rPr>
                <w:kern w:val="2"/>
                <w:szCs w:val="24"/>
              </w:rPr>
              <w:t>Šiltnamių g. 29, 041</w:t>
            </w:r>
            <w:r w:rsidR="00995BAD">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410E8C69" w14:textId="7E315CB4" w:rsidR="00027B83" w:rsidRDefault="000B0897" w:rsidP="00330668">
            <w:pPr>
              <w:jc w:val="both"/>
              <w:rPr>
                <w:color w:val="000000"/>
                <w:kern w:val="2"/>
                <w:szCs w:val="24"/>
              </w:rPr>
            </w:pPr>
            <w:r>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Pr>
                <w:kern w:val="2"/>
                <w:szCs w:val="24"/>
              </w:rPr>
              <w:t>aslaugas</w:t>
            </w:r>
            <w:r w:rsidR="00F14628">
              <w:rPr>
                <w:kern w:val="2"/>
                <w:szCs w:val="24"/>
              </w:rPr>
              <w:t xml:space="preserve"> (</w:t>
            </w:r>
            <w:r>
              <w:rPr>
                <w:color w:val="000000"/>
                <w:kern w:val="2"/>
                <w:szCs w:val="24"/>
              </w:rPr>
              <w:t>toliau – Paslaugos)</w:t>
            </w:r>
            <w:r w:rsidR="00330668">
              <w:t xml:space="preserve"> </w:t>
            </w:r>
            <w:r w:rsidR="00330668" w:rsidRPr="00330668">
              <w:rPr>
                <w:color w:val="000000"/>
                <w:kern w:val="2"/>
                <w:szCs w:val="24"/>
              </w:rPr>
              <w:t>priede Nr. 1 nustatyta apimtimi ir tvarka</w:t>
            </w:r>
            <w:r>
              <w:rPr>
                <w:color w:val="000000"/>
                <w:kern w:val="2"/>
                <w:szCs w:val="24"/>
              </w:rPr>
              <w:t>.</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t>3.2. Pirkimo pavadinimas ir numeris</w:t>
            </w:r>
          </w:p>
        </w:tc>
        <w:tc>
          <w:tcPr>
            <w:tcW w:w="6441" w:type="dxa"/>
            <w:gridSpan w:val="2"/>
          </w:tcPr>
          <w:p w14:paraId="75EF97B4" w14:textId="6D1CF234" w:rsidR="00027B83" w:rsidRDefault="00330668">
            <w:pPr>
              <w:rPr>
                <w:kern w:val="2"/>
                <w:szCs w:val="24"/>
              </w:rPr>
            </w:pPr>
            <w:proofErr w:type="spellStart"/>
            <w:r w:rsidRPr="00330668">
              <w:rPr>
                <w:kern w:val="2"/>
                <w:szCs w:val="24"/>
              </w:rPr>
              <w:t>R</w:t>
            </w:r>
            <w:r>
              <w:rPr>
                <w:kern w:val="2"/>
                <w:szCs w:val="24"/>
              </w:rPr>
              <w:t>ivilė</w:t>
            </w:r>
            <w:proofErr w:type="spellEnd"/>
            <w:r>
              <w:rPr>
                <w:kern w:val="2"/>
                <w:szCs w:val="24"/>
              </w:rPr>
              <w:t xml:space="preserve"> </w:t>
            </w:r>
            <w:r w:rsidRPr="00330668">
              <w:rPr>
                <w:kern w:val="2"/>
                <w:szCs w:val="24"/>
              </w:rPr>
              <w:t xml:space="preserve">API (Nr. </w:t>
            </w:r>
            <w:r w:rsidR="00995BAD">
              <w:rPr>
                <w:kern w:val="2"/>
                <w:szCs w:val="24"/>
              </w:rPr>
              <w:t>10965</w:t>
            </w:r>
            <w:r w:rsidRPr="00330668">
              <w:rPr>
                <w:kern w:val="2"/>
                <w:szCs w:val="24"/>
              </w:rPr>
              <w:t>)</w:t>
            </w:r>
            <w:r w:rsidR="00F14628">
              <w:rPr>
                <w:kern w:val="2"/>
                <w:szCs w:val="24"/>
              </w:rPr>
              <w:t xml:space="preserve">, </w:t>
            </w:r>
            <w:r w:rsidR="00F14628" w:rsidRPr="00330668">
              <w:rPr>
                <w:kern w:val="2"/>
                <w:szCs w:val="24"/>
              </w:rPr>
              <w:t xml:space="preserve">CVP IS pirkimo ID </w:t>
            </w:r>
            <w:r>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0BC9DD5A" w14:textId="0A849EEB" w:rsidR="00027B83" w:rsidRDefault="000B0897" w:rsidP="00995BAD">
            <w:pPr>
              <w:rPr>
                <w:kern w:val="2"/>
                <w:szCs w:val="24"/>
              </w:rPr>
            </w:pPr>
            <w:r>
              <w:rPr>
                <w:kern w:val="2"/>
                <w:szCs w:val="24"/>
              </w:rPr>
              <w:t>Netaikoma</w:t>
            </w: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3FAA3F4A" w:rsidR="00F75795" w:rsidRPr="00F75795" w:rsidRDefault="000B0897" w:rsidP="00D2513C">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w:t>
            </w:r>
            <w:r w:rsidR="00480F6F">
              <w:rPr>
                <w:szCs w:val="24"/>
              </w:rPr>
              <w:t>čiai</w:t>
            </w:r>
            <w:r w:rsidR="00D2513C">
              <w:rPr>
                <w:szCs w:val="24"/>
              </w:rPr>
              <w:t xml:space="preserve"> </w:t>
            </w:r>
            <w:r w:rsidR="002D4E6D">
              <w:rPr>
                <w:szCs w:val="24"/>
              </w:rPr>
              <w:t xml:space="preserve">ir </w:t>
            </w:r>
            <w:r w:rsidR="00480F6F">
              <w:rPr>
                <w:szCs w:val="24"/>
              </w:rPr>
              <w:t xml:space="preserve">gavęs Pirkėjo užsakymą bei </w:t>
            </w:r>
            <w:r w:rsidR="002D4E6D">
              <w:rPr>
                <w:szCs w:val="24"/>
              </w:rPr>
              <w:t xml:space="preserve">teikti jas </w:t>
            </w:r>
            <w:r w:rsidR="00995BAD">
              <w:rPr>
                <w:szCs w:val="24"/>
              </w:rPr>
              <w:t>24</w:t>
            </w:r>
            <w:r w:rsidR="002D4E6D" w:rsidRPr="002D4E6D">
              <w:rPr>
                <w:szCs w:val="24"/>
              </w:rPr>
              <w:t xml:space="preserve"> mėnesi</w:t>
            </w:r>
            <w:r w:rsidR="00995BAD">
              <w:rPr>
                <w:szCs w:val="24"/>
              </w:rPr>
              <w:t>us</w:t>
            </w:r>
            <w:r w:rsidR="002D4E6D" w:rsidRPr="002D4E6D">
              <w:rPr>
                <w:szCs w:val="24"/>
              </w:rPr>
              <w:t xml:space="preserve">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52E7FB6B" w:rsidR="00027B83" w:rsidRDefault="000B0897" w:rsidP="00480F6F">
            <w:pPr>
              <w:jc w:val="both"/>
              <w:rPr>
                <w:szCs w:val="24"/>
              </w:rPr>
            </w:pPr>
            <w:r>
              <w:rPr>
                <w:kern w:val="2"/>
                <w:szCs w:val="24"/>
              </w:rPr>
              <w:t xml:space="preserve">Turi būti pateikiami </w:t>
            </w:r>
            <w:r w:rsidR="00F44249">
              <w:rPr>
                <w:kern w:val="2"/>
                <w:szCs w:val="24"/>
              </w:rPr>
              <w:t>Techninėje specifikacijoje nurodyti</w:t>
            </w:r>
            <w:r>
              <w:rPr>
                <w:kern w:val="2"/>
                <w:szCs w:val="24"/>
              </w:rPr>
              <w:t xml:space="preserve"> dokumentai. Tiekėjui nepateikus nurodytų dokumentų, laikoma, kad Paslaugos neatitinka Sutartyje nustatytų reikalavimų.</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35019F86" w14:textId="7817DE9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F7B6E">
            <w:pPr>
              <w:pStyle w:val="Body2"/>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w:t>
            </w:r>
            <w:proofErr w:type="spellStart"/>
            <w:r w:rsidR="00B37919" w:rsidRPr="00B37919">
              <w:rPr>
                <w:rFonts w:cs="Times New Roman"/>
                <w:color w:val="auto"/>
                <w:sz w:val="24"/>
                <w:szCs w:val="24"/>
                <w:lang w:val="lt-LT"/>
              </w:rPr>
              <w:t>prieglobos</w:t>
            </w:r>
            <w:proofErr w:type="spellEnd"/>
            <w:r w:rsidR="00B37919" w:rsidRPr="00B37919">
              <w:rPr>
                <w:rFonts w:cs="Times New Roman"/>
                <w:color w:val="auto"/>
                <w:sz w:val="24"/>
                <w:szCs w:val="24"/>
                <w:lang w:val="lt-LT"/>
              </w:rPr>
              <w:t>)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5261E5A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F7B6E">
            <w:pPr>
              <w:pStyle w:val="Body2"/>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66BC4575" w14:textId="77777777" w:rsidR="00DF7B6E" w:rsidRPr="006620D7" w:rsidRDefault="00DF7B6E" w:rsidP="00DF7B6E">
            <w:pPr>
              <w:pStyle w:val="Body2"/>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5FC174B1" w14:textId="07D3F1DB"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995BAD">
              <w:rPr>
                <w:rFonts w:cs="Times New Roman"/>
                <w:color w:val="auto"/>
                <w:sz w:val="24"/>
                <w:szCs w:val="24"/>
                <w:lang w:val="lt-LT"/>
              </w:rPr>
              <w:t>12</w:t>
            </w:r>
            <w:r w:rsidRPr="006620D7">
              <w:rPr>
                <w:rFonts w:cs="Times New Roman"/>
                <w:color w:val="auto"/>
                <w:sz w:val="24"/>
                <w:szCs w:val="24"/>
                <w:lang w:val="lt-LT"/>
              </w:rPr>
              <w:t xml:space="preserve"> (</w:t>
            </w:r>
            <w:r w:rsidR="00995BAD">
              <w:rPr>
                <w:rFonts w:cs="Times New Roman"/>
                <w:color w:val="auto"/>
                <w:sz w:val="24"/>
                <w:szCs w:val="24"/>
                <w:lang w:val="lt-LT"/>
              </w:rPr>
              <w:t>dvylika</w:t>
            </w:r>
            <w:r w:rsidRPr="006620D7">
              <w:rPr>
                <w:rFonts w:cs="Times New Roman"/>
                <w:color w:val="auto"/>
                <w:sz w:val="24"/>
                <w:szCs w:val="24"/>
                <w:lang w:val="lt-LT"/>
              </w:rPr>
              <w:t>) kalendorini</w:t>
            </w:r>
            <w:r w:rsidR="00995BAD">
              <w:rPr>
                <w:rFonts w:cs="Times New Roman"/>
                <w:color w:val="auto"/>
                <w:sz w:val="24"/>
                <w:szCs w:val="24"/>
                <w:lang w:val="lt-LT"/>
              </w:rPr>
              <w:t>ų</w:t>
            </w:r>
            <w:r w:rsidRPr="006620D7">
              <w:rPr>
                <w:rFonts w:cs="Times New Roman"/>
                <w:color w:val="auto"/>
                <w:sz w:val="24"/>
                <w:szCs w:val="24"/>
                <w:lang w:val="lt-LT"/>
              </w:rPr>
              <w:t xml:space="preserve"> mėnesi</w:t>
            </w:r>
            <w:r w:rsidR="00995BAD">
              <w:rPr>
                <w:rFonts w:cs="Times New Roman"/>
                <w:color w:val="auto"/>
                <w:sz w:val="24"/>
                <w:szCs w:val="24"/>
                <w:lang w:val="lt-LT"/>
              </w:rPr>
              <w:t>ų</w:t>
            </w:r>
            <w:r w:rsidRPr="006620D7">
              <w:rPr>
                <w:rFonts w:cs="Times New Roman"/>
                <w:color w:val="auto"/>
                <w:sz w:val="24"/>
                <w:szCs w:val="24"/>
                <w:lang w:val="lt-LT"/>
              </w:rPr>
              <w:t xml:space="preserve">. </w:t>
            </w:r>
          </w:p>
          <w:p w14:paraId="1BA68651" w14:textId="44ACF95C"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CC11F10"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995BAD">
              <w:rPr>
                <w:rFonts w:cs="Times New Roman"/>
                <w:color w:val="auto"/>
                <w:sz w:val="24"/>
                <w:szCs w:val="24"/>
                <w:lang w:val="lt-LT"/>
              </w:rPr>
              <w:t>12</w:t>
            </w:r>
            <w:r w:rsidR="00145486">
              <w:rPr>
                <w:rFonts w:cs="Times New Roman"/>
                <w:color w:val="auto"/>
                <w:sz w:val="24"/>
                <w:szCs w:val="24"/>
                <w:lang w:val="lt-LT"/>
              </w:rPr>
              <w:t xml:space="preserve"> (</w:t>
            </w:r>
            <w:r w:rsidR="00995BAD">
              <w:rPr>
                <w:rFonts w:cs="Times New Roman"/>
                <w:color w:val="auto"/>
                <w:sz w:val="24"/>
                <w:szCs w:val="24"/>
                <w:lang w:val="lt-LT"/>
              </w:rPr>
              <w:t>dvylikos</w:t>
            </w:r>
            <w:r w:rsidR="00145486">
              <w:rPr>
                <w:rFonts w:cs="Times New Roman"/>
                <w:color w:val="auto"/>
                <w:sz w:val="24"/>
                <w:szCs w:val="24"/>
                <w:lang w:val="lt-LT"/>
              </w:rPr>
              <w:t>)</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EE0177">
            <w:pPr>
              <w:pStyle w:val="Body2"/>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6BED89EE" w:rsidR="00027B83"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nuo rašytinės pretenzijos gavimo dienos pašalinti Paslaugų trūkumus.</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43836B3" w14:textId="68F220B8" w:rsidR="00027B83" w:rsidRDefault="000B0897" w:rsidP="00995BAD">
            <w:pPr>
              <w:rPr>
                <w:kern w:val="2"/>
                <w:szCs w:val="24"/>
              </w:rPr>
            </w:pPr>
            <w:r>
              <w:rPr>
                <w:kern w:val="2"/>
                <w:szCs w:val="24"/>
              </w:rPr>
              <w:t xml:space="preserve">Netaikoma </w:t>
            </w: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42137FB9" w14:textId="77777777" w:rsidR="00027B83" w:rsidRDefault="00027B83">
            <w:pPr>
              <w:rPr>
                <w:color w:val="000000"/>
                <w:kern w:val="2"/>
                <w:szCs w:val="24"/>
              </w:rPr>
            </w:pPr>
          </w:p>
          <w:p w14:paraId="0117A3C5" w14:textId="1992AE23" w:rsidR="00027B83" w:rsidRDefault="000B0897">
            <w:pPr>
              <w:rPr>
                <w:b/>
                <w:kern w:val="2"/>
                <w:szCs w:val="24"/>
              </w:rPr>
            </w:pPr>
            <w:r>
              <w:rPr>
                <w:color w:val="000000"/>
                <w:kern w:val="2"/>
                <w:szCs w:val="24"/>
              </w:rPr>
              <w:t xml:space="preserve">9.2.2. </w:t>
            </w:r>
            <w:r w:rsidR="00982267" w:rsidRPr="00B422F6">
              <w:rPr>
                <w:kern w:val="2"/>
                <w:szCs w:val="24"/>
              </w:rPr>
              <w:t>Jeigu netesybos neišskaičiuojamos pagal Bendrųjų sąlygų 8.2.3 punktą,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77777777"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 be PVM.</w:t>
            </w:r>
          </w:p>
          <w:p w14:paraId="3978DE63" w14:textId="1F5AC287" w:rsidR="00982267" w:rsidRDefault="00982267" w:rsidP="00982267">
            <w:pPr>
              <w:jc w:val="both"/>
              <w:rPr>
                <w:kern w:val="2"/>
                <w:szCs w:val="24"/>
              </w:rPr>
            </w:pPr>
            <w:r>
              <w:rPr>
                <w:kern w:val="2"/>
                <w:szCs w:val="24"/>
              </w:rPr>
              <w:t xml:space="preserve">9.3.2. </w:t>
            </w:r>
            <w:r w:rsidRPr="00B422F6">
              <w:rPr>
                <w:kern w:val="2"/>
                <w:szCs w:val="24"/>
              </w:rPr>
              <w:t>Jeigu netesybos neišskaičiuojamos pagal Bendrųjų sąlygų 8.2.3 punktą,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2D34B666" w:rsidR="00027B83" w:rsidRDefault="00982267" w:rsidP="00982267">
            <w:pPr>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2BDE1B98" w:rsidR="00027B83" w:rsidRPr="00B90C8A" w:rsidRDefault="000B0897" w:rsidP="00995BAD">
            <w:pPr>
              <w:rPr>
                <w:kern w:val="2"/>
                <w:szCs w:val="24"/>
              </w:rPr>
            </w:pPr>
            <w:r w:rsidRPr="00B90C8A">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 xml:space="preserve">9.7. Tiekėjui taikomos netesybos dėl pirkimo dokumentuose nustatytų kokybinių kriterijų </w:t>
            </w:r>
            <w:proofErr w:type="spellStart"/>
            <w:r w:rsidRPr="00B90C8A">
              <w:rPr>
                <w:b/>
                <w:kern w:val="2"/>
                <w:szCs w:val="24"/>
              </w:rPr>
              <w:t>nepasiekimo</w:t>
            </w:r>
            <w:proofErr w:type="spellEnd"/>
            <w:r w:rsidRPr="00B90C8A">
              <w:rPr>
                <w:b/>
                <w:kern w:val="2"/>
                <w:szCs w:val="24"/>
              </w:rPr>
              <w:t xml:space="preserve"> Sutarties vykdymo metu</w:t>
            </w:r>
          </w:p>
        </w:tc>
        <w:tc>
          <w:tcPr>
            <w:tcW w:w="6441" w:type="dxa"/>
            <w:gridSpan w:val="2"/>
          </w:tcPr>
          <w:p w14:paraId="398C2F5F" w14:textId="02D56D84" w:rsidR="00027B83" w:rsidRPr="00B90C8A" w:rsidRDefault="000B0897" w:rsidP="00995BAD">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0D70584" w:rsidR="00027B83" w:rsidRPr="00B90C8A" w:rsidRDefault="000B0897" w:rsidP="00995BAD">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41E9401" w:rsidR="00027B83" w:rsidRPr="00B90C8A" w:rsidRDefault="00982267" w:rsidP="00995BAD">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8889D88" w:rsidR="00982267" w:rsidRDefault="00982267" w:rsidP="00982267">
            <w:pPr>
              <w:jc w:val="both"/>
              <w:rPr>
                <w:color w:val="4472C4"/>
                <w:kern w:val="2"/>
                <w:szCs w:val="24"/>
              </w:rPr>
            </w:pPr>
            <w:r w:rsidRPr="00982267">
              <w:rPr>
                <w:kern w:val="2"/>
                <w:szCs w:val="24"/>
              </w:rPr>
              <w:t xml:space="preserve">9.9.2. </w:t>
            </w:r>
            <w:r w:rsidRPr="00B422F6">
              <w:rPr>
                <w:bCs/>
                <w:szCs w:val="24"/>
              </w:rPr>
              <w:t>Jeigu bauda neišskaičiuojama pagal Bendrųjų sąlygų 8.2.3 punktą,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8CF639D" w14:textId="6420B1B1" w:rsidR="00027B83" w:rsidRDefault="000B0897" w:rsidP="00995BAD">
            <w:pPr>
              <w:rPr>
                <w:color w:val="4472C4"/>
                <w:kern w:val="2"/>
                <w:szCs w:val="24"/>
              </w:rPr>
            </w:pPr>
            <w:r>
              <w:rPr>
                <w:kern w:val="2"/>
                <w:szCs w:val="24"/>
              </w:rPr>
              <w:t>Netaikoma</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6F7DA226"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995BAD">
              <w:rPr>
                <w:kern w:val="2"/>
                <w:szCs w:val="24"/>
              </w:rPr>
              <w:t>25</w:t>
            </w:r>
            <w:r w:rsidRPr="00B422F6">
              <w:rPr>
                <w:kern w:val="2"/>
                <w:szCs w:val="24"/>
              </w:rPr>
              <w:t xml:space="preserve"> (</w:t>
            </w:r>
            <w:r w:rsidR="00995BAD">
              <w:rPr>
                <w:kern w:val="2"/>
                <w:szCs w:val="24"/>
              </w:rPr>
              <w:t>dvidešimt penki</w:t>
            </w:r>
            <w:r w:rsidRPr="00B422F6">
              <w:rPr>
                <w:kern w:val="2"/>
                <w:szCs w:val="24"/>
              </w:rPr>
              <w:t>) mėnesi</w:t>
            </w:r>
            <w:r w:rsidR="00995BAD">
              <w:rPr>
                <w:kern w:val="2"/>
                <w:szCs w:val="24"/>
              </w:rPr>
              <w:t>ai</w:t>
            </w:r>
            <w:r w:rsidR="00B90C8A">
              <w:rPr>
                <w:kern w:val="2"/>
                <w:szCs w:val="24"/>
              </w:rPr>
              <w:t xml:space="preserve">, </w:t>
            </w:r>
            <w:r w:rsidR="00B90C8A" w:rsidRPr="00B90C8A">
              <w:rPr>
                <w:kern w:val="2"/>
                <w:szCs w:val="24"/>
              </w:rPr>
              <w:t xml:space="preserve">iš kurių: paslaugų teikimo terminas – </w:t>
            </w:r>
            <w:r w:rsidR="00995BAD">
              <w:rPr>
                <w:kern w:val="2"/>
                <w:szCs w:val="24"/>
              </w:rPr>
              <w:t>24</w:t>
            </w:r>
            <w:r w:rsidR="00B90C8A" w:rsidRPr="00B90C8A">
              <w:rPr>
                <w:kern w:val="2"/>
                <w:szCs w:val="24"/>
              </w:rPr>
              <w:t xml:space="preserve"> (dv</w:t>
            </w:r>
            <w:r w:rsidR="00995BAD">
              <w:rPr>
                <w:kern w:val="2"/>
                <w:szCs w:val="24"/>
              </w:rPr>
              <w:t>idešimt keturi</w:t>
            </w:r>
            <w:r w:rsidR="00B90C8A" w:rsidRPr="00B90C8A">
              <w:rPr>
                <w:kern w:val="2"/>
                <w:szCs w:val="24"/>
              </w:rPr>
              <w:t>) mėn</w:t>
            </w:r>
            <w:r w:rsidR="00B90C8A">
              <w:rPr>
                <w:kern w:val="2"/>
                <w:szCs w:val="24"/>
              </w:rPr>
              <w:t>esi</w:t>
            </w:r>
            <w:r w:rsidR="00995BAD">
              <w:rPr>
                <w:kern w:val="2"/>
                <w:szCs w:val="24"/>
              </w:rPr>
              <w:t>ai</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10DE0DEF" w14:textId="554DD081" w:rsidR="00027B83" w:rsidRDefault="000B0897" w:rsidP="00995BAD">
            <w:pPr>
              <w:rPr>
                <w:kern w:val="2"/>
                <w:szCs w:val="24"/>
              </w:rPr>
            </w:pPr>
            <w:r>
              <w:rPr>
                <w:kern w:val="2"/>
                <w:szCs w:val="24"/>
              </w:rPr>
              <w:t>Netaikoma</w:t>
            </w: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pPr>
              <w:rPr>
                <w:kern w:val="2"/>
                <w:szCs w:val="24"/>
              </w:rPr>
            </w:pPr>
            <w:r w:rsidRPr="00982267">
              <w:rPr>
                <w:kern w:val="2"/>
                <w:szCs w:val="24"/>
              </w:rPr>
              <w:t>12.2.1. jeigu Tiekėjas nevykdo prisiimtų įsipareigojimų už Sutartyje nustatytą Sutarties kainą / įkainius;</w:t>
            </w:r>
          </w:p>
          <w:p w14:paraId="3E4565C1" w14:textId="2CBF3273"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982267" w:rsidRPr="00F47BCB">
              <w:rPr>
                <w:rFonts w:eastAsia="Arial"/>
                <w:kern w:val="2"/>
                <w:szCs w:val="24"/>
                <w:lang w:val="lt"/>
              </w:rPr>
              <w:t>3</w:t>
            </w:r>
            <w:r w:rsidRPr="00F47BCB">
              <w:rPr>
                <w:rFonts w:eastAsia="Arial"/>
                <w:kern w:val="2"/>
                <w:szCs w:val="24"/>
                <w:lang w:val="lt"/>
              </w:rPr>
              <w:t xml:space="preserve"> kartus iš eilės arba vėluoja suteikti Paslaugas daugiau nei </w:t>
            </w:r>
            <w:r w:rsidR="00F47BCB" w:rsidRPr="00F47BCB">
              <w:rPr>
                <w:rFonts w:eastAsia="Arial"/>
                <w:kern w:val="2"/>
                <w:szCs w:val="24"/>
                <w:lang w:val="lt"/>
              </w:rPr>
              <w:t>30 kalendorinių dienų</w:t>
            </w:r>
            <w:r w:rsidRPr="00F47BCB">
              <w:rPr>
                <w:rFonts w:eastAsia="Arial"/>
                <w:kern w:val="2"/>
                <w:szCs w:val="24"/>
                <w:lang w:val="lt"/>
              </w:rPr>
              <w:t xml:space="preserve"> nuo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Pr="001B658B" w:rsidRDefault="00F47BCB">
            <w:pPr>
              <w:rPr>
                <w:kern w:val="2"/>
                <w:szCs w:val="24"/>
              </w:rPr>
            </w:pPr>
            <w:r w:rsidRPr="001B658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Pr="001B658B" w:rsidRDefault="00F47BCB">
            <w:pPr>
              <w:rPr>
                <w:kern w:val="2"/>
                <w:szCs w:val="24"/>
              </w:rPr>
            </w:pPr>
            <w:r w:rsidRPr="001B658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r>
              <w:rPr>
                <w:b/>
                <w:kern w:val="2"/>
                <w:szCs w:val="24"/>
              </w:rPr>
              <w:t>14.3.</w:t>
            </w:r>
          </w:p>
        </w:tc>
        <w:tc>
          <w:tcPr>
            <w:tcW w:w="6477" w:type="dxa"/>
            <w:gridSpan w:val="3"/>
          </w:tcPr>
          <w:p w14:paraId="4F4C0345" w14:textId="43ED5B08" w:rsidR="00027B83" w:rsidRPr="001B658B" w:rsidRDefault="00F47BCB">
            <w:pPr>
              <w:rPr>
                <w:kern w:val="2"/>
                <w:szCs w:val="24"/>
              </w:rPr>
            </w:pPr>
            <w:r w:rsidRPr="001B658B">
              <w:rPr>
                <w:kern w:val="2"/>
                <w:szCs w:val="24"/>
              </w:rPr>
              <w:t>Netaikoma</w:t>
            </w:r>
          </w:p>
        </w:tc>
      </w:tr>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Pr="001B658B" w:rsidRDefault="00F47BCB">
            <w:pPr>
              <w:rPr>
                <w:kern w:val="2"/>
                <w:szCs w:val="24"/>
              </w:rPr>
            </w:pPr>
            <w:r w:rsidRPr="001B658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7777777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77777777" w:rsidR="00EB0FCC" w:rsidRDefault="00EB0FCC" w:rsidP="00EB0FC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77777777" w:rsidR="00EB0FCC" w:rsidRDefault="00EB0FCC" w:rsidP="00EB0FC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A283" w14:textId="77777777" w:rsidR="00A80C44" w:rsidRDefault="00A80C44">
      <w:pPr>
        <w:rPr>
          <w:sz w:val="20"/>
        </w:rPr>
      </w:pPr>
      <w:r>
        <w:rPr>
          <w:sz w:val="20"/>
        </w:rPr>
        <w:separator/>
      </w:r>
    </w:p>
  </w:endnote>
  <w:endnote w:type="continuationSeparator" w:id="0">
    <w:p w14:paraId="4669AD06" w14:textId="77777777" w:rsidR="00A80C44" w:rsidRDefault="00A80C44">
      <w:pPr>
        <w:rPr>
          <w:sz w:val="20"/>
        </w:rPr>
      </w:pPr>
      <w:r>
        <w:rPr>
          <w:sz w:val="20"/>
        </w:rPr>
        <w:continuationSeparator/>
      </w:r>
    </w:p>
  </w:endnote>
  <w:endnote w:type="continuationNotice" w:id="1">
    <w:p w14:paraId="5B943719" w14:textId="77777777" w:rsidR="00A80C44" w:rsidRDefault="00A80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AFFF" w14:textId="77777777" w:rsidR="00A80C44" w:rsidRDefault="00A80C44">
      <w:pPr>
        <w:rPr>
          <w:sz w:val="20"/>
        </w:rPr>
      </w:pPr>
      <w:r>
        <w:rPr>
          <w:sz w:val="20"/>
        </w:rPr>
        <w:separator/>
      </w:r>
    </w:p>
  </w:footnote>
  <w:footnote w:type="continuationSeparator" w:id="0">
    <w:p w14:paraId="2ADF87E2" w14:textId="77777777" w:rsidR="00A80C44" w:rsidRDefault="00A80C44">
      <w:pPr>
        <w:rPr>
          <w:sz w:val="20"/>
        </w:rPr>
      </w:pPr>
      <w:r>
        <w:rPr>
          <w:sz w:val="20"/>
        </w:rPr>
        <w:continuationSeparator/>
      </w:r>
    </w:p>
  </w:footnote>
  <w:footnote w:type="continuationNotice" w:id="1">
    <w:p w14:paraId="53824918" w14:textId="77777777" w:rsidR="00A80C44" w:rsidRDefault="00A80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538"/>
    <w:rsid w:val="0004421D"/>
    <w:rsid w:val="000B0897"/>
    <w:rsid w:val="000D3BA1"/>
    <w:rsid w:val="00145486"/>
    <w:rsid w:val="001610EA"/>
    <w:rsid w:val="001B658B"/>
    <w:rsid w:val="001D3C0B"/>
    <w:rsid w:val="002566AD"/>
    <w:rsid w:val="002773BE"/>
    <w:rsid w:val="00287725"/>
    <w:rsid w:val="002949EC"/>
    <w:rsid w:val="002D4E6D"/>
    <w:rsid w:val="00330668"/>
    <w:rsid w:val="00412BF5"/>
    <w:rsid w:val="00413D6F"/>
    <w:rsid w:val="00421C3E"/>
    <w:rsid w:val="004671BC"/>
    <w:rsid w:val="00480F6F"/>
    <w:rsid w:val="006908E1"/>
    <w:rsid w:val="007B45B0"/>
    <w:rsid w:val="007C49CC"/>
    <w:rsid w:val="007F4787"/>
    <w:rsid w:val="008032E2"/>
    <w:rsid w:val="008563D8"/>
    <w:rsid w:val="008623F8"/>
    <w:rsid w:val="0087780E"/>
    <w:rsid w:val="008B6B20"/>
    <w:rsid w:val="008D2245"/>
    <w:rsid w:val="008D2F74"/>
    <w:rsid w:val="008D432B"/>
    <w:rsid w:val="00911CDF"/>
    <w:rsid w:val="00957B3F"/>
    <w:rsid w:val="009728BC"/>
    <w:rsid w:val="00982267"/>
    <w:rsid w:val="00986100"/>
    <w:rsid w:val="00994E06"/>
    <w:rsid w:val="00995BAD"/>
    <w:rsid w:val="00A17D6F"/>
    <w:rsid w:val="00A80C44"/>
    <w:rsid w:val="00A8518A"/>
    <w:rsid w:val="00B06F7D"/>
    <w:rsid w:val="00B21D68"/>
    <w:rsid w:val="00B37919"/>
    <w:rsid w:val="00B43B70"/>
    <w:rsid w:val="00B90C8A"/>
    <w:rsid w:val="00BF33FE"/>
    <w:rsid w:val="00C302CD"/>
    <w:rsid w:val="00D2513C"/>
    <w:rsid w:val="00DA4E0C"/>
    <w:rsid w:val="00DF7B6E"/>
    <w:rsid w:val="00E72F35"/>
    <w:rsid w:val="00EB0FCC"/>
    <w:rsid w:val="00EE0177"/>
    <w:rsid w:val="00EE56D4"/>
    <w:rsid w:val="00EE710E"/>
    <w:rsid w:val="00F14628"/>
    <w:rsid w:val="00F352DA"/>
    <w:rsid w:val="00F44249"/>
    <w:rsid w:val="00F47BCB"/>
    <w:rsid w:val="00F54412"/>
    <w:rsid w:val="00F60BD9"/>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37</Pages>
  <Words>66635</Words>
  <Characters>37983</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7</cp:revision>
  <cp:lastPrinted>2017-06-29T23:42:00Z</cp:lastPrinted>
  <dcterms:created xsi:type="dcterms:W3CDTF">2025-04-16T04:36:00Z</dcterms:created>
  <dcterms:modified xsi:type="dcterms:W3CDTF">2026-06-22T14:59:00Z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