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5E3EE50" w:rsidR="00011EC0" w:rsidRPr="002B30D8" w:rsidRDefault="00261ED3" w:rsidP="00D21285">
            <w:pPr>
              <w:widowControl w:val="0"/>
            </w:pPr>
            <w:r>
              <w:t>3</w:t>
            </w:r>
            <w:r w:rsidR="00011EC0" w:rsidRPr="002B30D8">
              <w:t xml:space="preserve"> priedas</w:t>
            </w:r>
            <w:r w:rsidR="00C3536B">
              <w:t xml:space="preserve"> „Pasiūlymas“</w:t>
            </w:r>
          </w:p>
        </w:tc>
      </w:tr>
    </w:tbl>
    <w:p w14:paraId="4C01C82F" w14:textId="77777777" w:rsidR="00011EC0" w:rsidRDefault="00011EC0" w:rsidP="00011EC0">
      <w:pPr>
        <w:widowControl w:val="0"/>
        <w:jc w:val="center"/>
        <w:rPr>
          <w:sz w:val="20"/>
          <w:szCs w:val="20"/>
        </w:rPr>
      </w:pPr>
    </w:p>
    <w:p w14:paraId="7B698857" w14:textId="62D49D0F" w:rsidR="00011EC0" w:rsidRPr="00103B12" w:rsidRDefault="00011EC0" w:rsidP="00011EC0">
      <w:pPr>
        <w:ind w:right="-178"/>
        <w:jc w:val="center"/>
        <w:rPr>
          <w:color w:val="44546A" w:themeColor="text2"/>
          <w:sz w:val="18"/>
          <w:szCs w:val="18"/>
          <w:highlight w:val="lightGray"/>
        </w:rPr>
      </w:pPr>
      <w:r w:rsidRPr="002D2115">
        <w:rPr>
          <w:sz w:val="18"/>
          <w:szCs w:val="18"/>
        </w:rPr>
        <w:t>(</w:t>
      </w:r>
      <w:r w:rsidR="00AB7E90" w:rsidRPr="00AB7E90">
        <w:rPr>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75FB7B5A" w:rsidR="00261ED3" w:rsidRDefault="00261ED3" w:rsidP="00261ED3">
      <w:pPr>
        <w:jc w:val="center"/>
        <w:rPr>
          <w:b/>
          <w:lang w:eastAsia="lt-LT"/>
        </w:rPr>
      </w:pPr>
      <w:r w:rsidRPr="00261ED3">
        <w:rPr>
          <w:b/>
          <w:lang w:eastAsia="lt-LT"/>
        </w:rPr>
        <w:t xml:space="preserve">MAŽOS VERTĖS VIEŠOJO PIRKIMO </w:t>
      </w:r>
      <w:r w:rsidR="00387C81" w:rsidRPr="00387C81">
        <w:rPr>
          <w:b/>
          <w:lang w:eastAsia="lt-LT"/>
        </w:rPr>
        <w:t>„</w:t>
      </w:r>
      <w:r w:rsidR="00387C81" w:rsidRPr="00387C81">
        <w:rPr>
          <w:rFonts w:eastAsia="Calibri"/>
          <w:b/>
          <w:kern w:val="2"/>
          <w14:ligatures w14:val="standardContextual"/>
        </w:rPr>
        <w:t xml:space="preserve">VŠĮ KLAIPĖDOS VAIKŲ LIGONINĖS PASTATO, </w:t>
      </w:r>
      <w:r w:rsidR="00387C81">
        <w:rPr>
          <w:rFonts w:eastAsia="Calibri"/>
          <w:b/>
          <w:kern w:val="2"/>
          <w14:ligatures w14:val="standardContextual"/>
        </w:rPr>
        <w:t xml:space="preserve">ESANČIO ADRESU </w:t>
      </w:r>
      <w:r w:rsidR="00387C81" w:rsidRPr="00387C81">
        <w:rPr>
          <w:rFonts w:eastAsia="Calibri"/>
          <w:b/>
          <w:kern w:val="2"/>
          <w14:ligatures w14:val="standardContextual"/>
        </w:rPr>
        <w:t xml:space="preserve"> K. DONELAIČIO G. 7,</w:t>
      </w:r>
      <w:r w:rsidR="00387C81">
        <w:rPr>
          <w:rFonts w:eastAsia="Calibri"/>
          <w:b/>
          <w:kern w:val="2"/>
          <w14:ligatures w14:val="standardContextual"/>
        </w:rPr>
        <w:t xml:space="preserve"> KLAIPĖDA, </w:t>
      </w:r>
      <w:r w:rsidR="00387C81" w:rsidRPr="00387C81">
        <w:rPr>
          <w:b/>
          <w:lang w:eastAsia="lt-LT"/>
        </w:rPr>
        <w:t>ŠILDYMO VAMZDŽIŲ KEITIMO DARBAI“</w:t>
      </w:r>
    </w:p>
    <w:p w14:paraId="4BB81126" w14:textId="77777777" w:rsidR="00387C81" w:rsidRPr="00261ED3" w:rsidRDefault="00387C81" w:rsidP="00261ED3">
      <w:pPr>
        <w:jc w:val="center"/>
        <w:rPr>
          <w:b/>
          <w:lang w:eastAsia="lt-LT"/>
        </w:rPr>
      </w:pPr>
    </w:p>
    <w:p w14:paraId="60BF0132" w14:textId="4472F7C1" w:rsidR="00011EC0" w:rsidRDefault="00261ED3" w:rsidP="00AB7E90">
      <w:pPr>
        <w:jc w:val="center"/>
        <w:rPr>
          <w:b/>
        </w:rPr>
      </w:pPr>
      <w:r w:rsidRPr="00031EB2">
        <w:rPr>
          <w:b/>
        </w:rPr>
        <w:t>PASIŪLYMAS</w:t>
      </w: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1C3993">
              <w:rPr>
                <w:b/>
                <w:u w:val="single"/>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D21285">
        <w:trPr>
          <w:trHeight w:val="20"/>
        </w:trPr>
        <w:tc>
          <w:tcPr>
            <w:tcW w:w="6521" w:type="dxa"/>
            <w:shd w:val="clear" w:color="auto" w:fill="F2F2F2" w:themeFill="background1" w:themeFillShade="F2"/>
            <w:tcMar>
              <w:top w:w="0" w:type="dxa"/>
              <w:left w:w="108" w:type="dxa"/>
              <w:bottom w:w="0" w:type="dxa"/>
              <w:right w:w="108" w:type="dxa"/>
            </w:tcMar>
          </w:tcPr>
          <w:p w14:paraId="7F72F25E" w14:textId="1F319DD5" w:rsidR="001C3993" w:rsidRPr="003B25ED" w:rsidRDefault="002E65A6" w:rsidP="001C3993">
            <w:pPr>
              <w:autoSpaceDE w:val="0"/>
              <w:autoSpaceDN w:val="0"/>
              <w:adjustRightInd w:val="0"/>
              <w:jc w:val="both"/>
              <w:rPr>
                <w:bCs/>
              </w:rPr>
            </w:pPr>
            <w:r w:rsidRPr="001C3993">
              <w:rPr>
                <w:b/>
                <w:color w:val="2F5496" w:themeColor="accent1" w:themeShade="BF"/>
              </w:rPr>
              <w:t xml:space="preserve">Kvalifikuotas </w:t>
            </w:r>
            <w:r w:rsidR="001C3993" w:rsidRPr="001C3993">
              <w:rPr>
                <w:b/>
                <w:color w:val="2F5496" w:themeColor="accent1" w:themeShade="BF"/>
              </w:rPr>
              <w:t>statinio statybos vadovas</w:t>
            </w:r>
            <w:r w:rsidR="001C3993" w:rsidRPr="003B25ED">
              <w:rPr>
                <w:bCs/>
              </w:rPr>
              <w:t>, turint</w:t>
            </w:r>
            <w:r w:rsidR="001C3993">
              <w:rPr>
                <w:bCs/>
              </w:rPr>
              <w:t>is</w:t>
            </w:r>
            <w:r w:rsidR="001C3993" w:rsidRPr="003B25ED">
              <w:rPr>
                <w:bCs/>
              </w:rPr>
              <w:t xml:space="preserve"> teisę eiti ypatingojo statinio, esančio kultūros paveldo objekto teritorijoje, jo apsaugos zonoje, kultūros paveldo vietovėje, statybos vadovo pareigas (statinių grupė – negyvenamieji pastatai: gydymo paskirties pastatai).</w:t>
            </w:r>
          </w:p>
          <w:p w14:paraId="4E74E219" w14:textId="77C8F602" w:rsidR="00011EC0" w:rsidRPr="00341A84" w:rsidRDefault="002E65A6" w:rsidP="00D21285">
            <w:pPr>
              <w:autoSpaceDE w:val="0"/>
              <w:autoSpaceDN w:val="0"/>
              <w:adjustRightInd w:val="0"/>
              <w:jc w:val="both"/>
              <w:rPr>
                <w:bCs/>
              </w:rPr>
            </w:pPr>
            <w:r w:rsidRPr="002E65A6">
              <w:rPr>
                <w:bCs/>
              </w:rPr>
              <w:t>.</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bl>
    <w:p w14:paraId="56E31F12" w14:textId="1217C230" w:rsidR="00011EC0" w:rsidRDefault="00011EC0" w:rsidP="00011EC0">
      <w:pPr>
        <w:tabs>
          <w:tab w:val="left" w:pos="426"/>
        </w:tabs>
        <w:jc w:val="both"/>
        <w:rPr>
          <w:i/>
          <w:iCs/>
          <w:color w:val="000000" w:themeColor="text1"/>
        </w:rPr>
      </w:pPr>
      <w:r w:rsidRPr="001C3993">
        <w:rPr>
          <w:b/>
          <w:bCs/>
          <w:i/>
          <w:iCs/>
          <w:color w:val="000000" w:themeColor="text1"/>
          <w:spacing w:val="-4"/>
        </w:rPr>
        <w:t>Pastab</w:t>
      </w:r>
      <w:r w:rsidR="001C3993" w:rsidRPr="001C3993">
        <w:rPr>
          <w:b/>
          <w:bCs/>
          <w:i/>
          <w:iCs/>
          <w:color w:val="000000" w:themeColor="text1"/>
          <w:spacing w:val="-4"/>
        </w:rPr>
        <w:t>os</w:t>
      </w:r>
      <w:r w:rsidRPr="001C3993">
        <w:rPr>
          <w:b/>
          <w:bCs/>
          <w:i/>
          <w:iCs/>
          <w:color w:val="000000" w:themeColor="text1"/>
          <w:spacing w:val="-4"/>
        </w:rPr>
        <w:t>.</w:t>
      </w:r>
      <w:r w:rsidRPr="00003B33">
        <w:rPr>
          <w:i/>
          <w:iCs/>
          <w:color w:val="000000" w:themeColor="text1"/>
          <w:spacing w:val="-4"/>
        </w:rPr>
        <w:t xml:space="preserve"> Pildoma, </w:t>
      </w:r>
      <w:r w:rsidR="001C3993" w:rsidRPr="001C3993">
        <w:rPr>
          <w:b/>
          <w:bCs/>
          <w:i/>
          <w:iCs/>
          <w:color w:val="000000" w:themeColor="text1"/>
          <w:spacing w:val="-4"/>
          <w:u w:val="single"/>
        </w:rPr>
        <w:t xml:space="preserve">tik </w:t>
      </w:r>
      <w:r w:rsidRPr="001C3993">
        <w:rPr>
          <w:b/>
          <w:bCs/>
          <w:i/>
          <w:iCs/>
          <w:color w:val="000000" w:themeColor="text1"/>
          <w:spacing w:val="-4"/>
          <w:u w:val="single"/>
        </w:rPr>
        <w:t>jei</w:t>
      </w:r>
      <w:r w:rsidRPr="00003B33">
        <w:rPr>
          <w:i/>
          <w:iCs/>
          <w:color w:val="000000" w:themeColor="text1"/>
          <w:spacing w:val="-4"/>
        </w:rPr>
        <w:t xml:space="preserve">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r w:rsidR="001C3993">
        <w:rPr>
          <w:i/>
          <w:iCs/>
          <w:color w:val="000000" w:themeColor="text1"/>
        </w:rPr>
        <w:t xml:space="preserve"> </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25AEB38A" w14:textId="2B01A71E" w:rsidR="00B42FE7" w:rsidRDefault="00B42FE7" w:rsidP="00B42FE7">
      <w:pPr>
        <w:ind w:firstLine="720"/>
        <w:jc w:val="both"/>
      </w:pPr>
      <w:r>
        <w:t>Mes siūlome</w:t>
      </w:r>
      <w:bookmarkStart w:id="0" w:name="_Hlk158018688"/>
      <w:bookmarkStart w:id="1" w:name="_Hlk156464901"/>
      <w:r>
        <w:t xml:space="preserve"> šiuos </w:t>
      </w:r>
      <w:r>
        <w:rPr>
          <w:b/>
          <w:bCs/>
        </w:rPr>
        <w:t>š</w:t>
      </w:r>
      <w:r w:rsidRPr="00B42FE7">
        <w:rPr>
          <w:b/>
          <w:bCs/>
        </w:rPr>
        <w:t xml:space="preserve">ildymo vamzdžių keitimo darbų </w:t>
      </w:r>
      <w:bookmarkEnd w:id="0"/>
      <w:r>
        <w:rPr>
          <w:b/>
          <w:bCs/>
        </w:rPr>
        <w:t>įkainius: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992"/>
        <w:gridCol w:w="851"/>
        <w:gridCol w:w="992"/>
        <w:gridCol w:w="1276"/>
        <w:gridCol w:w="1134"/>
      </w:tblGrid>
      <w:tr w:rsidR="00B42FE7" w:rsidRPr="00D53936" w14:paraId="5C6CEC69" w14:textId="77777777" w:rsidTr="00B42FE7">
        <w:trPr>
          <w:cantSplit/>
          <w:trHeight w:val="278"/>
        </w:trPr>
        <w:tc>
          <w:tcPr>
            <w:tcW w:w="567" w:type="dxa"/>
            <w:vMerge w:val="restart"/>
            <w:shd w:val="clear" w:color="auto" w:fill="F2F2F2" w:themeFill="background1" w:themeFillShade="F2"/>
            <w:vAlign w:val="center"/>
          </w:tcPr>
          <w:p w14:paraId="3A2A81A3" w14:textId="77777777" w:rsidR="00B42FE7" w:rsidRPr="00D53936" w:rsidRDefault="00B42FE7" w:rsidP="00A1663A">
            <w:pPr>
              <w:ind w:left="-79"/>
              <w:jc w:val="center"/>
              <w:rPr>
                <w:b/>
                <w:bCs/>
                <w:lang w:eastAsia="ru-RU"/>
              </w:rPr>
            </w:pPr>
            <w:bookmarkStart w:id="2" w:name="_Hlk156546075"/>
            <w:bookmarkEnd w:id="1"/>
            <w:r w:rsidRPr="00D53936">
              <w:rPr>
                <w:b/>
                <w:bCs/>
                <w:lang w:eastAsia="ru-RU"/>
              </w:rPr>
              <w:t>Eil.</w:t>
            </w:r>
          </w:p>
          <w:p w14:paraId="0BBC0F27" w14:textId="77777777" w:rsidR="00B42FE7" w:rsidRPr="00D53936" w:rsidRDefault="00B42FE7" w:rsidP="00A1663A">
            <w:pPr>
              <w:ind w:left="-79"/>
              <w:jc w:val="center"/>
              <w:rPr>
                <w:b/>
                <w:bCs/>
                <w:lang w:eastAsia="ru-RU"/>
              </w:rPr>
            </w:pPr>
            <w:r w:rsidRPr="00D53936">
              <w:rPr>
                <w:b/>
                <w:bCs/>
                <w:lang w:eastAsia="ru-RU"/>
              </w:rPr>
              <w:t>Nr.</w:t>
            </w:r>
          </w:p>
        </w:tc>
        <w:tc>
          <w:tcPr>
            <w:tcW w:w="4111" w:type="dxa"/>
            <w:vMerge w:val="restart"/>
            <w:shd w:val="clear" w:color="auto" w:fill="F2F2F2" w:themeFill="background1" w:themeFillShade="F2"/>
            <w:vAlign w:val="center"/>
          </w:tcPr>
          <w:p w14:paraId="489E02D7" w14:textId="77777777" w:rsidR="00B42FE7" w:rsidRPr="00D53936" w:rsidRDefault="00B42FE7" w:rsidP="00A1663A">
            <w:pPr>
              <w:spacing w:line="240" w:lineRule="atLeast"/>
              <w:jc w:val="center"/>
              <w:rPr>
                <w:b/>
                <w:bCs/>
                <w:lang w:eastAsia="lt-LT"/>
              </w:rPr>
            </w:pPr>
            <w:r w:rsidRPr="00D53936">
              <w:rPr>
                <w:b/>
                <w:bCs/>
                <w:lang w:eastAsia="lt-LT"/>
              </w:rPr>
              <w:t>Darbų pavadinimas</w:t>
            </w:r>
          </w:p>
        </w:tc>
        <w:tc>
          <w:tcPr>
            <w:tcW w:w="992" w:type="dxa"/>
            <w:vMerge w:val="restart"/>
            <w:shd w:val="clear" w:color="auto" w:fill="F2F2F2" w:themeFill="background1" w:themeFillShade="F2"/>
            <w:vAlign w:val="center"/>
          </w:tcPr>
          <w:p w14:paraId="70DFCA5E" w14:textId="77777777" w:rsidR="00B42FE7" w:rsidRPr="00D53936" w:rsidRDefault="00B42FE7" w:rsidP="00A1663A">
            <w:pPr>
              <w:spacing w:line="240" w:lineRule="atLeast"/>
              <w:jc w:val="center"/>
              <w:rPr>
                <w:b/>
                <w:bCs/>
                <w:lang w:eastAsia="lt-LT"/>
              </w:rPr>
            </w:pPr>
            <w:r w:rsidRPr="00D53936">
              <w:rPr>
                <w:b/>
                <w:bCs/>
                <w:lang w:eastAsia="lt-LT"/>
              </w:rPr>
              <w:t>Mato vnt.</w:t>
            </w:r>
          </w:p>
        </w:tc>
        <w:tc>
          <w:tcPr>
            <w:tcW w:w="1843" w:type="dxa"/>
            <w:gridSpan w:val="2"/>
            <w:shd w:val="clear" w:color="auto" w:fill="F2F2F2" w:themeFill="background1" w:themeFillShade="F2"/>
          </w:tcPr>
          <w:p w14:paraId="5463774D" w14:textId="77777777" w:rsidR="00B42FE7" w:rsidRPr="00D53936" w:rsidRDefault="00B42FE7" w:rsidP="00A1663A">
            <w:pPr>
              <w:spacing w:line="240" w:lineRule="atLeast"/>
              <w:jc w:val="center"/>
              <w:rPr>
                <w:b/>
                <w:bCs/>
                <w:lang w:eastAsia="lt-LT"/>
              </w:rPr>
            </w:pPr>
            <w:r w:rsidRPr="00D53936">
              <w:rPr>
                <w:b/>
                <w:bCs/>
                <w:color w:val="000000"/>
                <w:lang w:eastAsia="lt-LT"/>
              </w:rPr>
              <w:t>Darbų įkainis mato vnt. Eur</w:t>
            </w:r>
          </w:p>
        </w:tc>
        <w:tc>
          <w:tcPr>
            <w:tcW w:w="1276" w:type="dxa"/>
            <w:vMerge w:val="restart"/>
            <w:shd w:val="clear" w:color="auto" w:fill="F2F2F2" w:themeFill="background1" w:themeFillShade="F2"/>
            <w:vAlign w:val="center"/>
          </w:tcPr>
          <w:p w14:paraId="06E4A842" w14:textId="77777777" w:rsidR="00B42FE7" w:rsidRPr="00D53936" w:rsidRDefault="00B42FE7" w:rsidP="00A1663A">
            <w:pPr>
              <w:spacing w:line="240" w:lineRule="atLeast"/>
              <w:jc w:val="center"/>
              <w:rPr>
                <w:b/>
                <w:bCs/>
                <w:lang w:eastAsia="lt-LT"/>
              </w:rPr>
            </w:pPr>
            <w:r w:rsidRPr="009E2534">
              <w:rPr>
                <w:b/>
                <w:bCs/>
                <w:lang w:eastAsia="lt-LT"/>
              </w:rPr>
              <w:t>Preliminarus</w:t>
            </w:r>
            <w:r>
              <w:rPr>
                <w:b/>
                <w:bCs/>
                <w:lang w:eastAsia="lt-LT"/>
              </w:rPr>
              <w:t xml:space="preserve"> darbų </w:t>
            </w:r>
            <w:r w:rsidRPr="009E2534">
              <w:rPr>
                <w:b/>
                <w:bCs/>
                <w:lang w:eastAsia="lt-LT"/>
              </w:rPr>
              <w:t>kiekis</w:t>
            </w:r>
            <w:r>
              <w:rPr>
                <w:b/>
                <w:bCs/>
                <w:lang w:eastAsia="lt-LT"/>
              </w:rPr>
              <w:t>*</w:t>
            </w:r>
          </w:p>
        </w:tc>
        <w:tc>
          <w:tcPr>
            <w:tcW w:w="1134" w:type="dxa"/>
            <w:vMerge w:val="restart"/>
            <w:shd w:val="clear" w:color="auto" w:fill="F2F2F2" w:themeFill="background1" w:themeFillShade="F2"/>
          </w:tcPr>
          <w:p w14:paraId="0D1792F1" w14:textId="77777777" w:rsidR="00B42FE7" w:rsidRPr="00D53936" w:rsidRDefault="00B42FE7" w:rsidP="00A1663A">
            <w:pPr>
              <w:spacing w:line="240" w:lineRule="atLeast"/>
              <w:jc w:val="center"/>
              <w:rPr>
                <w:b/>
                <w:bCs/>
                <w:lang w:eastAsia="lt-LT"/>
              </w:rPr>
            </w:pPr>
            <w:r w:rsidRPr="00E545D4">
              <w:rPr>
                <w:b/>
                <w:bCs/>
                <w:color w:val="000000"/>
                <w:lang w:eastAsia="lt-LT"/>
              </w:rPr>
              <w:t>Preliminari</w:t>
            </w:r>
            <w:r>
              <w:rPr>
                <w:b/>
                <w:bCs/>
                <w:color w:val="000000"/>
                <w:lang w:eastAsia="lt-LT"/>
              </w:rPr>
              <w:t xml:space="preserve"> darbų </w:t>
            </w:r>
            <w:r w:rsidRPr="00E545D4">
              <w:rPr>
                <w:b/>
                <w:bCs/>
                <w:color w:val="000000"/>
                <w:lang w:eastAsia="lt-LT"/>
              </w:rPr>
              <w:t>kaina</w:t>
            </w:r>
            <w:r>
              <w:rPr>
                <w:b/>
                <w:bCs/>
                <w:color w:val="000000"/>
                <w:lang w:eastAsia="lt-LT"/>
              </w:rPr>
              <w:t xml:space="preserve"> </w:t>
            </w:r>
            <w:r w:rsidRPr="00E545D4">
              <w:rPr>
                <w:b/>
                <w:bCs/>
                <w:color w:val="000000"/>
                <w:lang w:eastAsia="lt-LT"/>
              </w:rPr>
              <w:t>Eur su PVM</w:t>
            </w:r>
          </w:p>
        </w:tc>
      </w:tr>
      <w:tr w:rsidR="00B42FE7" w:rsidRPr="00D53936" w14:paraId="567A80B4" w14:textId="77777777" w:rsidTr="00B42FE7">
        <w:trPr>
          <w:cantSplit/>
          <w:trHeight w:val="277"/>
        </w:trPr>
        <w:tc>
          <w:tcPr>
            <w:tcW w:w="567" w:type="dxa"/>
            <w:vMerge/>
            <w:shd w:val="clear" w:color="auto" w:fill="F2F2F2" w:themeFill="background1" w:themeFillShade="F2"/>
            <w:vAlign w:val="center"/>
          </w:tcPr>
          <w:p w14:paraId="59B64F36" w14:textId="77777777" w:rsidR="00B42FE7" w:rsidRPr="00D53936" w:rsidRDefault="00B42FE7" w:rsidP="00A1663A">
            <w:pPr>
              <w:ind w:left="-79"/>
              <w:jc w:val="center"/>
              <w:rPr>
                <w:b/>
                <w:bCs/>
                <w:lang w:eastAsia="ru-RU"/>
              </w:rPr>
            </w:pPr>
          </w:p>
        </w:tc>
        <w:tc>
          <w:tcPr>
            <w:tcW w:w="4111" w:type="dxa"/>
            <w:vMerge/>
            <w:shd w:val="clear" w:color="auto" w:fill="F2F2F2" w:themeFill="background1" w:themeFillShade="F2"/>
            <w:vAlign w:val="center"/>
          </w:tcPr>
          <w:p w14:paraId="4209A701" w14:textId="77777777" w:rsidR="00B42FE7" w:rsidRPr="00D53936" w:rsidRDefault="00B42FE7" w:rsidP="00A1663A">
            <w:pPr>
              <w:spacing w:line="240" w:lineRule="atLeast"/>
              <w:jc w:val="center"/>
              <w:rPr>
                <w:b/>
                <w:bCs/>
                <w:lang w:eastAsia="lt-LT"/>
              </w:rPr>
            </w:pPr>
          </w:p>
        </w:tc>
        <w:tc>
          <w:tcPr>
            <w:tcW w:w="992" w:type="dxa"/>
            <w:vMerge/>
            <w:shd w:val="clear" w:color="auto" w:fill="F2F2F2" w:themeFill="background1" w:themeFillShade="F2"/>
            <w:vAlign w:val="center"/>
          </w:tcPr>
          <w:p w14:paraId="0758A9C8" w14:textId="77777777" w:rsidR="00B42FE7" w:rsidRPr="00D53936" w:rsidRDefault="00B42FE7" w:rsidP="00A1663A">
            <w:pPr>
              <w:spacing w:line="240" w:lineRule="atLeast"/>
              <w:jc w:val="center"/>
              <w:rPr>
                <w:b/>
                <w:bCs/>
                <w:lang w:eastAsia="lt-LT"/>
              </w:rPr>
            </w:pPr>
          </w:p>
        </w:tc>
        <w:tc>
          <w:tcPr>
            <w:tcW w:w="851" w:type="dxa"/>
            <w:shd w:val="clear" w:color="auto" w:fill="F2F2F2" w:themeFill="background1" w:themeFillShade="F2"/>
          </w:tcPr>
          <w:p w14:paraId="6F761E04" w14:textId="77777777" w:rsidR="00B42FE7" w:rsidRPr="00D53936" w:rsidRDefault="00B42FE7" w:rsidP="00A1663A">
            <w:pPr>
              <w:spacing w:line="240" w:lineRule="atLeast"/>
              <w:jc w:val="center"/>
              <w:rPr>
                <w:b/>
                <w:bCs/>
                <w:color w:val="000000"/>
                <w:lang w:eastAsia="lt-LT"/>
              </w:rPr>
            </w:pPr>
            <w:r>
              <w:rPr>
                <w:b/>
                <w:bCs/>
                <w:color w:val="000000"/>
                <w:lang w:eastAsia="lt-LT"/>
              </w:rPr>
              <w:t>be PVM</w:t>
            </w:r>
          </w:p>
        </w:tc>
        <w:tc>
          <w:tcPr>
            <w:tcW w:w="992" w:type="dxa"/>
            <w:shd w:val="clear" w:color="auto" w:fill="F2F2F2" w:themeFill="background1" w:themeFillShade="F2"/>
          </w:tcPr>
          <w:p w14:paraId="216A80C8" w14:textId="77777777" w:rsidR="00B42FE7" w:rsidRPr="00D53936" w:rsidRDefault="00B42FE7" w:rsidP="00A1663A">
            <w:pPr>
              <w:spacing w:line="240" w:lineRule="atLeast"/>
              <w:jc w:val="center"/>
              <w:rPr>
                <w:b/>
                <w:bCs/>
                <w:color w:val="000000"/>
                <w:lang w:eastAsia="lt-LT"/>
              </w:rPr>
            </w:pPr>
            <w:r>
              <w:rPr>
                <w:b/>
                <w:bCs/>
                <w:color w:val="000000"/>
                <w:lang w:eastAsia="lt-LT"/>
              </w:rPr>
              <w:t>su PVM</w:t>
            </w:r>
          </w:p>
        </w:tc>
        <w:tc>
          <w:tcPr>
            <w:tcW w:w="1276" w:type="dxa"/>
            <w:vMerge/>
            <w:shd w:val="clear" w:color="auto" w:fill="F2F2F2" w:themeFill="background1" w:themeFillShade="F2"/>
            <w:vAlign w:val="center"/>
          </w:tcPr>
          <w:p w14:paraId="0DDB3FEB" w14:textId="77777777" w:rsidR="00B42FE7" w:rsidRPr="00D53936" w:rsidRDefault="00B42FE7" w:rsidP="00A1663A">
            <w:pPr>
              <w:spacing w:line="240" w:lineRule="atLeast"/>
              <w:jc w:val="center"/>
              <w:rPr>
                <w:b/>
                <w:bCs/>
                <w:lang w:eastAsia="lt-LT"/>
              </w:rPr>
            </w:pPr>
          </w:p>
        </w:tc>
        <w:tc>
          <w:tcPr>
            <w:tcW w:w="1134" w:type="dxa"/>
            <w:vMerge/>
            <w:shd w:val="clear" w:color="auto" w:fill="F2F2F2" w:themeFill="background1" w:themeFillShade="F2"/>
          </w:tcPr>
          <w:p w14:paraId="2F2FC3E2" w14:textId="77777777" w:rsidR="00B42FE7" w:rsidRPr="00D53936" w:rsidRDefault="00B42FE7" w:rsidP="00A1663A">
            <w:pPr>
              <w:spacing w:line="240" w:lineRule="atLeast"/>
              <w:jc w:val="center"/>
              <w:rPr>
                <w:b/>
                <w:bCs/>
                <w:lang w:eastAsia="lt-LT"/>
              </w:rPr>
            </w:pPr>
          </w:p>
        </w:tc>
      </w:tr>
      <w:tr w:rsidR="00B42FE7" w:rsidRPr="00D53936" w14:paraId="08DCC49C" w14:textId="77777777" w:rsidTr="00B42FE7">
        <w:trPr>
          <w:cantSplit/>
          <w:trHeight w:val="70"/>
        </w:trPr>
        <w:tc>
          <w:tcPr>
            <w:tcW w:w="567" w:type="dxa"/>
            <w:shd w:val="clear" w:color="auto" w:fill="F2F2F2" w:themeFill="background1" w:themeFillShade="F2"/>
            <w:vAlign w:val="center"/>
          </w:tcPr>
          <w:p w14:paraId="34A85DCC" w14:textId="77777777" w:rsidR="00B42FE7" w:rsidRPr="00D53936" w:rsidRDefault="00B42FE7" w:rsidP="00A1663A">
            <w:pPr>
              <w:ind w:left="-79"/>
              <w:jc w:val="center"/>
              <w:rPr>
                <w:i/>
                <w:sz w:val="20"/>
                <w:szCs w:val="20"/>
                <w:lang w:eastAsia="ru-RU"/>
              </w:rPr>
            </w:pPr>
            <w:r w:rsidRPr="00D53936">
              <w:rPr>
                <w:i/>
                <w:sz w:val="20"/>
                <w:szCs w:val="20"/>
                <w:lang w:eastAsia="ru-RU"/>
              </w:rPr>
              <w:t>1</w:t>
            </w:r>
          </w:p>
        </w:tc>
        <w:tc>
          <w:tcPr>
            <w:tcW w:w="4111" w:type="dxa"/>
            <w:shd w:val="clear" w:color="auto" w:fill="F2F2F2" w:themeFill="background1" w:themeFillShade="F2"/>
            <w:vAlign w:val="center"/>
          </w:tcPr>
          <w:p w14:paraId="3A231DDF" w14:textId="77777777" w:rsidR="00B42FE7" w:rsidRPr="00D53936" w:rsidRDefault="00B42FE7" w:rsidP="00A1663A">
            <w:pPr>
              <w:spacing w:line="240" w:lineRule="atLeast"/>
              <w:jc w:val="center"/>
              <w:rPr>
                <w:i/>
                <w:sz w:val="20"/>
                <w:szCs w:val="20"/>
                <w:lang w:eastAsia="lt-LT"/>
              </w:rPr>
            </w:pPr>
            <w:r w:rsidRPr="00D53936">
              <w:rPr>
                <w:i/>
                <w:sz w:val="20"/>
                <w:szCs w:val="20"/>
                <w:lang w:eastAsia="lt-LT"/>
              </w:rPr>
              <w:t>2</w:t>
            </w:r>
          </w:p>
        </w:tc>
        <w:tc>
          <w:tcPr>
            <w:tcW w:w="992" w:type="dxa"/>
            <w:shd w:val="clear" w:color="auto" w:fill="F2F2F2" w:themeFill="background1" w:themeFillShade="F2"/>
            <w:vAlign w:val="center"/>
          </w:tcPr>
          <w:p w14:paraId="703DC7C7" w14:textId="77777777" w:rsidR="00B42FE7" w:rsidRPr="00D53936" w:rsidRDefault="00B42FE7" w:rsidP="00A1663A">
            <w:pPr>
              <w:spacing w:line="240" w:lineRule="atLeast"/>
              <w:jc w:val="center"/>
              <w:rPr>
                <w:i/>
                <w:sz w:val="20"/>
                <w:szCs w:val="20"/>
                <w:lang w:eastAsia="lt-LT"/>
              </w:rPr>
            </w:pPr>
            <w:r w:rsidRPr="00D53936">
              <w:rPr>
                <w:i/>
                <w:sz w:val="20"/>
                <w:szCs w:val="20"/>
                <w:lang w:eastAsia="lt-LT"/>
              </w:rPr>
              <w:t>3</w:t>
            </w:r>
          </w:p>
        </w:tc>
        <w:tc>
          <w:tcPr>
            <w:tcW w:w="851" w:type="dxa"/>
            <w:shd w:val="clear" w:color="auto" w:fill="F2F2F2" w:themeFill="background1" w:themeFillShade="F2"/>
          </w:tcPr>
          <w:p w14:paraId="0D262059" w14:textId="77777777" w:rsidR="00B42FE7" w:rsidRPr="00D53936" w:rsidRDefault="00B42FE7" w:rsidP="00A1663A">
            <w:pPr>
              <w:spacing w:line="240" w:lineRule="atLeast"/>
              <w:jc w:val="center"/>
              <w:rPr>
                <w:i/>
                <w:sz w:val="20"/>
                <w:szCs w:val="20"/>
                <w:lang w:eastAsia="lt-LT"/>
              </w:rPr>
            </w:pPr>
            <w:r>
              <w:rPr>
                <w:i/>
                <w:sz w:val="20"/>
                <w:szCs w:val="20"/>
                <w:lang w:eastAsia="lt-LT"/>
              </w:rPr>
              <w:t>4</w:t>
            </w:r>
          </w:p>
        </w:tc>
        <w:tc>
          <w:tcPr>
            <w:tcW w:w="992" w:type="dxa"/>
            <w:shd w:val="clear" w:color="auto" w:fill="F2F2F2" w:themeFill="background1" w:themeFillShade="F2"/>
          </w:tcPr>
          <w:p w14:paraId="0AB39DF9" w14:textId="77777777" w:rsidR="00B42FE7" w:rsidRPr="00D53936" w:rsidRDefault="00B42FE7" w:rsidP="00A1663A">
            <w:pPr>
              <w:spacing w:line="240" w:lineRule="atLeast"/>
              <w:jc w:val="center"/>
              <w:rPr>
                <w:i/>
                <w:sz w:val="20"/>
                <w:szCs w:val="20"/>
                <w:lang w:eastAsia="lt-LT"/>
              </w:rPr>
            </w:pPr>
            <w:r>
              <w:rPr>
                <w:i/>
                <w:sz w:val="20"/>
                <w:szCs w:val="20"/>
                <w:lang w:eastAsia="lt-LT"/>
              </w:rPr>
              <w:t>5</w:t>
            </w:r>
          </w:p>
        </w:tc>
        <w:tc>
          <w:tcPr>
            <w:tcW w:w="1276" w:type="dxa"/>
            <w:shd w:val="clear" w:color="auto" w:fill="F2F2F2" w:themeFill="background1" w:themeFillShade="F2"/>
            <w:vAlign w:val="center"/>
          </w:tcPr>
          <w:p w14:paraId="27C0104E" w14:textId="77777777" w:rsidR="00B42FE7" w:rsidRPr="00D53936" w:rsidRDefault="00B42FE7" w:rsidP="00A1663A">
            <w:pPr>
              <w:spacing w:line="240" w:lineRule="atLeast"/>
              <w:jc w:val="center"/>
              <w:rPr>
                <w:i/>
                <w:sz w:val="20"/>
                <w:szCs w:val="20"/>
                <w:lang w:eastAsia="lt-LT"/>
              </w:rPr>
            </w:pPr>
            <w:r>
              <w:rPr>
                <w:i/>
                <w:sz w:val="20"/>
                <w:szCs w:val="20"/>
                <w:lang w:eastAsia="lt-LT"/>
              </w:rPr>
              <w:t>6</w:t>
            </w:r>
          </w:p>
        </w:tc>
        <w:tc>
          <w:tcPr>
            <w:tcW w:w="1134" w:type="dxa"/>
            <w:shd w:val="clear" w:color="auto" w:fill="F2F2F2" w:themeFill="background1" w:themeFillShade="F2"/>
          </w:tcPr>
          <w:p w14:paraId="0E3E58AE" w14:textId="77777777" w:rsidR="00B42FE7" w:rsidRPr="003F0E34" w:rsidRDefault="00B42FE7" w:rsidP="00A1663A">
            <w:pPr>
              <w:spacing w:line="240" w:lineRule="atLeast"/>
              <w:jc w:val="center"/>
              <w:rPr>
                <w:i/>
                <w:sz w:val="20"/>
                <w:szCs w:val="20"/>
                <w:lang w:val="en-US" w:eastAsia="lt-LT"/>
              </w:rPr>
            </w:pPr>
            <w:r>
              <w:rPr>
                <w:i/>
                <w:sz w:val="20"/>
                <w:szCs w:val="20"/>
                <w:lang w:eastAsia="lt-LT"/>
              </w:rPr>
              <w:t>7</w:t>
            </w:r>
            <w:r>
              <w:rPr>
                <w:i/>
                <w:sz w:val="20"/>
                <w:szCs w:val="20"/>
                <w:lang w:val="en-US" w:eastAsia="lt-LT"/>
              </w:rPr>
              <w:t>=5x6</w:t>
            </w:r>
          </w:p>
        </w:tc>
      </w:tr>
      <w:tr w:rsidR="000C1C50" w:rsidRPr="00D53936" w14:paraId="5A3A0A2A" w14:textId="77777777" w:rsidTr="00F91552">
        <w:trPr>
          <w:cantSplit/>
        </w:trPr>
        <w:tc>
          <w:tcPr>
            <w:tcW w:w="567" w:type="dxa"/>
            <w:shd w:val="clear" w:color="auto" w:fill="auto"/>
          </w:tcPr>
          <w:p w14:paraId="186F4D65" w14:textId="77777777" w:rsidR="000C1C50" w:rsidRPr="00D53936" w:rsidRDefault="000C1C50" w:rsidP="000C1C50">
            <w:pPr>
              <w:jc w:val="center"/>
              <w:rPr>
                <w:lang w:eastAsia="lt-LT"/>
              </w:rPr>
            </w:pPr>
            <w:r w:rsidRPr="00D53936">
              <w:rPr>
                <w:color w:val="000000"/>
                <w:lang w:eastAsia="lt-LT"/>
              </w:rPr>
              <w:t>1.</w:t>
            </w:r>
          </w:p>
        </w:tc>
        <w:tc>
          <w:tcPr>
            <w:tcW w:w="4111" w:type="dxa"/>
          </w:tcPr>
          <w:p w14:paraId="00F8E26E" w14:textId="08529B5A" w:rsidR="000C1C50" w:rsidRPr="000C1C50" w:rsidRDefault="000C1C50" w:rsidP="000C1C50">
            <w:pPr>
              <w:spacing w:line="240" w:lineRule="atLeast"/>
              <w:jc w:val="both"/>
              <w:rPr>
                <w:sz w:val="22"/>
                <w:szCs w:val="22"/>
                <w:lang w:eastAsia="lt-LT"/>
              </w:rPr>
            </w:pPr>
            <w:r w:rsidRPr="000C1C50">
              <w:rPr>
                <w:sz w:val="22"/>
                <w:szCs w:val="22"/>
              </w:rPr>
              <w:t>Esamų vamzdynų ardymas</w:t>
            </w:r>
          </w:p>
        </w:tc>
        <w:tc>
          <w:tcPr>
            <w:tcW w:w="992" w:type="dxa"/>
          </w:tcPr>
          <w:p w14:paraId="6713350E" w14:textId="686220BA" w:rsidR="000C1C50" w:rsidRPr="000C1C50" w:rsidRDefault="000C1C50" w:rsidP="000C1C50">
            <w:pPr>
              <w:spacing w:line="240" w:lineRule="atLeast"/>
              <w:jc w:val="center"/>
              <w:rPr>
                <w:sz w:val="22"/>
                <w:szCs w:val="22"/>
                <w:lang w:eastAsia="lt-LT"/>
              </w:rPr>
            </w:pPr>
            <w:r w:rsidRPr="000C1C50">
              <w:rPr>
                <w:sz w:val="22"/>
                <w:szCs w:val="22"/>
              </w:rPr>
              <w:t>m</w:t>
            </w:r>
          </w:p>
        </w:tc>
        <w:tc>
          <w:tcPr>
            <w:tcW w:w="851" w:type="dxa"/>
          </w:tcPr>
          <w:p w14:paraId="66E74289" w14:textId="77777777" w:rsidR="000C1C50" w:rsidRPr="000C1C50" w:rsidRDefault="000C1C50" w:rsidP="000C1C50">
            <w:pPr>
              <w:spacing w:line="240" w:lineRule="atLeast"/>
              <w:jc w:val="center"/>
              <w:rPr>
                <w:sz w:val="22"/>
                <w:szCs w:val="22"/>
                <w:lang w:eastAsia="lt-LT"/>
              </w:rPr>
            </w:pPr>
          </w:p>
        </w:tc>
        <w:tc>
          <w:tcPr>
            <w:tcW w:w="992" w:type="dxa"/>
          </w:tcPr>
          <w:p w14:paraId="50F06F04" w14:textId="77777777" w:rsidR="000C1C50" w:rsidRPr="000C1C50" w:rsidRDefault="000C1C50" w:rsidP="000C1C50">
            <w:pPr>
              <w:spacing w:line="240" w:lineRule="atLeast"/>
              <w:jc w:val="center"/>
              <w:rPr>
                <w:sz w:val="22"/>
                <w:szCs w:val="22"/>
                <w:lang w:eastAsia="lt-LT"/>
              </w:rPr>
            </w:pPr>
          </w:p>
        </w:tc>
        <w:tc>
          <w:tcPr>
            <w:tcW w:w="1276" w:type="dxa"/>
          </w:tcPr>
          <w:p w14:paraId="32DFBFD9" w14:textId="383C1EE0" w:rsidR="000C1C50" w:rsidRPr="000C1C50" w:rsidRDefault="000C1C50" w:rsidP="000C1C50">
            <w:pPr>
              <w:spacing w:line="240" w:lineRule="atLeast"/>
              <w:jc w:val="center"/>
              <w:rPr>
                <w:sz w:val="22"/>
                <w:szCs w:val="22"/>
                <w:lang w:eastAsia="lt-LT"/>
              </w:rPr>
            </w:pPr>
            <w:r w:rsidRPr="000C1C50">
              <w:rPr>
                <w:sz w:val="22"/>
                <w:szCs w:val="22"/>
              </w:rPr>
              <w:t>200</w:t>
            </w:r>
          </w:p>
        </w:tc>
        <w:tc>
          <w:tcPr>
            <w:tcW w:w="1134" w:type="dxa"/>
          </w:tcPr>
          <w:p w14:paraId="4CCFC80A" w14:textId="77777777" w:rsidR="000C1C50" w:rsidRPr="00D53936" w:rsidRDefault="000C1C50" w:rsidP="000C1C50">
            <w:pPr>
              <w:spacing w:line="240" w:lineRule="atLeast"/>
              <w:jc w:val="center"/>
              <w:rPr>
                <w:lang w:eastAsia="lt-LT"/>
              </w:rPr>
            </w:pPr>
          </w:p>
        </w:tc>
      </w:tr>
      <w:tr w:rsidR="000C1C50" w:rsidRPr="00D53936" w14:paraId="20F6E438" w14:textId="77777777" w:rsidTr="00F91552">
        <w:trPr>
          <w:cantSplit/>
        </w:trPr>
        <w:tc>
          <w:tcPr>
            <w:tcW w:w="567" w:type="dxa"/>
            <w:shd w:val="clear" w:color="auto" w:fill="auto"/>
          </w:tcPr>
          <w:p w14:paraId="7FA4C1A0" w14:textId="77777777" w:rsidR="000C1C50" w:rsidRPr="00D53936" w:rsidRDefault="000C1C50" w:rsidP="000C1C50">
            <w:pPr>
              <w:jc w:val="center"/>
              <w:rPr>
                <w:color w:val="000000"/>
                <w:lang w:eastAsia="lt-LT"/>
              </w:rPr>
            </w:pPr>
            <w:r w:rsidRPr="00D53936">
              <w:rPr>
                <w:color w:val="000000"/>
                <w:lang w:eastAsia="lt-LT"/>
              </w:rPr>
              <w:t>2.</w:t>
            </w:r>
          </w:p>
        </w:tc>
        <w:tc>
          <w:tcPr>
            <w:tcW w:w="4111" w:type="dxa"/>
          </w:tcPr>
          <w:p w14:paraId="6EA50531" w14:textId="033AB30E" w:rsidR="000C1C50" w:rsidRPr="000C1C50" w:rsidRDefault="000C1C50" w:rsidP="000C1C50">
            <w:pPr>
              <w:spacing w:line="240" w:lineRule="atLeast"/>
              <w:jc w:val="both"/>
              <w:rPr>
                <w:color w:val="000000"/>
                <w:sz w:val="22"/>
                <w:szCs w:val="22"/>
                <w:lang w:eastAsia="lt-LT"/>
              </w:rPr>
            </w:pPr>
            <w:r w:rsidRPr="000C1C50">
              <w:rPr>
                <w:sz w:val="22"/>
                <w:szCs w:val="22"/>
              </w:rPr>
              <w:t>Šildymo sistemos iš plieninių vamzdžių tiesimas</w:t>
            </w:r>
          </w:p>
        </w:tc>
        <w:tc>
          <w:tcPr>
            <w:tcW w:w="992" w:type="dxa"/>
          </w:tcPr>
          <w:p w14:paraId="4BC5228F" w14:textId="178E6746" w:rsidR="000C1C50" w:rsidRPr="000C1C50" w:rsidRDefault="000C1C50" w:rsidP="000C1C50">
            <w:pPr>
              <w:spacing w:line="240" w:lineRule="atLeast"/>
              <w:jc w:val="center"/>
              <w:rPr>
                <w:color w:val="000000"/>
                <w:sz w:val="22"/>
                <w:szCs w:val="22"/>
                <w:lang w:eastAsia="lt-LT"/>
              </w:rPr>
            </w:pPr>
            <w:r w:rsidRPr="000C1C50">
              <w:rPr>
                <w:sz w:val="22"/>
                <w:szCs w:val="22"/>
              </w:rPr>
              <w:t>m</w:t>
            </w:r>
          </w:p>
        </w:tc>
        <w:tc>
          <w:tcPr>
            <w:tcW w:w="851" w:type="dxa"/>
          </w:tcPr>
          <w:p w14:paraId="64CBA83B" w14:textId="77777777" w:rsidR="000C1C50" w:rsidRPr="000C1C50" w:rsidRDefault="000C1C50" w:rsidP="000C1C50">
            <w:pPr>
              <w:spacing w:line="240" w:lineRule="atLeast"/>
              <w:jc w:val="center"/>
              <w:rPr>
                <w:sz w:val="22"/>
                <w:szCs w:val="22"/>
                <w:lang w:eastAsia="lt-LT"/>
              </w:rPr>
            </w:pPr>
          </w:p>
        </w:tc>
        <w:tc>
          <w:tcPr>
            <w:tcW w:w="992" w:type="dxa"/>
          </w:tcPr>
          <w:p w14:paraId="7401C8EE" w14:textId="77777777" w:rsidR="000C1C50" w:rsidRPr="000C1C50" w:rsidRDefault="000C1C50" w:rsidP="000C1C50">
            <w:pPr>
              <w:spacing w:line="240" w:lineRule="atLeast"/>
              <w:jc w:val="center"/>
              <w:rPr>
                <w:sz w:val="22"/>
                <w:szCs w:val="22"/>
                <w:lang w:eastAsia="lt-LT"/>
              </w:rPr>
            </w:pPr>
          </w:p>
        </w:tc>
        <w:tc>
          <w:tcPr>
            <w:tcW w:w="1276" w:type="dxa"/>
          </w:tcPr>
          <w:p w14:paraId="03864914" w14:textId="497864CD" w:rsidR="000C1C50" w:rsidRPr="000C1C50" w:rsidRDefault="000C1C50" w:rsidP="000C1C50">
            <w:pPr>
              <w:spacing w:line="240" w:lineRule="atLeast"/>
              <w:jc w:val="center"/>
              <w:rPr>
                <w:sz w:val="22"/>
                <w:szCs w:val="22"/>
                <w:lang w:eastAsia="lt-LT"/>
              </w:rPr>
            </w:pPr>
            <w:r w:rsidRPr="000C1C50">
              <w:rPr>
                <w:sz w:val="22"/>
                <w:szCs w:val="22"/>
              </w:rPr>
              <w:t>200</w:t>
            </w:r>
          </w:p>
        </w:tc>
        <w:tc>
          <w:tcPr>
            <w:tcW w:w="1134" w:type="dxa"/>
          </w:tcPr>
          <w:p w14:paraId="51AE260F" w14:textId="77777777" w:rsidR="000C1C50" w:rsidRPr="00D53936" w:rsidRDefault="000C1C50" w:rsidP="000C1C50">
            <w:pPr>
              <w:spacing w:line="240" w:lineRule="atLeast"/>
              <w:jc w:val="center"/>
              <w:rPr>
                <w:lang w:eastAsia="lt-LT"/>
              </w:rPr>
            </w:pPr>
          </w:p>
        </w:tc>
      </w:tr>
      <w:tr w:rsidR="000C1C50" w:rsidRPr="00D53936" w14:paraId="7AEA7CBB" w14:textId="77777777" w:rsidTr="00F91552">
        <w:trPr>
          <w:cantSplit/>
        </w:trPr>
        <w:tc>
          <w:tcPr>
            <w:tcW w:w="567" w:type="dxa"/>
            <w:shd w:val="clear" w:color="auto" w:fill="auto"/>
          </w:tcPr>
          <w:p w14:paraId="3A9DF8DC" w14:textId="77777777" w:rsidR="000C1C50" w:rsidRPr="00D53936" w:rsidRDefault="000C1C50" w:rsidP="000C1C50">
            <w:pPr>
              <w:jc w:val="center"/>
              <w:rPr>
                <w:color w:val="000000"/>
                <w:lang w:eastAsia="lt-LT"/>
              </w:rPr>
            </w:pPr>
            <w:r w:rsidRPr="00D53936">
              <w:rPr>
                <w:color w:val="000000"/>
                <w:lang w:eastAsia="lt-LT"/>
              </w:rPr>
              <w:t>3.</w:t>
            </w:r>
          </w:p>
        </w:tc>
        <w:tc>
          <w:tcPr>
            <w:tcW w:w="4111" w:type="dxa"/>
          </w:tcPr>
          <w:p w14:paraId="5960D275" w14:textId="0C6A1F9D" w:rsidR="000C1C50" w:rsidRPr="000C1C50" w:rsidRDefault="000C1C50" w:rsidP="000C1C50">
            <w:pPr>
              <w:spacing w:line="240" w:lineRule="atLeast"/>
              <w:jc w:val="both"/>
              <w:rPr>
                <w:color w:val="000000"/>
                <w:sz w:val="22"/>
                <w:szCs w:val="22"/>
                <w:lang w:eastAsia="lt-LT"/>
              </w:rPr>
            </w:pPr>
            <w:r w:rsidRPr="000C1C50">
              <w:rPr>
                <w:sz w:val="22"/>
                <w:szCs w:val="22"/>
              </w:rPr>
              <w:t>Uždaromosios armatūros stovams keitimas</w:t>
            </w:r>
          </w:p>
        </w:tc>
        <w:tc>
          <w:tcPr>
            <w:tcW w:w="992" w:type="dxa"/>
          </w:tcPr>
          <w:p w14:paraId="7276B7BB" w14:textId="77AE7F4F" w:rsidR="000C1C50" w:rsidRPr="000C1C50" w:rsidRDefault="000C1C50" w:rsidP="000C1C50">
            <w:pPr>
              <w:spacing w:line="240" w:lineRule="atLeast"/>
              <w:jc w:val="center"/>
              <w:rPr>
                <w:color w:val="000000"/>
                <w:sz w:val="22"/>
                <w:szCs w:val="22"/>
                <w:vertAlign w:val="superscript"/>
                <w:lang w:eastAsia="lt-LT"/>
              </w:rPr>
            </w:pPr>
            <w:r w:rsidRPr="000C1C50">
              <w:rPr>
                <w:sz w:val="22"/>
                <w:szCs w:val="22"/>
              </w:rPr>
              <w:t>vnt.</w:t>
            </w:r>
          </w:p>
        </w:tc>
        <w:tc>
          <w:tcPr>
            <w:tcW w:w="851" w:type="dxa"/>
          </w:tcPr>
          <w:p w14:paraId="4F7369FC" w14:textId="77777777" w:rsidR="000C1C50" w:rsidRPr="000C1C50" w:rsidRDefault="000C1C50" w:rsidP="000C1C50">
            <w:pPr>
              <w:spacing w:line="240" w:lineRule="atLeast"/>
              <w:jc w:val="center"/>
              <w:rPr>
                <w:color w:val="000000"/>
                <w:sz w:val="22"/>
                <w:szCs w:val="22"/>
                <w:lang w:eastAsia="lt-LT"/>
              </w:rPr>
            </w:pPr>
          </w:p>
        </w:tc>
        <w:tc>
          <w:tcPr>
            <w:tcW w:w="992" w:type="dxa"/>
          </w:tcPr>
          <w:p w14:paraId="19B5B580" w14:textId="77777777" w:rsidR="000C1C50" w:rsidRPr="000C1C50" w:rsidRDefault="000C1C50" w:rsidP="000C1C50">
            <w:pPr>
              <w:spacing w:line="240" w:lineRule="atLeast"/>
              <w:jc w:val="center"/>
              <w:rPr>
                <w:color w:val="000000"/>
                <w:sz w:val="22"/>
                <w:szCs w:val="22"/>
                <w:lang w:eastAsia="lt-LT"/>
              </w:rPr>
            </w:pPr>
          </w:p>
        </w:tc>
        <w:tc>
          <w:tcPr>
            <w:tcW w:w="1276" w:type="dxa"/>
          </w:tcPr>
          <w:p w14:paraId="6B00B7E1" w14:textId="1D8EECC6" w:rsidR="000C1C50" w:rsidRPr="000C1C50" w:rsidRDefault="000C1C50" w:rsidP="000C1C50">
            <w:pPr>
              <w:spacing w:line="240" w:lineRule="atLeast"/>
              <w:jc w:val="center"/>
              <w:rPr>
                <w:color w:val="000000"/>
                <w:sz w:val="22"/>
                <w:szCs w:val="22"/>
                <w:lang w:eastAsia="lt-LT"/>
              </w:rPr>
            </w:pPr>
            <w:r w:rsidRPr="000C1C50">
              <w:rPr>
                <w:sz w:val="22"/>
                <w:szCs w:val="22"/>
              </w:rPr>
              <w:t>26</w:t>
            </w:r>
          </w:p>
        </w:tc>
        <w:tc>
          <w:tcPr>
            <w:tcW w:w="1134" w:type="dxa"/>
          </w:tcPr>
          <w:p w14:paraId="159B1E6A" w14:textId="77777777" w:rsidR="000C1C50" w:rsidRPr="00D53936" w:rsidRDefault="000C1C50" w:rsidP="000C1C50">
            <w:pPr>
              <w:spacing w:line="240" w:lineRule="atLeast"/>
              <w:jc w:val="center"/>
              <w:rPr>
                <w:color w:val="000000"/>
                <w:lang w:eastAsia="lt-LT"/>
              </w:rPr>
            </w:pPr>
          </w:p>
        </w:tc>
      </w:tr>
      <w:tr w:rsidR="000C1C50" w:rsidRPr="00D53936" w14:paraId="265F37C2" w14:textId="77777777" w:rsidTr="00F91552">
        <w:trPr>
          <w:cantSplit/>
        </w:trPr>
        <w:tc>
          <w:tcPr>
            <w:tcW w:w="567" w:type="dxa"/>
            <w:shd w:val="clear" w:color="auto" w:fill="auto"/>
          </w:tcPr>
          <w:p w14:paraId="10C002EE" w14:textId="77777777" w:rsidR="000C1C50" w:rsidRPr="00D53936" w:rsidRDefault="000C1C50" w:rsidP="000C1C50">
            <w:pPr>
              <w:jc w:val="center"/>
              <w:rPr>
                <w:color w:val="000000"/>
                <w:lang w:eastAsia="lt-LT"/>
              </w:rPr>
            </w:pPr>
            <w:r w:rsidRPr="00D53936">
              <w:rPr>
                <w:color w:val="000000"/>
                <w:lang w:eastAsia="lt-LT"/>
              </w:rPr>
              <w:t>4.</w:t>
            </w:r>
          </w:p>
        </w:tc>
        <w:tc>
          <w:tcPr>
            <w:tcW w:w="4111" w:type="dxa"/>
          </w:tcPr>
          <w:p w14:paraId="313D14A4" w14:textId="75FE8662" w:rsidR="000C1C50" w:rsidRPr="000C1C50" w:rsidRDefault="000C1C50" w:rsidP="000C1C50">
            <w:pPr>
              <w:spacing w:line="240" w:lineRule="atLeast"/>
              <w:jc w:val="both"/>
              <w:rPr>
                <w:color w:val="000000"/>
                <w:sz w:val="22"/>
                <w:szCs w:val="22"/>
                <w:lang w:eastAsia="lt-LT"/>
              </w:rPr>
            </w:pPr>
            <w:r w:rsidRPr="000C1C50">
              <w:rPr>
                <w:sz w:val="22"/>
                <w:szCs w:val="22"/>
              </w:rPr>
              <w:t xml:space="preserve">Presuojamo plieno jungtys, trišakiai, movos, laikikliai, sandarinimo priemonės </w:t>
            </w:r>
          </w:p>
        </w:tc>
        <w:tc>
          <w:tcPr>
            <w:tcW w:w="992" w:type="dxa"/>
          </w:tcPr>
          <w:p w14:paraId="0F4DA98E" w14:textId="3156124D" w:rsidR="000C1C50" w:rsidRPr="000C1C50" w:rsidRDefault="000C1C50" w:rsidP="000C1C50">
            <w:pPr>
              <w:spacing w:line="240" w:lineRule="atLeast"/>
              <w:jc w:val="center"/>
              <w:rPr>
                <w:color w:val="000000"/>
                <w:sz w:val="22"/>
                <w:szCs w:val="22"/>
                <w:lang w:eastAsia="lt-LT"/>
              </w:rPr>
            </w:pPr>
            <w:r w:rsidRPr="000C1C50">
              <w:rPr>
                <w:sz w:val="22"/>
                <w:szCs w:val="22"/>
              </w:rPr>
              <w:t>kompl.</w:t>
            </w:r>
          </w:p>
        </w:tc>
        <w:tc>
          <w:tcPr>
            <w:tcW w:w="851" w:type="dxa"/>
          </w:tcPr>
          <w:p w14:paraId="316E5520" w14:textId="77777777" w:rsidR="000C1C50" w:rsidRPr="000C1C50" w:rsidRDefault="000C1C50" w:rsidP="000C1C50">
            <w:pPr>
              <w:spacing w:line="240" w:lineRule="atLeast"/>
              <w:jc w:val="center"/>
              <w:rPr>
                <w:color w:val="000000"/>
                <w:sz w:val="22"/>
                <w:szCs w:val="22"/>
                <w:lang w:eastAsia="lt-LT"/>
              </w:rPr>
            </w:pPr>
          </w:p>
        </w:tc>
        <w:tc>
          <w:tcPr>
            <w:tcW w:w="992" w:type="dxa"/>
          </w:tcPr>
          <w:p w14:paraId="70C46A5D" w14:textId="77777777" w:rsidR="000C1C50" w:rsidRPr="000C1C50" w:rsidRDefault="000C1C50" w:rsidP="000C1C50">
            <w:pPr>
              <w:spacing w:line="240" w:lineRule="atLeast"/>
              <w:jc w:val="center"/>
              <w:rPr>
                <w:color w:val="000000"/>
                <w:sz w:val="22"/>
                <w:szCs w:val="22"/>
                <w:lang w:eastAsia="lt-LT"/>
              </w:rPr>
            </w:pPr>
          </w:p>
        </w:tc>
        <w:tc>
          <w:tcPr>
            <w:tcW w:w="1276" w:type="dxa"/>
          </w:tcPr>
          <w:p w14:paraId="3A316566" w14:textId="12D46206" w:rsidR="000C1C50" w:rsidRPr="000C1C50" w:rsidRDefault="000C1C50" w:rsidP="000C1C50">
            <w:pPr>
              <w:spacing w:line="240" w:lineRule="atLeast"/>
              <w:jc w:val="center"/>
              <w:rPr>
                <w:color w:val="000000"/>
                <w:sz w:val="22"/>
                <w:szCs w:val="22"/>
                <w:lang w:eastAsia="lt-LT"/>
              </w:rPr>
            </w:pPr>
            <w:r w:rsidRPr="000C1C50">
              <w:rPr>
                <w:sz w:val="22"/>
                <w:szCs w:val="22"/>
              </w:rPr>
              <w:t>1</w:t>
            </w:r>
          </w:p>
        </w:tc>
        <w:tc>
          <w:tcPr>
            <w:tcW w:w="1134" w:type="dxa"/>
          </w:tcPr>
          <w:p w14:paraId="140BDE63" w14:textId="77777777" w:rsidR="000C1C50" w:rsidRPr="00D53936" w:rsidRDefault="000C1C50" w:rsidP="000C1C50">
            <w:pPr>
              <w:spacing w:line="240" w:lineRule="atLeast"/>
              <w:jc w:val="center"/>
              <w:rPr>
                <w:color w:val="000000"/>
                <w:lang w:eastAsia="lt-LT"/>
              </w:rPr>
            </w:pPr>
          </w:p>
        </w:tc>
      </w:tr>
      <w:tr w:rsidR="000C1C50" w:rsidRPr="00D53936" w14:paraId="1D7F960D" w14:textId="77777777" w:rsidTr="00F91552">
        <w:trPr>
          <w:cantSplit/>
        </w:trPr>
        <w:tc>
          <w:tcPr>
            <w:tcW w:w="567" w:type="dxa"/>
            <w:shd w:val="clear" w:color="auto" w:fill="auto"/>
          </w:tcPr>
          <w:p w14:paraId="2DEAE55E" w14:textId="77777777" w:rsidR="000C1C50" w:rsidRPr="00D53936" w:rsidRDefault="000C1C50" w:rsidP="000C1C50">
            <w:pPr>
              <w:jc w:val="center"/>
              <w:rPr>
                <w:color w:val="000000"/>
                <w:lang w:eastAsia="lt-LT"/>
              </w:rPr>
            </w:pPr>
            <w:r w:rsidRPr="00D53936">
              <w:rPr>
                <w:color w:val="000000"/>
                <w:lang w:eastAsia="lt-LT"/>
              </w:rPr>
              <w:t>5.</w:t>
            </w:r>
          </w:p>
        </w:tc>
        <w:tc>
          <w:tcPr>
            <w:tcW w:w="4111" w:type="dxa"/>
          </w:tcPr>
          <w:p w14:paraId="276E2376" w14:textId="40766632" w:rsidR="000C1C50" w:rsidRPr="000C1C50" w:rsidRDefault="000C1C50" w:rsidP="000C1C50">
            <w:pPr>
              <w:spacing w:line="240" w:lineRule="atLeast"/>
              <w:jc w:val="both"/>
              <w:rPr>
                <w:color w:val="000000"/>
                <w:sz w:val="22"/>
                <w:szCs w:val="22"/>
                <w:lang w:eastAsia="lt-LT"/>
              </w:rPr>
            </w:pPr>
            <w:r w:rsidRPr="000C1C50">
              <w:rPr>
                <w:sz w:val="22"/>
                <w:szCs w:val="22"/>
              </w:rPr>
              <w:t>Vamzdynų izoliavimas vatos kevalais storis ne mažiau 30 mm.</w:t>
            </w:r>
          </w:p>
        </w:tc>
        <w:tc>
          <w:tcPr>
            <w:tcW w:w="992" w:type="dxa"/>
          </w:tcPr>
          <w:p w14:paraId="47533750" w14:textId="4D1CAAE4" w:rsidR="000C1C50" w:rsidRPr="000C1C50" w:rsidRDefault="000C1C50" w:rsidP="000C1C50">
            <w:pPr>
              <w:spacing w:line="240" w:lineRule="atLeast"/>
              <w:jc w:val="center"/>
              <w:rPr>
                <w:color w:val="000000"/>
                <w:sz w:val="22"/>
                <w:szCs w:val="22"/>
                <w:lang w:eastAsia="lt-LT"/>
              </w:rPr>
            </w:pPr>
            <w:r w:rsidRPr="000C1C50">
              <w:rPr>
                <w:sz w:val="22"/>
                <w:szCs w:val="22"/>
              </w:rPr>
              <w:t>m</w:t>
            </w:r>
          </w:p>
        </w:tc>
        <w:tc>
          <w:tcPr>
            <w:tcW w:w="851" w:type="dxa"/>
          </w:tcPr>
          <w:p w14:paraId="5E7DE2E9" w14:textId="77777777" w:rsidR="000C1C50" w:rsidRPr="000C1C50" w:rsidRDefault="000C1C50" w:rsidP="000C1C50">
            <w:pPr>
              <w:spacing w:line="240" w:lineRule="atLeast"/>
              <w:jc w:val="center"/>
              <w:rPr>
                <w:color w:val="000000"/>
                <w:sz w:val="22"/>
                <w:szCs w:val="22"/>
                <w:lang w:eastAsia="lt-LT"/>
              </w:rPr>
            </w:pPr>
          </w:p>
        </w:tc>
        <w:tc>
          <w:tcPr>
            <w:tcW w:w="992" w:type="dxa"/>
          </w:tcPr>
          <w:p w14:paraId="1E76DF3C" w14:textId="77777777" w:rsidR="000C1C50" w:rsidRPr="000C1C50" w:rsidRDefault="000C1C50" w:rsidP="000C1C50">
            <w:pPr>
              <w:spacing w:line="240" w:lineRule="atLeast"/>
              <w:jc w:val="center"/>
              <w:rPr>
                <w:color w:val="000000"/>
                <w:sz w:val="22"/>
                <w:szCs w:val="22"/>
                <w:lang w:eastAsia="lt-LT"/>
              </w:rPr>
            </w:pPr>
          </w:p>
        </w:tc>
        <w:tc>
          <w:tcPr>
            <w:tcW w:w="1276" w:type="dxa"/>
          </w:tcPr>
          <w:p w14:paraId="515ECB6D" w14:textId="26FE84AC" w:rsidR="000C1C50" w:rsidRPr="000C1C50" w:rsidRDefault="000C1C50" w:rsidP="000C1C50">
            <w:pPr>
              <w:spacing w:line="240" w:lineRule="atLeast"/>
              <w:jc w:val="center"/>
              <w:rPr>
                <w:color w:val="000000"/>
                <w:sz w:val="22"/>
                <w:szCs w:val="22"/>
                <w:lang w:eastAsia="lt-LT"/>
              </w:rPr>
            </w:pPr>
            <w:r w:rsidRPr="000C1C50">
              <w:rPr>
                <w:sz w:val="22"/>
                <w:szCs w:val="22"/>
              </w:rPr>
              <w:t>200</w:t>
            </w:r>
          </w:p>
        </w:tc>
        <w:tc>
          <w:tcPr>
            <w:tcW w:w="1134" w:type="dxa"/>
          </w:tcPr>
          <w:p w14:paraId="3CAEEB24" w14:textId="77777777" w:rsidR="000C1C50" w:rsidRPr="00D53936" w:rsidRDefault="000C1C50" w:rsidP="000C1C50">
            <w:pPr>
              <w:spacing w:line="240" w:lineRule="atLeast"/>
              <w:jc w:val="center"/>
              <w:rPr>
                <w:color w:val="000000"/>
                <w:lang w:eastAsia="lt-LT"/>
              </w:rPr>
            </w:pPr>
          </w:p>
        </w:tc>
      </w:tr>
      <w:tr w:rsidR="000C1C50" w:rsidRPr="00D53936" w14:paraId="0CBCBCDB" w14:textId="77777777" w:rsidTr="00F91552">
        <w:trPr>
          <w:cantSplit/>
        </w:trPr>
        <w:tc>
          <w:tcPr>
            <w:tcW w:w="567" w:type="dxa"/>
            <w:shd w:val="clear" w:color="auto" w:fill="auto"/>
          </w:tcPr>
          <w:p w14:paraId="42AC3F9F" w14:textId="77777777" w:rsidR="000C1C50" w:rsidRPr="00D53936" w:rsidRDefault="000C1C50" w:rsidP="000C1C50">
            <w:pPr>
              <w:jc w:val="center"/>
              <w:rPr>
                <w:color w:val="000000"/>
                <w:lang w:eastAsia="lt-LT"/>
              </w:rPr>
            </w:pPr>
            <w:r w:rsidRPr="00D53936">
              <w:rPr>
                <w:color w:val="000000"/>
                <w:lang w:eastAsia="lt-LT"/>
              </w:rPr>
              <w:t>6.</w:t>
            </w:r>
          </w:p>
        </w:tc>
        <w:tc>
          <w:tcPr>
            <w:tcW w:w="4111" w:type="dxa"/>
          </w:tcPr>
          <w:p w14:paraId="65119ADD" w14:textId="2771327A" w:rsidR="000C1C50" w:rsidRPr="000C1C50" w:rsidRDefault="000C1C50" w:rsidP="000C1C50">
            <w:pPr>
              <w:spacing w:line="240" w:lineRule="atLeast"/>
              <w:jc w:val="both"/>
              <w:rPr>
                <w:color w:val="000000"/>
                <w:sz w:val="22"/>
                <w:szCs w:val="22"/>
                <w:lang w:eastAsia="lt-LT"/>
              </w:rPr>
            </w:pPr>
            <w:r w:rsidRPr="000C1C50">
              <w:rPr>
                <w:sz w:val="22"/>
                <w:szCs w:val="22"/>
              </w:rPr>
              <w:t>Šildymo sistemų vamzdynų hidraulinis bandymas (naujai sumontuotos sistemos)</w:t>
            </w:r>
          </w:p>
        </w:tc>
        <w:tc>
          <w:tcPr>
            <w:tcW w:w="992" w:type="dxa"/>
          </w:tcPr>
          <w:p w14:paraId="6F6F03E6" w14:textId="5FD4CB16" w:rsidR="000C1C50" w:rsidRPr="000C1C50" w:rsidRDefault="000C1C50" w:rsidP="000C1C50">
            <w:pPr>
              <w:spacing w:line="240" w:lineRule="atLeast"/>
              <w:jc w:val="center"/>
              <w:rPr>
                <w:color w:val="000000"/>
                <w:sz w:val="22"/>
                <w:szCs w:val="22"/>
                <w:lang w:eastAsia="lt-LT"/>
              </w:rPr>
            </w:pPr>
            <w:r w:rsidRPr="000C1C50">
              <w:rPr>
                <w:sz w:val="22"/>
                <w:szCs w:val="22"/>
              </w:rPr>
              <w:t>m</w:t>
            </w:r>
          </w:p>
        </w:tc>
        <w:tc>
          <w:tcPr>
            <w:tcW w:w="851" w:type="dxa"/>
          </w:tcPr>
          <w:p w14:paraId="10F572D0" w14:textId="77777777" w:rsidR="000C1C50" w:rsidRPr="000C1C50" w:rsidRDefault="000C1C50" w:rsidP="000C1C50">
            <w:pPr>
              <w:spacing w:line="240" w:lineRule="atLeast"/>
              <w:jc w:val="center"/>
              <w:rPr>
                <w:color w:val="000000"/>
                <w:sz w:val="22"/>
                <w:szCs w:val="22"/>
                <w:lang w:eastAsia="lt-LT"/>
              </w:rPr>
            </w:pPr>
          </w:p>
        </w:tc>
        <w:tc>
          <w:tcPr>
            <w:tcW w:w="992" w:type="dxa"/>
          </w:tcPr>
          <w:p w14:paraId="33424A8A" w14:textId="77777777" w:rsidR="000C1C50" w:rsidRPr="000C1C50" w:rsidRDefault="000C1C50" w:rsidP="000C1C50">
            <w:pPr>
              <w:spacing w:line="240" w:lineRule="atLeast"/>
              <w:jc w:val="center"/>
              <w:rPr>
                <w:color w:val="000000"/>
                <w:sz w:val="22"/>
                <w:szCs w:val="22"/>
                <w:lang w:eastAsia="lt-LT"/>
              </w:rPr>
            </w:pPr>
          </w:p>
        </w:tc>
        <w:tc>
          <w:tcPr>
            <w:tcW w:w="1276" w:type="dxa"/>
          </w:tcPr>
          <w:p w14:paraId="113253B9" w14:textId="302EBF3F" w:rsidR="000C1C50" w:rsidRPr="000C1C50" w:rsidRDefault="000C1C50" w:rsidP="000C1C50">
            <w:pPr>
              <w:spacing w:line="240" w:lineRule="atLeast"/>
              <w:jc w:val="center"/>
              <w:rPr>
                <w:color w:val="000000"/>
                <w:sz w:val="22"/>
                <w:szCs w:val="22"/>
                <w:lang w:eastAsia="lt-LT"/>
              </w:rPr>
            </w:pPr>
            <w:r w:rsidRPr="000C1C50">
              <w:rPr>
                <w:sz w:val="22"/>
                <w:szCs w:val="22"/>
              </w:rPr>
              <w:t>200</w:t>
            </w:r>
          </w:p>
        </w:tc>
        <w:tc>
          <w:tcPr>
            <w:tcW w:w="1134" w:type="dxa"/>
          </w:tcPr>
          <w:p w14:paraId="52C28D8A" w14:textId="77777777" w:rsidR="000C1C50" w:rsidRPr="00D53936" w:rsidRDefault="000C1C50" w:rsidP="000C1C50">
            <w:pPr>
              <w:spacing w:line="240" w:lineRule="atLeast"/>
              <w:jc w:val="center"/>
              <w:rPr>
                <w:color w:val="000000"/>
                <w:lang w:eastAsia="lt-LT"/>
              </w:rPr>
            </w:pPr>
          </w:p>
        </w:tc>
      </w:tr>
      <w:tr w:rsidR="000C1C50" w:rsidRPr="00D53936" w14:paraId="23744409" w14:textId="77777777" w:rsidTr="00F91552">
        <w:trPr>
          <w:cantSplit/>
        </w:trPr>
        <w:tc>
          <w:tcPr>
            <w:tcW w:w="567" w:type="dxa"/>
            <w:shd w:val="clear" w:color="auto" w:fill="auto"/>
          </w:tcPr>
          <w:p w14:paraId="3FA5C93E" w14:textId="77777777" w:rsidR="000C1C50" w:rsidRPr="00D53936" w:rsidRDefault="000C1C50" w:rsidP="000C1C50">
            <w:pPr>
              <w:jc w:val="center"/>
              <w:rPr>
                <w:color w:val="000000"/>
                <w:lang w:eastAsia="lt-LT"/>
              </w:rPr>
            </w:pPr>
            <w:r w:rsidRPr="00D53936">
              <w:rPr>
                <w:color w:val="000000"/>
                <w:lang w:eastAsia="lt-LT"/>
              </w:rPr>
              <w:t>7.</w:t>
            </w:r>
          </w:p>
        </w:tc>
        <w:tc>
          <w:tcPr>
            <w:tcW w:w="4111" w:type="dxa"/>
          </w:tcPr>
          <w:p w14:paraId="56262564" w14:textId="6A3329D8" w:rsidR="000C1C50" w:rsidRPr="000C1C50" w:rsidRDefault="000C1C50" w:rsidP="000C1C50">
            <w:pPr>
              <w:spacing w:line="240" w:lineRule="atLeast"/>
              <w:jc w:val="both"/>
              <w:rPr>
                <w:color w:val="000000"/>
                <w:sz w:val="22"/>
                <w:szCs w:val="22"/>
                <w:lang w:eastAsia="lt-LT"/>
              </w:rPr>
            </w:pPr>
            <w:r w:rsidRPr="000C1C50">
              <w:rPr>
                <w:sz w:val="22"/>
                <w:szCs w:val="22"/>
              </w:rPr>
              <w:t>Šildymo sistemos atskirų stovų (atšakų) balansavimas</w:t>
            </w:r>
          </w:p>
        </w:tc>
        <w:tc>
          <w:tcPr>
            <w:tcW w:w="992" w:type="dxa"/>
          </w:tcPr>
          <w:p w14:paraId="10754D51" w14:textId="3CDDE47F" w:rsidR="000C1C50" w:rsidRPr="000C1C50" w:rsidRDefault="000C1C50" w:rsidP="000C1C50">
            <w:pPr>
              <w:spacing w:line="240" w:lineRule="atLeast"/>
              <w:jc w:val="center"/>
              <w:rPr>
                <w:color w:val="000000"/>
                <w:sz w:val="22"/>
                <w:szCs w:val="22"/>
                <w:lang w:eastAsia="lt-LT"/>
              </w:rPr>
            </w:pPr>
            <w:r w:rsidRPr="000C1C50">
              <w:rPr>
                <w:sz w:val="22"/>
                <w:szCs w:val="22"/>
              </w:rPr>
              <w:t xml:space="preserve">vnt. </w:t>
            </w:r>
          </w:p>
        </w:tc>
        <w:tc>
          <w:tcPr>
            <w:tcW w:w="851" w:type="dxa"/>
          </w:tcPr>
          <w:p w14:paraId="7F23C3AF" w14:textId="77777777" w:rsidR="000C1C50" w:rsidRPr="000C1C50" w:rsidRDefault="000C1C50" w:rsidP="000C1C50">
            <w:pPr>
              <w:spacing w:line="240" w:lineRule="atLeast"/>
              <w:jc w:val="center"/>
              <w:rPr>
                <w:color w:val="000000"/>
                <w:sz w:val="22"/>
                <w:szCs w:val="22"/>
                <w:lang w:eastAsia="lt-LT"/>
              </w:rPr>
            </w:pPr>
          </w:p>
        </w:tc>
        <w:tc>
          <w:tcPr>
            <w:tcW w:w="992" w:type="dxa"/>
          </w:tcPr>
          <w:p w14:paraId="1A1717AC" w14:textId="77777777" w:rsidR="000C1C50" w:rsidRPr="000C1C50" w:rsidRDefault="000C1C50" w:rsidP="000C1C50">
            <w:pPr>
              <w:spacing w:line="240" w:lineRule="atLeast"/>
              <w:jc w:val="center"/>
              <w:rPr>
                <w:color w:val="000000"/>
                <w:sz w:val="22"/>
                <w:szCs w:val="22"/>
                <w:lang w:eastAsia="lt-LT"/>
              </w:rPr>
            </w:pPr>
          </w:p>
        </w:tc>
        <w:tc>
          <w:tcPr>
            <w:tcW w:w="1276" w:type="dxa"/>
          </w:tcPr>
          <w:p w14:paraId="02F3E825" w14:textId="1822DF32" w:rsidR="000C1C50" w:rsidRPr="000C1C50" w:rsidRDefault="000C1C50" w:rsidP="000C1C50">
            <w:pPr>
              <w:spacing w:line="240" w:lineRule="atLeast"/>
              <w:jc w:val="center"/>
              <w:rPr>
                <w:color w:val="000000"/>
                <w:sz w:val="22"/>
                <w:szCs w:val="22"/>
                <w:lang w:eastAsia="lt-LT"/>
              </w:rPr>
            </w:pPr>
            <w:r w:rsidRPr="000C1C50">
              <w:rPr>
                <w:sz w:val="22"/>
                <w:szCs w:val="22"/>
              </w:rPr>
              <w:t>26</w:t>
            </w:r>
          </w:p>
        </w:tc>
        <w:tc>
          <w:tcPr>
            <w:tcW w:w="1134" w:type="dxa"/>
          </w:tcPr>
          <w:p w14:paraId="621D91EE" w14:textId="77777777" w:rsidR="000C1C50" w:rsidRPr="00D53936" w:rsidRDefault="000C1C50" w:rsidP="000C1C50">
            <w:pPr>
              <w:spacing w:line="240" w:lineRule="atLeast"/>
              <w:jc w:val="center"/>
              <w:rPr>
                <w:color w:val="000000"/>
                <w:lang w:eastAsia="lt-LT"/>
              </w:rPr>
            </w:pPr>
          </w:p>
        </w:tc>
      </w:tr>
      <w:tr w:rsidR="000C1C50" w:rsidRPr="00D53936" w14:paraId="0FA15E39" w14:textId="77777777" w:rsidTr="00F91552">
        <w:trPr>
          <w:cantSplit/>
        </w:trPr>
        <w:tc>
          <w:tcPr>
            <w:tcW w:w="567" w:type="dxa"/>
            <w:shd w:val="clear" w:color="auto" w:fill="auto"/>
          </w:tcPr>
          <w:p w14:paraId="3E62DF51" w14:textId="77777777" w:rsidR="000C1C50" w:rsidRPr="00D53936" w:rsidRDefault="000C1C50" w:rsidP="000C1C50">
            <w:pPr>
              <w:jc w:val="center"/>
              <w:rPr>
                <w:color w:val="000000"/>
                <w:lang w:eastAsia="lt-LT"/>
              </w:rPr>
            </w:pPr>
            <w:r w:rsidRPr="00D53936">
              <w:rPr>
                <w:color w:val="000000"/>
                <w:lang w:eastAsia="lt-LT"/>
              </w:rPr>
              <w:t>8.</w:t>
            </w:r>
          </w:p>
        </w:tc>
        <w:tc>
          <w:tcPr>
            <w:tcW w:w="4111" w:type="dxa"/>
          </w:tcPr>
          <w:p w14:paraId="721DFC4A" w14:textId="71235BE6" w:rsidR="000C1C50" w:rsidRPr="000C1C50" w:rsidRDefault="000C1C50" w:rsidP="000C1C50">
            <w:pPr>
              <w:spacing w:line="240" w:lineRule="atLeast"/>
              <w:jc w:val="both"/>
              <w:rPr>
                <w:color w:val="000000"/>
                <w:sz w:val="22"/>
                <w:szCs w:val="22"/>
                <w:lang w:eastAsia="lt-LT"/>
              </w:rPr>
            </w:pPr>
            <w:r w:rsidRPr="000C1C50">
              <w:rPr>
                <w:sz w:val="22"/>
                <w:szCs w:val="22"/>
              </w:rPr>
              <w:t>Šildymo sistemos atskirų stovų (atšakų) praplovimas</w:t>
            </w:r>
          </w:p>
        </w:tc>
        <w:tc>
          <w:tcPr>
            <w:tcW w:w="992" w:type="dxa"/>
          </w:tcPr>
          <w:p w14:paraId="0364A93C" w14:textId="697C80B2" w:rsidR="000C1C50" w:rsidRPr="000C1C50" w:rsidRDefault="000C1C50" w:rsidP="000C1C50">
            <w:pPr>
              <w:spacing w:line="240" w:lineRule="atLeast"/>
              <w:jc w:val="center"/>
              <w:rPr>
                <w:color w:val="000000"/>
                <w:sz w:val="22"/>
                <w:szCs w:val="22"/>
                <w:lang w:eastAsia="lt-LT"/>
              </w:rPr>
            </w:pPr>
            <w:r w:rsidRPr="000C1C50">
              <w:rPr>
                <w:sz w:val="22"/>
                <w:szCs w:val="22"/>
              </w:rPr>
              <w:t>vnt.</w:t>
            </w:r>
          </w:p>
        </w:tc>
        <w:tc>
          <w:tcPr>
            <w:tcW w:w="851" w:type="dxa"/>
          </w:tcPr>
          <w:p w14:paraId="47BD0A22" w14:textId="77777777" w:rsidR="000C1C50" w:rsidRPr="000C1C50" w:rsidRDefault="000C1C50" w:rsidP="000C1C50">
            <w:pPr>
              <w:spacing w:line="240" w:lineRule="atLeast"/>
              <w:jc w:val="center"/>
              <w:rPr>
                <w:color w:val="000000"/>
                <w:sz w:val="22"/>
                <w:szCs w:val="22"/>
                <w:lang w:eastAsia="lt-LT"/>
              </w:rPr>
            </w:pPr>
          </w:p>
        </w:tc>
        <w:tc>
          <w:tcPr>
            <w:tcW w:w="992" w:type="dxa"/>
          </w:tcPr>
          <w:p w14:paraId="3A3AA20E" w14:textId="77777777" w:rsidR="000C1C50" w:rsidRPr="000C1C50" w:rsidRDefault="000C1C50" w:rsidP="000C1C50">
            <w:pPr>
              <w:spacing w:line="240" w:lineRule="atLeast"/>
              <w:jc w:val="center"/>
              <w:rPr>
                <w:color w:val="000000"/>
                <w:sz w:val="22"/>
                <w:szCs w:val="22"/>
                <w:lang w:eastAsia="lt-LT"/>
              </w:rPr>
            </w:pPr>
          </w:p>
        </w:tc>
        <w:tc>
          <w:tcPr>
            <w:tcW w:w="1276" w:type="dxa"/>
          </w:tcPr>
          <w:p w14:paraId="7667B58B" w14:textId="06042F63" w:rsidR="000C1C50" w:rsidRPr="000C1C50" w:rsidRDefault="000C1C50" w:rsidP="000C1C50">
            <w:pPr>
              <w:spacing w:line="240" w:lineRule="atLeast"/>
              <w:jc w:val="center"/>
              <w:rPr>
                <w:color w:val="000000"/>
                <w:sz w:val="22"/>
                <w:szCs w:val="22"/>
                <w:lang w:eastAsia="lt-LT"/>
              </w:rPr>
            </w:pPr>
            <w:r w:rsidRPr="000C1C50">
              <w:rPr>
                <w:sz w:val="22"/>
                <w:szCs w:val="22"/>
              </w:rPr>
              <w:t>26</w:t>
            </w:r>
          </w:p>
        </w:tc>
        <w:tc>
          <w:tcPr>
            <w:tcW w:w="1134" w:type="dxa"/>
          </w:tcPr>
          <w:p w14:paraId="03AC9A20" w14:textId="77777777" w:rsidR="000C1C50" w:rsidRPr="00D53936" w:rsidRDefault="000C1C50" w:rsidP="000C1C50">
            <w:pPr>
              <w:spacing w:line="240" w:lineRule="atLeast"/>
              <w:jc w:val="center"/>
              <w:rPr>
                <w:color w:val="000000"/>
                <w:lang w:eastAsia="lt-LT"/>
              </w:rPr>
            </w:pPr>
          </w:p>
        </w:tc>
      </w:tr>
      <w:tr w:rsidR="000C1C50" w:rsidRPr="00D53936" w14:paraId="682B5AD0" w14:textId="77777777" w:rsidTr="00F91552">
        <w:trPr>
          <w:cantSplit/>
        </w:trPr>
        <w:tc>
          <w:tcPr>
            <w:tcW w:w="567" w:type="dxa"/>
            <w:shd w:val="clear" w:color="auto" w:fill="auto"/>
          </w:tcPr>
          <w:p w14:paraId="3CA864B5" w14:textId="77777777" w:rsidR="000C1C50" w:rsidRPr="00D53936" w:rsidRDefault="000C1C50" w:rsidP="000C1C50">
            <w:pPr>
              <w:jc w:val="center"/>
              <w:rPr>
                <w:color w:val="000000"/>
                <w:lang w:eastAsia="lt-LT"/>
              </w:rPr>
            </w:pPr>
            <w:r w:rsidRPr="00D53936">
              <w:rPr>
                <w:color w:val="000000"/>
                <w:lang w:eastAsia="lt-LT"/>
              </w:rPr>
              <w:t>9.</w:t>
            </w:r>
          </w:p>
        </w:tc>
        <w:tc>
          <w:tcPr>
            <w:tcW w:w="4111" w:type="dxa"/>
          </w:tcPr>
          <w:p w14:paraId="232C4FD8" w14:textId="5BE987E0" w:rsidR="000C1C50" w:rsidRPr="000C1C50" w:rsidRDefault="000C1C50" w:rsidP="000C1C50">
            <w:pPr>
              <w:spacing w:line="240" w:lineRule="atLeast"/>
              <w:jc w:val="both"/>
              <w:rPr>
                <w:color w:val="000000"/>
                <w:sz w:val="22"/>
                <w:szCs w:val="22"/>
                <w:lang w:eastAsia="lt-LT"/>
              </w:rPr>
            </w:pPr>
            <w:r w:rsidRPr="000C1C50">
              <w:rPr>
                <w:sz w:val="22"/>
                <w:szCs w:val="22"/>
              </w:rPr>
              <w:t>Atliekų išvežimas ir utilizavimas</w:t>
            </w:r>
          </w:p>
        </w:tc>
        <w:tc>
          <w:tcPr>
            <w:tcW w:w="992" w:type="dxa"/>
            <w:shd w:val="clear" w:color="auto" w:fill="auto"/>
            <w:vAlign w:val="center"/>
          </w:tcPr>
          <w:p w14:paraId="75FFCE02" w14:textId="54BF9473" w:rsidR="000C1C50" w:rsidRPr="000C1C50" w:rsidRDefault="000C1C50" w:rsidP="000C1C50">
            <w:pPr>
              <w:spacing w:line="240" w:lineRule="atLeast"/>
              <w:jc w:val="center"/>
              <w:rPr>
                <w:color w:val="000000"/>
                <w:sz w:val="22"/>
                <w:szCs w:val="22"/>
                <w:lang w:eastAsia="lt-LT"/>
              </w:rPr>
            </w:pPr>
            <w:r w:rsidRPr="000C1C50">
              <w:rPr>
                <w:color w:val="000000"/>
                <w:sz w:val="22"/>
                <w:szCs w:val="22"/>
              </w:rPr>
              <w:t>m</w:t>
            </w:r>
            <w:r w:rsidRPr="000C1C50">
              <w:rPr>
                <w:color w:val="000000"/>
                <w:sz w:val="22"/>
                <w:szCs w:val="22"/>
                <w:vertAlign w:val="superscript"/>
              </w:rPr>
              <w:t>3</w:t>
            </w:r>
          </w:p>
        </w:tc>
        <w:tc>
          <w:tcPr>
            <w:tcW w:w="851" w:type="dxa"/>
          </w:tcPr>
          <w:p w14:paraId="718F19EF" w14:textId="77777777" w:rsidR="000C1C50" w:rsidRPr="000C1C50" w:rsidRDefault="000C1C50" w:rsidP="000C1C50">
            <w:pPr>
              <w:spacing w:line="240" w:lineRule="atLeast"/>
              <w:jc w:val="center"/>
              <w:rPr>
                <w:color w:val="000000"/>
                <w:sz w:val="22"/>
                <w:szCs w:val="22"/>
                <w:lang w:eastAsia="lt-LT"/>
              </w:rPr>
            </w:pPr>
          </w:p>
        </w:tc>
        <w:tc>
          <w:tcPr>
            <w:tcW w:w="992" w:type="dxa"/>
          </w:tcPr>
          <w:p w14:paraId="19E2E5BB" w14:textId="77777777" w:rsidR="000C1C50" w:rsidRPr="000C1C50" w:rsidRDefault="000C1C50" w:rsidP="000C1C50">
            <w:pPr>
              <w:spacing w:line="240" w:lineRule="atLeast"/>
              <w:jc w:val="center"/>
              <w:rPr>
                <w:color w:val="000000"/>
                <w:sz w:val="22"/>
                <w:szCs w:val="22"/>
                <w:lang w:eastAsia="lt-LT"/>
              </w:rPr>
            </w:pPr>
          </w:p>
        </w:tc>
        <w:tc>
          <w:tcPr>
            <w:tcW w:w="1276" w:type="dxa"/>
          </w:tcPr>
          <w:p w14:paraId="3093ECCF" w14:textId="6E560B5B" w:rsidR="000C1C50" w:rsidRPr="000C1C50" w:rsidRDefault="000C1C50" w:rsidP="000C1C50">
            <w:pPr>
              <w:spacing w:line="240" w:lineRule="atLeast"/>
              <w:jc w:val="center"/>
              <w:rPr>
                <w:color w:val="000000"/>
                <w:sz w:val="22"/>
                <w:szCs w:val="22"/>
                <w:lang w:eastAsia="lt-LT"/>
              </w:rPr>
            </w:pPr>
            <w:r w:rsidRPr="000C1C50">
              <w:rPr>
                <w:sz w:val="22"/>
                <w:szCs w:val="22"/>
              </w:rPr>
              <w:t>1</w:t>
            </w:r>
          </w:p>
        </w:tc>
        <w:tc>
          <w:tcPr>
            <w:tcW w:w="1134" w:type="dxa"/>
          </w:tcPr>
          <w:p w14:paraId="35F08BAE" w14:textId="77777777" w:rsidR="000C1C50" w:rsidRPr="00D53936" w:rsidRDefault="000C1C50" w:rsidP="000C1C50">
            <w:pPr>
              <w:spacing w:line="240" w:lineRule="atLeast"/>
              <w:jc w:val="center"/>
              <w:rPr>
                <w:color w:val="000000"/>
                <w:lang w:eastAsia="lt-LT"/>
              </w:rPr>
            </w:pPr>
          </w:p>
        </w:tc>
      </w:tr>
      <w:tr w:rsidR="00B42FE7" w:rsidRPr="00D53936" w14:paraId="3D5705FA" w14:textId="77777777" w:rsidTr="00B42FE7">
        <w:trPr>
          <w:cantSplit/>
        </w:trPr>
        <w:tc>
          <w:tcPr>
            <w:tcW w:w="8789" w:type="dxa"/>
            <w:gridSpan w:val="6"/>
            <w:tcBorders>
              <w:right w:val="single" w:sz="12" w:space="0" w:color="auto"/>
            </w:tcBorders>
            <w:shd w:val="clear" w:color="auto" w:fill="auto"/>
          </w:tcPr>
          <w:p w14:paraId="632B83D0" w14:textId="4840E617" w:rsidR="00B42FE7" w:rsidRPr="00D53936" w:rsidRDefault="00B42FE7" w:rsidP="00A1663A">
            <w:pPr>
              <w:spacing w:line="240" w:lineRule="atLeast"/>
              <w:jc w:val="right"/>
              <w:rPr>
                <w:color w:val="000000"/>
                <w:lang w:eastAsia="lt-LT"/>
              </w:rPr>
            </w:pPr>
            <w:r w:rsidRPr="00E545D4">
              <w:rPr>
                <w:b/>
                <w:bCs/>
                <w:color w:val="000000"/>
                <w:lang w:eastAsia="lt-LT"/>
              </w:rPr>
              <w:t>Preliminari</w:t>
            </w:r>
            <w:r>
              <w:rPr>
                <w:b/>
                <w:bCs/>
                <w:color w:val="000000"/>
                <w:lang w:eastAsia="lt-LT"/>
              </w:rPr>
              <w:t xml:space="preserve"> pasiūlymo </w:t>
            </w:r>
            <w:r w:rsidRPr="00E545D4">
              <w:rPr>
                <w:b/>
                <w:bCs/>
                <w:color w:val="000000"/>
                <w:lang w:eastAsia="lt-LT"/>
              </w:rPr>
              <w:t>kaina</w:t>
            </w:r>
            <w:r>
              <w:rPr>
                <w:b/>
                <w:bCs/>
                <w:color w:val="000000"/>
                <w:lang w:eastAsia="lt-LT"/>
              </w:rPr>
              <w:t xml:space="preserve"> </w:t>
            </w:r>
            <w:r w:rsidRPr="00E545D4">
              <w:rPr>
                <w:b/>
                <w:bCs/>
                <w:color w:val="000000"/>
                <w:lang w:eastAsia="lt-LT"/>
              </w:rPr>
              <w:t>Eur su PVM</w:t>
            </w:r>
            <w:r>
              <w:rPr>
                <w:b/>
                <w:bCs/>
                <w:color w:val="000000"/>
                <w:lang w:eastAsia="lt-LT"/>
              </w:rPr>
              <w:t xml:space="preserve"> </w:t>
            </w:r>
            <w:r w:rsidRPr="005E623D">
              <w:rPr>
                <w:color w:val="000000"/>
                <w:lang w:eastAsia="lt-LT"/>
              </w:rPr>
              <w:t>(</w:t>
            </w:r>
            <w:r w:rsidR="00AA419C">
              <w:rPr>
                <w:color w:val="000000"/>
                <w:lang w:eastAsia="lt-LT"/>
              </w:rPr>
              <w:t>1-</w:t>
            </w:r>
            <w:r w:rsidR="000C1C50">
              <w:rPr>
                <w:color w:val="000000"/>
                <w:lang w:eastAsia="lt-LT"/>
              </w:rPr>
              <w:t xml:space="preserve">9 </w:t>
            </w:r>
            <w:r w:rsidRPr="005E623D">
              <w:rPr>
                <w:color w:val="000000"/>
                <w:lang w:eastAsia="lt-LT"/>
              </w:rPr>
              <w:t>eil</w:t>
            </w:r>
            <w:r w:rsidR="00AA419C">
              <w:rPr>
                <w:color w:val="000000"/>
                <w:lang w:eastAsia="lt-LT"/>
              </w:rPr>
              <w:t>učių</w:t>
            </w:r>
            <w:r w:rsidRPr="005E623D">
              <w:rPr>
                <w:color w:val="000000"/>
                <w:lang w:eastAsia="lt-LT"/>
              </w:rPr>
              <w:t xml:space="preserve"> </w:t>
            </w:r>
            <w:r w:rsidR="00AA419C">
              <w:rPr>
                <w:color w:val="000000"/>
                <w:lang w:eastAsia="lt-LT"/>
              </w:rPr>
              <w:t xml:space="preserve">7 stulpelio </w:t>
            </w:r>
            <w:r w:rsidRPr="005E623D">
              <w:rPr>
                <w:color w:val="000000"/>
                <w:lang w:eastAsia="lt-LT"/>
              </w:rPr>
              <w:t>preliminarių darbų kainų suma):</w:t>
            </w:r>
          </w:p>
        </w:tc>
        <w:tc>
          <w:tcPr>
            <w:tcW w:w="1134" w:type="dxa"/>
            <w:tcBorders>
              <w:top w:val="single" w:sz="12" w:space="0" w:color="auto"/>
              <w:left w:val="single" w:sz="12" w:space="0" w:color="auto"/>
              <w:bottom w:val="single" w:sz="12" w:space="0" w:color="auto"/>
              <w:right w:val="single" w:sz="12" w:space="0" w:color="auto"/>
            </w:tcBorders>
          </w:tcPr>
          <w:p w14:paraId="176CA086" w14:textId="77777777" w:rsidR="00B42FE7" w:rsidRPr="00D53936" w:rsidRDefault="00B42FE7" w:rsidP="00A1663A">
            <w:pPr>
              <w:spacing w:line="240" w:lineRule="atLeast"/>
              <w:jc w:val="center"/>
              <w:rPr>
                <w:color w:val="000000"/>
                <w:lang w:eastAsia="lt-LT"/>
              </w:rPr>
            </w:pPr>
          </w:p>
        </w:tc>
      </w:tr>
      <w:bookmarkEnd w:id="2"/>
    </w:tbl>
    <w:p w14:paraId="517DAFD7" w14:textId="77777777" w:rsidR="007A3B29" w:rsidRDefault="007A3B29" w:rsidP="007A3B29">
      <w:pPr>
        <w:widowControl w:val="0"/>
        <w:ind w:firstLine="709"/>
        <w:jc w:val="both"/>
        <w:rPr>
          <w:i/>
        </w:rPr>
      </w:pPr>
    </w:p>
    <w:p w14:paraId="07D86C5F" w14:textId="300955DD" w:rsidR="007A3B29" w:rsidRPr="007A3B29" w:rsidRDefault="009A77F1" w:rsidP="007A3B29">
      <w:pPr>
        <w:widowControl w:val="0"/>
        <w:ind w:firstLine="709"/>
        <w:jc w:val="both"/>
        <w:rPr>
          <w:i/>
        </w:rPr>
      </w:pPr>
      <w:r>
        <w:rPr>
          <w:i/>
        </w:rPr>
        <w:t>*</w:t>
      </w:r>
      <w:r w:rsidR="007A3B29" w:rsidRPr="007A3B29">
        <w:rPr>
          <w:i/>
        </w:rPr>
        <w:t xml:space="preserve">Nurodyti darbų kiekiai yra preliminarūs lyginamieji, kurie naudojami tik pasiūlymų vertinime ir nebus laikomi maksimaliais. </w:t>
      </w:r>
      <w:r w:rsidR="00DE755A" w:rsidRPr="00DE755A">
        <w:rPr>
          <w:i/>
        </w:rPr>
        <w:t>Sutarties vykdymo metu preliminarūs kiekiai gali būti mažinami arba gali būti didinami. Maksimaliai darbų gali būti užsakoma už ne daugiau kaip 72 600,00 Eur su PVM (arba 60 000,00 Eur be PVM, jei tiekėjas yra ne PVM mokėtojas ar darbai neapmokestinami PVM, ar dėl kitų priežasčių Perkančiosios organizacijos galutinė tiekėjui mokėtina suma bus be PVM).</w:t>
      </w:r>
    </w:p>
    <w:p w14:paraId="1D3DDFC4" w14:textId="144E8038" w:rsidR="00B42FE7" w:rsidRPr="00B01463" w:rsidRDefault="007A3B29" w:rsidP="007A3B29">
      <w:pPr>
        <w:widowControl w:val="0"/>
        <w:ind w:firstLine="709"/>
        <w:jc w:val="both"/>
        <w:rPr>
          <w:b/>
          <w:bCs/>
          <w:i/>
        </w:rPr>
      </w:pPr>
      <w:r w:rsidRPr="00B01463">
        <w:rPr>
          <w:b/>
          <w:bCs/>
          <w:i/>
        </w:rPr>
        <w:t xml:space="preserve">Tiekėjų pasiūlymų kainos negali viršyti </w:t>
      </w:r>
      <w:bookmarkStart w:id="3" w:name="_Hlk232603632"/>
      <w:r w:rsidR="009A77F1" w:rsidRPr="00B01463">
        <w:rPr>
          <w:b/>
          <w:bCs/>
          <w:i/>
        </w:rPr>
        <w:t>72 6</w:t>
      </w:r>
      <w:r w:rsidRPr="00B01463">
        <w:rPr>
          <w:b/>
          <w:bCs/>
          <w:i/>
        </w:rPr>
        <w:t>00</w:t>
      </w:r>
      <w:r w:rsidR="009A77F1" w:rsidRPr="00B01463">
        <w:rPr>
          <w:b/>
          <w:bCs/>
          <w:i/>
        </w:rPr>
        <w:t>,00</w:t>
      </w:r>
      <w:r w:rsidRPr="00B01463">
        <w:rPr>
          <w:b/>
          <w:bCs/>
          <w:i/>
        </w:rPr>
        <w:t xml:space="preserve"> Eur su PVM (arba </w:t>
      </w:r>
      <w:r w:rsidR="009A77F1" w:rsidRPr="00B01463">
        <w:rPr>
          <w:b/>
          <w:bCs/>
          <w:i/>
        </w:rPr>
        <w:t>60 000</w:t>
      </w:r>
      <w:r w:rsidRPr="00B01463">
        <w:rPr>
          <w:b/>
          <w:bCs/>
          <w:i/>
        </w:rPr>
        <w:t>,</w:t>
      </w:r>
      <w:r w:rsidR="009A77F1" w:rsidRPr="00B01463">
        <w:rPr>
          <w:b/>
          <w:bCs/>
          <w:i/>
        </w:rPr>
        <w:t>00</w:t>
      </w:r>
      <w:r w:rsidRPr="00B01463">
        <w:rPr>
          <w:b/>
          <w:bCs/>
          <w:i/>
        </w:rPr>
        <w:t xml:space="preserve"> Eur be PVM, </w:t>
      </w:r>
      <w:bookmarkEnd w:id="3"/>
      <w:r w:rsidRPr="00B01463">
        <w:rPr>
          <w:b/>
          <w:bCs/>
          <w:i/>
        </w:rPr>
        <w:t>jei tiekėjas yra ne PVM mokėtojas ar darbai neapmokestinami PVM, ar dėl kitų priežasčių, dėl kurių Perkančiosios organizacijos galutinė tiekėjui mokėtina suma bus be PVM).</w:t>
      </w:r>
    </w:p>
    <w:p w14:paraId="692E59A2" w14:textId="738A5723"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4" w:name="_Hlk127263941"/>
      <w:r>
        <w:rPr>
          <w:i/>
        </w:rPr>
        <w:t xml:space="preserve">- </w:t>
      </w:r>
      <w:bookmarkEnd w:id="4"/>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4D68F710" w14:textId="2DFA264A" w:rsidR="00011EC0" w:rsidRPr="007A3B29" w:rsidRDefault="00011EC0" w:rsidP="007A3B29">
      <w:pPr>
        <w:widowControl w:val="0"/>
        <w:ind w:firstLine="709"/>
        <w:jc w:val="both"/>
        <w:rPr>
          <w:i/>
        </w:rPr>
      </w:pPr>
      <w:r w:rsidRPr="004E6D13">
        <w:rPr>
          <w:i/>
        </w:rPr>
        <w:t xml:space="preserve">- </w:t>
      </w:r>
      <w:r w:rsidR="00A007D6">
        <w:rPr>
          <w:i/>
        </w:rPr>
        <w:t>j</w:t>
      </w:r>
      <w:r w:rsidR="00A007D6" w:rsidRPr="00A007D6">
        <w:rPr>
          <w:i/>
        </w:rPr>
        <w:t>ei tiekėjas yra ne PVM</w:t>
      </w:r>
      <w:r w:rsidR="00BD69D0">
        <w:rPr>
          <w:i/>
        </w:rPr>
        <w:t>*</w:t>
      </w:r>
      <w:r w:rsidR="00A007D6" w:rsidRPr="00A007D6">
        <w:rPr>
          <w:i/>
        </w:rPr>
        <w:t xml:space="preserve"> mokėtojas, turi apie tai nurodyti pasiūlyme, nurodant teisinį pagrindą</w:t>
      </w:r>
      <w:r w:rsidR="007A3B29">
        <w:rPr>
          <w:i/>
        </w:rPr>
        <w:t>. 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3BCA0F54" w:rsidR="00011EC0"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 xml:space="preserve">ai atitinka pirkimo dokumentuose nurodytus reikalavimus, į mūsų siūlomą kainą įskaičiuotos visos išlaidos ir visi mokesčiai ir mes prisiimame riziką už visas išlaidas, kurias, teikdami pasiūlymą ir laikydamiesi </w:t>
      </w:r>
      <w:r w:rsidRPr="00954CF3">
        <w:lastRenderedPageBreak/>
        <w:t>pirkimo dokumentuose nustatytų reikalavimų, privalėjome įskaičiuoti į pasiūlymo kainą.</w:t>
      </w:r>
    </w:p>
    <w:p w14:paraId="51BAEB5F" w14:textId="77777777" w:rsidR="00AB3FD8" w:rsidRPr="005B242D" w:rsidRDefault="00AB3FD8" w:rsidP="00011EC0">
      <w:pPr>
        <w:widowControl w:val="0"/>
        <w:ind w:firstLine="709"/>
        <w:jc w:val="both"/>
      </w:pPr>
    </w:p>
    <w:p w14:paraId="6C542209" w14:textId="2705F718" w:rsidR="00011EC0" w:rsidRDefault="00AB3FD8" w:rsidP="00130581">
      <w:pPr>
        <w:widowControl w:val="0"/>
        <w:jc w:val="both"/>
        <w:rPr>
          <w:b/>
        </w:rPr>
      </w:pPr>
      <w:r w:rsidRPr="00AB3FD8">
        <w:rPr>
          <w:b/>
        </w:rPr>
        <w:t>Sutartyje nustatomas kainos apskaičiavimo būdas</w:t>
      </w:r>
      <w:r w:rsidR="00046223">
        <w:rPr>
          <w:b/>
        </w:rPr>
        <w:t xml:space="preserve"> </w:t>
      </w:r>
      <w:r w:rsidRPr="00AB3FD8">
        <w:rPr>
          <w:b/>
        </w:rPr>
        <w:t>– fiksuota</w:t>
      </w:r>
      <w:r w:rsidR="00D01B75">
        <w:rPr>
          <w:b/>
        </w:rPr>
        <w:t>s</w:t>
      </w:r>
      <w:r w:rsidRPr="00AB3FD8">
        <w:rPr>
          <w:b/>
        </w:rPr>
        <w:t xml:space="preserve"> kain</w:t>
      </w:r>
      <w:r w:rsidR="00D01B75">
        <w:rPr>
          <w:b/>
        </w:rPr>
        <w:t>is</w:t>
      </w:r>
      <w:r w:rsidRPr="00AB3FD8">
        <w:rPr>
          <w:b/>
        </w:rPr>
        <w:t>.</w:t>
      </w:r>
    </w:p>
    <w:p w14:paraId="7ABE809F" w14:textId="77777777" w:rsidR="00AB3FD8" w:rsidRDefault="00AB3FD8"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031EB2" w:rsidRDefault="000464BF" w:rsidP="009A6392">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031EB2" w:rsidRDefault="000464BF" w:rsidP="009A6392">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234FA80F" w14:textId="41EF0497" w:rsidR="00BD69D0" w:rsidRDefault="00BD69D0" w:rsidP="00BD69D0">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s.</w:t>
      </w: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C1C50"/>
    <w:rsid w:val="00103B12"/>
    <w:rsid w:val="0011217F"/>
    <w:rsid w:val="00130581"/>
    <w:rsid w:val="00195FF0"/>
    <w:rsid w:val="001C3993"/>
    <w:rsid w:val="001D1CA1"/>
    <w:rsid w:val="00234BE8"/>
    <w:rsid w:val="00261ED3"/>
    <w:rsid w:val="002B5645"/>
    <w:rsid w:val="002E65A6"/>
    <w:rsid w:val="00363AC6"/>
    <w:rsid w:val="00387C81"/>
    <w:rsid w:val="004215BA"/>
    <w:rsid w:val="00490AD9"/>
    <w:rsid w:val="007079B9"/>
    <w:rsid w:val="007A3B29"/>
    <w:rsid w:val="00827A7F"/>
    <w:rsid w:val="009A77F1"/>
    <w:rsid w:val="00A007D6"/>
    <w:rsid w:val="00AA419C"/>
    <w:rsid w:val="00AB3FD8"/>
    <w:rsid w:val="00AB7E90"/>
    <w:rsid w:val="00B01463"/>
    <w:rsid w:val="00B42FE7"/>
    <w:rsid w:val="00BD69D0"/>
    <w:rsid w:val="00C228A9"/>
    <w:rsid w:val="00C3536B"/>
    <w:rsid w:val="00C50CCB"/>
    <w:rsid w:val="00D01B75"/>
    <w:rsid w:val="00DE755A"/>
    <w:rsid w:val="00E20E70"/>
    <w:rsid w:val="00EF5B28"/>
    <w:rsid w:val="00F00C6E"/>
    <w:rsid w:val="00F10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4019</Words>
  <Characters>2291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30</cp:revision>
  <dcterms:created xsi:type="dcterms:W3CDTF">2025-07-29T11:52:00Z</dcterms:created>
  <dcterms:modified xsi:type="dcterms:W3CDTF">2026-06-18T08:36:00Z</dcterms:modified>
</cp:coreProperties>
</file>