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08F8C6" w14:textId="71C921A4" w:rsidR="00296EB3" w:rsidRPr="00D33A40" w:rsidRDefault="00F3052F" w:rsidP="00F3052F">
      <w:pPr>
        <w:ind w:right="215"/>
        <w:jc w:val="center"/>
        <w:rPr>
          <w:color w:val="000000" w:themeColor="text1"/>
          <w:lang w:val="lt-LT"/>
        </w:rPr>
      </w:pPr>
      <w:r w:rsidRPr="00D33A40">
        <w:rPr>
          <w:b/>
          <w:bCs/>
          <w:lang w:val="lt-LT"/>
        </w:rPr>
        <w:t xml:space="preserve">LIETUVOS AUTOSENSORINĖS BIBLIOTEKOS </w:t>
      </w:r>
      <w:r w:rsidRPr="00D33A40">
        <w:rPr>
          <w:rFonts w:eastAsia="Times New Roman"/>
          <w:b/>
          <w:bCs/>
          <w:lang w:val="lt-LT" w:eastAsia="ar-SA"/>
        </w:rPr>
        <w:t xml:space="preserve">SAVANORIŠKO SVEIKATOS DRAUDIMO </w:t>
      </w:r>
      <w:r w:rsidRPr="00D33A40">
        <w:rPr>
          <w:b/>
          <w:bCs/>
          <w:caps/>
          <w:color w:val="000000"/>
          <w:lang w:val="lt-LT"/>
        </w:rPr>
        <w:t>PASLAUGŲ</w:t>
      </w:r>
      <w:r w:rsidRPr="00D33A40">
        <w:rPr>
          <w:rFonts w:eastAsia="Times New Roman"/>
          <w:b/>
          <w:bCs/>
          <w:lang w:val="lt-LT" w:eastAsia="ar-SA"/>
        </w:rPr>
        <w:t xml:space="preserve"> SKELBIAMA APKLAUSA</w:t>
      </w:r>
    </w:p>
    <w:p w14:paraId="4EBD3CF3" w14:textId="77777777" w:rsidR="00734F21" w:rsidRPr="00D33A40" w:rsidRDefault="00734F21">
      <w:pPr>
        <w:pStyle w:val="Body2"/>
        <w:rPr>
          <w:rFonts w:cs="Times New Roman"/>
          <w:b/>
          <w:bCs/>
          <w:sz w:val="24"/>
          <w:szCs w:val="24"/>
          <w:lang w:val="lt-LT"/>
        </w:rPr>
      </w:pPr>
    </w:p>
    <w:p w14:paraId="4AB71407" w14:textId="4A6E23BD" w:rsidR="00AD52CF" w:rsidRPr="00D33A40" w:rsidRDefault="005C347E" w:rsidP="00716893">
      <w:pPr>
        <w:pStyle w:val="Body2"/>
        <w:jc w:val="left"/>
        <w:rPr>
          <w:rFonts w:cs="Times New Roman"/>
          <w:sz w:val="24"/>
          <w:szCs w:val="24"/>
          <w:lang w:val="lt-LT"/>
        </w:rPr>
      </w:pPr>
      <w:r w:rsidRPr="00D33A40">
        <w:rPr>
          <w:rFonts w:cs="Times New Roman"/>
          <w:sz w:val="24"/>
          <w:szCs w:val="24"/>
          <w:lang w:val="lt-LT"/>
        </w:rPr>
        <w:tab/>
        <w:t>1. BENDROSIOS NUOSTATOS</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 xml:space="preserve">1.1. </w:t>
      </w:r>
      <w:r w:rsidR="00F3052F" w:rsidRPr="00D33A40">
        <w:rPr>
          <w:szCs w:val="24"/>
          <w:lang w:val="lt-LT"/>
        </w:rPr>
        <w:t>Lietuvos audiosensorinė biblioteka</w:t>
      </w:r>
      <w:r w:rsidR="00F3052F" w:rsidRPr="00D33A40">
        <w:rPr>
          <w:lang w:val="lt-LT"/>
        </w:rPr>
        <w:t xml:space="preserve"> </w:t>
      </w:r>
      <w:r w:rsidR="00296EB3" w:rsidRPr="00D33A40">
        <w:rPr>
          <w:lang w:val="lt-LT"/>
        </w:rPr>
        <w:t xml:space="preserve">(toliau – </w:t>
      </w:r>
      <w:r w:rsidR="00F3052F" w:rsidRPr="00D33A40">
        <w:rPr>
          <w:lang w:val="lt-LT"/>
        </w:rPr>
        <w:t>Biblioteka</w:t>
      </w:r>
      <w:r w:rsidR="00296EB3" w:rsidRPr="00D33A40">
        <w:rPr>
          <w:lang w:val="lt-LT"/>
        </w:rPr>
        <w:t xml:space="preserve"> arba perkančioji organizacija)</w:t>
      </w:r>
      <w:r w:rsidRPr="00D33A40">
        <w:rPr>
          <w:rFonts w:cs="Times New Roman"/>
          <w:sz w:val="24"/>
          <w:szCs w:val="24"/>
          <w:lang w:val="lt-LT"/>
        </w:rPr>
        <w:t>,  vykdydama šį viešąjį pirkimą numato įsigyti pirkimo sąlygų techninėje specifikacijoje nurodytą pirkimo objektą.</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r w:rsidR="003542FD" w:rsidRPr="00D33A40">
        <w:rPr>
          <w:rFonts w:cs="Times New Roman"/>
          <w:sz w:val="24"/>
          <w:szCs w:val="24"/>
          <w:lang w:val="lt-LT"/>
        </w:rPr>
        <w:t>reglamentuojančiais</w:t>
      </w:r>
      <w:r w:rsidRPr="00D33A40">
        <w:rPr>
          <w:rFonts w:cs="Times New Roman"/>
          <w:sz w:val="24"/>
          <w:szCs w:val="24"/>
          <w:lang w:val="lt-LT"/>
        </w:rPr>
        <w:t xml:space="preserve"> </w:t>
      </w:r>
      <w:r w:rsidR="003542FD" w:rsidRPr="00D33A40">
        <w:rPr>
          <w:rFonts w:cs="Times New Roman"/>
          <w:sz w:val="24"/>
          <w:szCs w:val="24"/>
          <w:lang w:val="lt-LT"/>
        </w:rPr>
        <w:t>teisės</w:t>
      </w:r>
      <w:r w:rsidRPr="00D33A40">
        <w:rPr>
          <w:rFonts w:cs="Times New Roman"/>
          <w:sz w:val="24"/>
          <w:szCs w:val="24"/>
          <w:lang w:val="lt-LT"/>
        </w:rPr>
        <w:t xml:space="preserve"> aktais bei šiomis pirkimo </w:t>
      </w:r>
      <w:r w:rsidR="003542FD" w:rsidRPr="00D33A40">
        <w:rPr>
          <w:rFonts w:cs="Times New Roman"/>
          <w:sz w:val="24"/>
          <w:szCs w:val="24"/>
          <w:lang w:val="lt-LT"/>
        </w:rPr>
        <w:t>sąlygomis</w:t>
      </w:r>
      <w:r w:rsidRPr="00D33A40">
        <w:rPr>
          <w:rFonts w:cs="Times New Roman"/>
          <w:sz w:val="24"/>
          <w:szCs w:val="24"/>
          <w:lang w:val="lt-LT"/>
        </w:rPr>
        <w:t>.</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1.</w:t>
      </w:r>
      <w:r w:rsidR="00F3052F" w:rsidRPr="00D33A40">
        <w:rPr>
          <w:rFonts w:cs="Times New Roman"/>
          <w:sz w:val="24"/>
          <w:szCs w:val="24"/>
          <w:lang w:val="lt-LT"/>
        </w:rPr>
        <w:t>3</w:t>
      </w:r>
      <w:r w:rsidRPr="00D33A40">
        <w:rPr>
          <w:rFonts w:cs="Times New Roman"/>
          <w:sz w:val="24"/>
          <w:szCs w:val="24"/>
          <w:lang w:val="lt-LT"/>
        </w:rPr>
        <w:t>.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1.</w:t>
      </w:r>
      <w:r w:rsidR="00F3052F" w:rsidRPr="00D33A40">
        <w:rPr>
          <w:rFonts w:cs="Times New Roman"/>
          <w:sz w:val="24"/>
          <w:szCs w:val="24"/>
          <w:lang w:val="lt-LT"/>
        </w:rPr>
        <w:t>4</w:t>
      </w:r>
      <w:r w:rsidRPr="00D33A40">
        <w:rPr>
          <w:rFonts w:cs="Times New Roman"/>
          <w:sz w:val="24"/>
          <w:szCs w:val="24"/>
          <w:lang w:val="lt-LT"/>
        </w:rPr>
        <w:t>. Pirkimas atliekamas laikantis lygiateisiškumo, nediskriminavimo, abipusio pripažinimo, proporcingumo ir skaidrumo principų bei konfidencialumo ir nešališkumo reikalavimų.</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1.</w:t>
      </w:r>
      <w:r w:rsidR="00F3052F" w:rsidRPr="00D33A40">
        <w:rPr>
          <w:rFonts w:cs="Times New Roman"/>
          <w:sz w:val="24"/>
          <w:szCs w:val="24"/>
          <w:lang w:val="lt-LT"/>
        </w:rPr>
        <w:t>5</w:t>
      </w:r>
      <w:r w:rsidRPr="00D33A40">
        <w:rPr>
          <w:rFonts w:cs="Times New Roman"/>
          <w:sz w:val="24"/>
          <w:szCs w:val="24"/>
          <w:lang w:val="lt-LT"/>
        </w:rPr>
        <w:t xml:space="preserve">. </w:t>
      </w:r>
      <w:r w:rsidRPr="00D33A40">
        <w:rPr>
          <w:rFonts w:cs="Times New Roman"/>
          <w:color w:val="auto"/>
          <w:sz w:val="24"/>
          <w:szCs w:val="24"/>
          <w:lang w:val="lt-LT"/>
        </w:rPr>
        <w:t xml:space="preserve">Tiesioginį ryšį su tiekėjais įgaliotas palaikyti perkančiosios organizacijos </w:t>
      </w:r>
      <w:r w:rsidR="00296EB3" w:rsidRPr="00D33A40">
        <w:rPr>
          <w:lang w:val="lt-LT"/>
        </w:rPr>
        <w:t xml:space="preserve">Jūratė Morkvėnaitė-Paulauskienė, </w:t>
      </w:r>
      <w:r w:rsidR="00F3052F" w:rsidRPr="00D33A40">
        <w:rPr>
          <w:lang w:val="lt-LT"/>
        </w:rPr>
        <w:t>j.morkvenaite@labiblioteka.lt</w:t>
      </w:r>
      <w:r w:rsidR="00716893" w:rsidRPr="00D33A40">
        <w:rPr>
          <w:lang w:val="lt-LT"/>
        </w:rPr>
        <w:t xml:space="preserve">, </w:t>
      </w:r>
      <w:r w:rsidRPr="00D33A40">
        <w:rPr>
          <w:rFonts w:cs="Times New Roman"/>
          <w:color w:val="auto"/>
          <w:sz w:val="24"/>
          <w:szCs w:val="24"/>
          <w:lang w:val="lt-LT"/>
        </w:rPr>
        <w:t xml:space="preserve">tel. </w:t>
      </w:r>
      <w:r w:rsidR="008E4956" w:rsidRPr="00D33A40">
        <w:rPr>
          <w:rFonts w:cs="Times New Roman"/>
          <w:color w:val="auto"/>
          <w:sz w:val="24"/>
          <w:szCs w:val="24"/>
          <w:lang w:val="lt-LT"/>
        </w:rPr>
        <w:t>+370</w:t>
      </w:r>
      <w:r w:rsidR="00F3052F" w:rsidRPr="00D33A40">
        <w:rPr>
          <w:rFonts w:cs="Times New Roman"/>
          <w:color w:val="auto"/>
          <w:sz w:val="24"/>
          <w:szCs w:val="24"/>
          <w:lang w:val="lt-LT"/>
        </w:rPr>
        <w:t> </w:t>
      </w:r>
      <w:r w:rsidR="008E4956" w:rsidRPr="00D33A40">
        <w:rPr>
          <w:rFonts w:cs="Times New Roman"/>
          <w:color w:val="auto"/>
          <w:sz w:val="24"/>
          <w:szCs w:val="24"/>
          <w:lang w:val="lt-LT"/>
        </w:rPr>
        <w:t>6</w:t>
      </w:r>
      <w:r w:rsidR="00F3052F" w:rsidRPr="00D33A40">
        <w:rPr>
          <w:rFonts w:cs="Times New Roman"/>
          <w:color w:val="auto"/>
          <w:sz w:val="24"/>
          <w:szCs w:val="24"/>
          <w:lang w:val="lt-LT"/>
        </w:rPr>
        <w:t>85 72505</w:t>
      </w:r>
    </w:p>
    <w:p w14:paraId="0D4B473D" w14:textId="6355300E" w:rsidR="008E4956" w:rsidRPr="00D33A40" w:rsidRDefault="005C347E" w:rsidP="007E65A4">
      <w:pPr>
        <w:pStyle w:val="Body2"/>
        <w:rPr>
          <w:rFonts w:cs="Times New Roman"/>
          <w:sz w:val="24"/>
          <w:szCs w:val="24"/>
          <w:lang w:val="lt-LT"/>
        </w:rPr>
      </w:pPr>
      <w:r w:rsidRPr="00D33A40">
        <w:rPr>
          <w:rFonts w:cs="Times New Roman"/>
          <w:sz w:val="24"/>
          <w:szCs w:val="24"/>
          <w:lang w:val="lt-LT"/>
        </w:rPr>
        <w:br/>
      </w:r>
      <w:r w:rsidRPr="00D33A40">
        <w:rPr>
          <w:rFonts w:cs="Times New Roman"/>
          <w:sz w:val="24"/>
          <w:szCs w:val="24"/>
          <w:lang w:val="lt-LT"/>
        </w:rPr>
        <w:tab/>
        <w:t>2. PIRKIMO OBJEKTAS</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2.1. Šio pirkimo objektas yra nurodytas pirkimo sąlygų techninėje specifikacijoje, kuri pateikiama  pirkimo sąlygų priede</w:t>
      </w:r>
      <w:r w:rsidR="003D50DD" w:rsidRPr="00D33A40">
        <w:rPr>
          <w:rFonts w:cs="Times New Roman"/>
          <w:sz w:val="24"/>
          <w:szCs w:val="24"/>
          <w:lang w:val="lt-LT"/>
        </w:rPr>
        <w:t xml:space="preserve"> Nr.1.</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 xml:space="preserve">2.2. Pirkimas </w:t>
      </w:r>
      <w:r w:rsidR="008E4956" w:rsidRPr="00D33A40">
        <w:rPr>
          <w:rFonts w:cs="Times New Roman"/>
          <w:sz w:val="24"/>
          <w:szCs w:val="24"/>
          <w:lang w:val="lt-LT"/>
        </w:rPr>
        <w:t>neskaidomas</w:t>
      </w:r>
      <w:r w:rsidRPr="00D33A40">
        <w:rPr>
          <w:rFonts w:cs="Times New Roman"/>
          <w:sz w:val="24"/>
          <w:szCs w:val="24"/>
          <w:lang w:val="lt-LT"/>
        </w:rPr>
        <w:t xml:space="preserve"> pirkimo dalis.</w:t>
      </w:r>
    </w:p>
    <w:p w14:paraId="225F841D" w14:textId="5A6FD8BE" w:rsidR="00AD52CF" w:rsidRPr="00D33A40" w:rsidRDefault="005C347E" w:rsidP="008E4956">
      <w:pPr>
        <w:pStyle w:val="Body2"/>
        <w:jc w:val="left"/>
        <w:rPr>
          <w:rFonts w:cs="Times New Roman"/>
          <w:sz w:val="24"/>
          <w:szCs w:val="24"/>
          <w:lang w:val="lt-LT"/>
        </w:rPr>
      </w:pPr>
      <w:r w:rsidRPr="00D33A40">
        <w:rPr>
          <w:rFonts w:cs="Times New Roman"/>
          <w:sz w:val="24"/>
          <w:szCs w:val="24"/>
          <w:lang w:val="lt-LT"/>
        </w:rPr>
        <w:tab/>
        <w:t xml:space="preserve">2.3. Pasiūlymas turi būti pateiktas visai pirkimo sąlygų techninėje specifikacijoje nurodytai apimčiai, neskaidant jos smulkiau. </w:t>
      </w:r>
      <w:r w:rsidRPr="00D33A40">
        <w:rPr>
          <w:rFonts w:cs="Times New Roman"/>
          <w:sz w:val="24"/>
          <w:szCs w:val="24"/>
          <w:lang w:val="lt-LT"/>
        </w:rPr>
        <w:br/>
      </w:r>
      <w:r w:rsidRPr="00D33A40">
        <w:rPr>
          <w:rFonts w:cs="Times New Roman"/>
          <w:sz w:val="24"/>
          <w:szCs w:val="24"/>
          <w:lang w:val="lt-LT"/>
        </w:rPr>
        <w:tab/>
        <w:t>2.4. Reikalavimai pirkimo objektui nurodyti pirkimo sąlygų priede</w:t>
      </w:r>
      <w:r w:rsidR="003D50DD" w:rsidRPr="00D33A40">
        <w:rPr>
          <w:rFonts w:cs="Times New Roman"/>
          <w:sz w:val="24"/>
          <w:szCs w:val="24"/>
          <w:lang w:val="lt-LT"/>
        </w:rPr>
        <w:t xml:space="preserve"> Nr.1</w:t>
      </w:r>
      <w:r w:rsidRPr="00D33A40">
        <w:rPr>
          <w:rFonts w:cs="Times New Roman"/>
          <w:sz w:val="24"/>
          <w:szCs w:val="24"/>
          <w:lang w:val="lt-LT"/>
        </w:rPr>
        <w:t xml:space="preserve"> „Techninė specifikacija“ ir priede</w:t>
      </w:r>
      <w:r w:rsidR="003D50DD" w:rsidRPr="00D33A40">
        <w:rPr>
          <w:rFonts w:cs="Times New Roman"/>
          <w:sz w:val="24"/>
          <w:szCs w:val="24"/>
          <w:lang w:val="lt-LT"/>
        </w:rPr>
        <w:t xml:space="preserve"> Nr.3</w:t>
      </w:r>
      <w:r w:rsidRPr="00D33A40">
        <w:rPr>
          <w:rFonts w:cs="Times New Roman"/>
          <w:sz w:val="24"/>
          <w:szCs w:val="24"/>
          <w:lang w:val="lt-LT"/>
        </w:rPr>
        <w:t xml:space="preserve"> „</w:t>
      </w:r>
      <w:r w:rsidR="00C870FD">
        <w:rPr>
          <w:rFonts w:cs="Times New Roman"/>
          <w:sz w:val="24"/>
          <w:szCs w:val="24"/>
          <w:lang w:val="lt-LT"/>
        </w:rPr>
        <w:t>S</w:t>
      </w:r>
      <w:r w:rsidRPr="00D33A40">
        <w:rPr>
          <w:rFonts w:cs="Times New Roman"/>
          <w:sz w:val="24"/>
          <w:szCs w:val="24"/>
          <w:lang w:val="lt-LT"/>
        </w:rPr>
        <w:t xml:space="preserve">utarties projektas“. </w:t>
      </w:r>
    </w:p>
    <w:p w14:paraId="12D0724B" w14:textId="324536D1" w:rsidR="00AD52CF" w:rsidRPr="00D33A40" w:rsidRDefault="00087465" w:rsidP="008E4956">
      <w:pPr>
        <w:pStyle w:val="Body2"/>
        <w:jc w:val="left"/>
        <w:rPr>
          <w:rFonts w:cs="Times New Roman"/>
          <w:sz w:val="24"/>
          <w:szCs w:val="24"/>
          <w:lang w:val="lt-LT"/>
        </w:rPr>
      </w:pPr>
      <w:r w:rsidRPr="00D33A40">
        <w:rPr>
          <w:rFonts w:cs="Times New Roman"/>
          <w:sz w:val="24"/>
          <w:szCs w:val="24"/>
          <w:lang w:val="lt-LT"/>
        </w:rPr>
        <w:t xml:space="preserve">            </w:t>
      </w:r>
      <w:r w:rsidR="00AD52CF" w:rsidRPr="00D33A40">
        <w:rPr>
          <w:rFonts w:cs="Times New Roman"/>
          <w:sz w:val="24"/>
          <w:szCs w:val="24"/>
          <w:lang w:val="lt-LT"/>
        </w:rPr>
        <w:t xml:space="preserve">2.5. Pasiūlymo kaina turi būti ne didesnė nei nurodyta maksimali leistina kaina pirkimo sąlygų priede </w:t>
      </w:r>
      <w:r w:rsidR="003D50DD" w:rsidRPr="00D33A40">
        <w:rPr>
          <w:rFonts w:cs="Times New Roman"/>
          <w:sz w:val="24"/>
          <w:szCs w:val="24"/>
          <w:lang w:val="lt-LT"/>
        </w:rPr>
        <w:t xml:space="preserve">Nr.2 </w:t>
      </w:r>
      <w:r w:rsidR="00AD52CF" w:rsidRPr="00D33A40">
        <w:rPr>
          <w:rFonts w:cs="Times New Roman"/>
          <w:sz w:val="24"/>
          <w:szCs w:val="24"/>
          <w:lang w:val="lt-LT"/>
        </w:rPr>
        <w:t>„Pasiūlymo forma“.</w:t>
      </w:r>
      <w:r w:rsidR="005C347E" w:rsidRPr="00D33A40">
        <w:rPr>
          <w:rFonts w:cs="Times New Roman"/>
          <w:sz w:val="24"/>
          <w:szCs w:val="24"/>
          <w:lang w:val="lt-LT"/>
        </w:rPr>
        <w:br/>
      </w:r>
      <w:r w:rsidR="005C347E" w:rsidRPr="00D33A40">
        <w:rPr>
          <w:rFonts w:cs="Times New Roman"/>
          <w:sz w:val="24"/>
          <w:szCs w:val="24"/>
          <w:lang w:val="lt-LT"/>
        </w:rPr>
        <w:tab/>
        <w:t>2.</w:t>
      </w:r>
      <w:r w:rsidRPr="00D33A40">
        <w:rPr>
          <w:rFonts w:cs="Times New Roman"/>
          <w:sz w:val="24"/>
          <w:szCs w:val="24"/>
          <w:lang w:val="lt-LT"/>
        </w:rPr>
        <w:t>6</w:t>
      </w:r>
      <w:r w:rsidR="005C347E" w:rsidRPr="00D33A40">
        <w:rPr>
          <w:rFonts w:cs="Times New Roman"/>
          <w:sz w:val="24"/>
          <w:szCs w:val="24"/>
          <w:lang w:val="lt-LT"/>
        </w:rPr>
        <w:t xml:space="preserve">. Tiekėjo įsipareigojimų įvykdymo vieta yra </w:t>
      </w:r>
      <w:r w:rsidR="003542FD" w:rsidRPr="00D33A40">
        <w:rPr>
          <w:rFonts w:cs="Times New Roman"/>
          <w:sz w:val="24"/>
          <w:szCs w:val="24"/>
          <w:lang w:val="lt-LT"/>
        </w:rPr>
        <w:t>Lietuvos teritorija</w:t>
      </w:r>
      <w:r w:rsidRPr="00D33A40">
        <w:rPr>
          <w:rFonts w:cs="Times New Roman"/>
          <w:sz w:val="24"/>
          <w:szCs w:val="24"/>
          <w:lang w:val="lt-LT"/>
        </w:rPr>
        <w:t>.</w:t>
      </w:r>
    </w:p>
    <w:p w14:paraId="7BA95F98" w14:textId="4D4C6421" w:rsidR="007D4583" w:rsidRPr="00D33A40" w:rsidRDefault="00087465" w:rsidP="008E4956">
      <w:pPr>
        <w:pStyle w:val="Body2"/>
        <w:jc w:val="left"/>
        <w:rPr>
          <w:rFonts w:cs="Times New Roman"/>
          <w:sz w:val="24"/>
          <w:szCs w:val="24"/>
          <w:lang w:val="lt-LT"/>
        </w:rPr>
      </w:pPr>
      <w:r w:rsidRPr="00D33A40">
        <w:rPr>
          <w:rFonts w:cs="Times New Roman"/>
          <w:sz w:val="24"/>
          <w:szCs w:val="24"/>
          <w:lang w:val="lt-LT"/>
        </w:rPr>
        <w:t xml:space="preserve">        </w:t>
      </w:r>
      <w:r w:rsidR="003542FD" w:rsidRPr="00D33A40">
        <w:rPr>
          <w:rFonts w:cs="Times New Roman"/>
          <w:sz w:val="24"/>
          <w:szCs w:val="24"/>
          <w:lang w:val="lt-LT"/>
        </w:rPr>
        <w:t xml:space="preserve">    </w:t>
      </w:r>
      <w:r w:rsidRPr="00D33A40">
        <w:rPr>
          <w:rFonts w:cs="Times New Roman"/>
          <w:sz w:val="24"/>
          <w:szCs w:val="24"/>
          <w:lang w:val="lt-LT"/>
        </w:rPr>
        <w:t>2.</w:t>
      </w:r>
      <w:r w:rsidR="003542FD" w:rsidRPr="00D33A40">
        <w:rPr>
          <w:rFonts w:cs="Times New Roman"/>
          <w:sz w:val="24"/>
          <w:szCs w:val="24"/>
          <w:lang w:val="lt-LT"/>
        </w:rPr>
        <w:t>7</w:t>
      </w:r>
      <w:r w:rsidRPr="00D33A40">
        <w:rPr>
          <w:rFonts w:cs="Times New Roman"/>
          <w:sz w:val="24"/>
          <w:szCs w:val="24"/>
          <w:lang w:val="lt-LT"/>
        </w:rPr>
        <w:t>. Sutarties vykdymo trukmė</w:t>
      </w:r>
      <w:r w:rsidR="00F3052F" w:rsidRPr="00D33A40">
        <w:rPr>
          <w:rFonts w:cs="Times New Roman"/>
          <w:sz w:val="24"/>
          <w:szCs w:val="24"/>
          <w:lang w:val="lt-LT"/>
        </w:rPr>
        <w:t xml:space="preserve"> </w:t>
      </w:r>
      <w:r w:rsidR="00C870FD" w:rsidRPr="00C870FD">
        <w:rPr>
          <w:rFonts w:cs="Times New Roman"/>
          <w:b/>
          <w:bCs/>
          <w:sz w:val="24"/>
          <w:szCs w:val="24"/>
          <w:lang w:val="lt-LT"/>
        </w:rPr>
        <w:t>iki 2025-12-31.</w:t>
      </w:r>
      <w:r w:rsidR="005C347E" w:rsidRPr="00D33A40">
        <w:rPr>
          <w:rFonts w:cs="Times New Roman"/>
          <w:sz w:val="24"/>
          <w:szCs w:val="24"/>
          <w:lang w:val="lt-LT"/>
        </w:rPr>
        <w:tab/>
      </w:r>
    </w:p>
    <w:p w14:paraId="2BC55789" w14:textId="6F6B64C6" w:rsidR="007D4583" w:rsidRPr="00D33A40" w:rsidRDefault="007D4583" w:rsidP="007D4583">
      <w:pPr>
        <w:pStyle w:val="prastasiniatinklio1"/>
        <w:spacing w:before="0" w:after="0"/>
        <w:ind w:right="-1"/>
        <w:jc w:val="both"/>
        <w:rPr>
          <w:rFonts w:eastAsia="Calibri"/>
          <w:lang w:val="lt-LT" w:eastAsia="lt-LT"/>
        </w:rPr>
      </w:pPr>
      <w:r w:rsidRPr="00D33A40">
        <w:rPr>
          <w:rFonts w:eastAsia="Calibri"/>
          <w:lang w:val="lt-LT" w:eastAsia="lt-LT"/>
        </w:rPr>
        <w:t xml:space="preserve">        </w:t>
      </w:r>
    </w:p>
    <w:p w14:paraId="47858383" w14:textId="277007AF" w:rsidR="0038163F" w:rsidRDefault="005C347E" w:rsidP="008E4956">
      <w:pPr>
        <w:pStyle w:val="Body2"/>
        <w:jc w:val="left"/>
        <w:rPr>
          <w:rFonts w:cs="Times New Roman"/>
          <w:sz w:val="24"/>
          <w:szCs w:val="24"/>
          <w:lang w:val="lt-LT"/>
        </w:rPr>
      </w:pPr>
      <w:r w:rsidRPr="00D33A40">
        <w:rPr>
          <w:rFonts w:cs="Times New Roman"/>
          <w:sz w:val="24"/>
          <w:szCs w:val="24"/>
          <w:lang w:val="lt-LT"/>
        </w:rPr>
        <w:tab/>
        <w:t>3. TIEKĖJŲ PAŠALINIMO PAGRINDAI IR REIKALAUJAMA KVALIFIKACIJA</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3.1. Perkančioji organizacija netikrins tiekėjo pašalinimo pagrindų nebuvimo pagal VPĮ 50 straipsnyje nustatytus reikalavimus.</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3.2. Perkančioji organizacija taiko kvalifikacinių reikalavimų tiekėjams</w:t>
      </w:r>
      <w:r w:rsidR="00823683">
        <w:rPr>
          <w:rFonts w:cs="Times New Roman"/>
          <w:sz w:val="24"/>
          <w:szCs w:val="24"/>
          <w:lang w:val="lt-LT"/>
        </w:rPr>
        <w:t>, dokumentus pateikia tik laimėjęs pasiūlymas.</w:t>
      </w:r>
    </w:p>
    <w:p w14:paraId="0FE38970" w14:textId="271C3E65" w:rsidR="00823683" w:rsidRDefault="00823683" w:rsidP="008E4956">
      <w:pPr>
        <w:pStyle w:val="Body2"/>
        <w:jc w:val="left"/>
        <w:rPr>
          <w:rFonts w:cs="Times New Roman"/>
          <w:sz w:val="24"/>
          <w:szCs w:val="24"/>
          <w:lang w:val="lt-LT"/>
        </w:rPr>
      </w:pPr>
    </w:p>
    <w:p w14:paraId="01925EB8" w14:textId="67486AE5" w:rsidR="00823683" w:rsidRDefault="00823683" w:rsidP="008E4956">
      <w:pPr>
        <w:pStyle w:val="Body2"/>
        <w:jc w:val="left"/>
        <w:rPr>
          <w:rFonts w:cs="Times New Roman"/>
          <w:sz w:val="24"/>
          <w:szCs w:val="24"/>
          <w:lang w:val="lt-LT"/>
        </w:rPr>
      </w:pPr>
    </w:p>
    <w:p w14:paraId="6039B9EB" w14:textId="219E52CD" w:rsidR="00823683" w:rsidRDefault="00823683" w:rsidP="008E4956">
      <w:pPr>
        <w:pStyle w:val="Body2"/>
        <w:jc w:val="left"/>
        <w:rPr>
          <w:rFonts w:cs="Times New Roman"/>
          <w:sz w:val="24"/>
          <w:szCs w:val="24"/>
          <w:lang w:val="lt-LT"/>
        </w:rPr>
      </w:pPr>
    </w:p>
    <w:p w14:paraId="51DB4190" w14:textId="636F08E7" w:rsidR="00823683" w:rsidRDefault="00823683" w:rsidP="008E4956">
      <w:pPr>
        <w:pStyle w:val="Body2"/>
        <w:jc w:val="left"/>
        <w:rPr>
          <w:rFonts w:cs="Times New Roman"/>
          <w:sz w:val="24"/>
          <w:szCs w:val="24"/>
          <w:lang w:val="lt-LT"/>
        </w:rPr>
      </w:pPr>
    </w:p>
    <w:p w14:paraId="35B56CB8" w14:textId="0C18B0C7" w:rsidR="00823683" w:rsidRDefault="00823683" w:rsidP="008E4956">
      <w:pPr>
        <w:pStyle w:val="Body2"/>
        <w:jc w:val="left"/>
        <w:rPr>
          <w:rFonts w:cs="Times New Roman"/>
          <w:sz w:val="24"/>
          <w:szCs w:val="24"/>
          <w:lang w:val="lt-LT"/>
        </w:rPr>
      </w:pPr>
    </w:p>
    <w:p w14:paraId="2A428548" w14:textId="77777777" w:rsidR="00823683" w:rsidRPr="00D33A40" w:rsidRDefault="00823683" w:rsidP="008E4956">
      <w:pPr>
        <w:pStyle w:val="Body2"/>
        <w:jc w:val="left"/>
        <w:rPr>
          <w:rFonts w:cs="Times New Roman"/>
          <w:sz w:val="24"/>
          <w:szCs w:val="24"/>
          <w:lang w:val="lt-LT"/>
        </w:rPr>
      </w:pPr>
    </w:p>
    <w:p w14:paraId="7BC41667" w14:textId="490C564D" w:rsidR="00D33A40" w:rsidRPr="00D33A40" w:rsidRDefault="00D33A40" w:rsidP="00D33A4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709"/>
        <w:jc w:val="right"/>
        <w:rPr>
          <w:lang w:val="lt-LT"/>
        </w:rPr>
      </w:pPr>
      <w:r w:rsidRPr="00D33A40">
        <w:rPr>
          <w:lang w:val="lt-LT"/>
        </w:rPr>
        <w:lastRenderedPageBreak/>
        <w:t>1 lentelė. Tiekėjų kvalifikacijos reikalavimai:</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8"/>
        <w:gridCol w:w="4610"/>
        <w:gridCol w:w="4044"/>
      </w:tblGrid>
      <w:tr w:rsidR="00D33A40" w:rsidRPr="00D33A40" w14:paraId="3426781D" w14:textId="77777777" w:rsidTr="004B1E29">
        <w:trPr>
          <w:tblHeader/>
        </w:trPr>
        <w:tc>
          <w:tcPr>
            <w:tcW w:w="847" w:type="dxa"/>
            <w:tcBorders>
              <w:top w:val="single" w:sz="4" w:space="0" w:color="000000"/>
              <w:left w:val="single" w:sz="4" w:space="0" w:color="000000"/>
              <w:bottom w:val="single" w:sz="4" w:space="0" w:color="000000"/>
              <w:right w:val="single" w:sz="4" w:space="0" w:color="000000"/>
            </w:tcBorders>
            <w:shd w:val="pct12" w:color="auto" w:fill="auto"/>
          </w:tcPr>
          <w:p w14:paraId="2C9C6DB2" w14:textId="77777777" w:rsidR="00D33A40" w:rsidRPr="00D33A40" w:rsidRDefault="00D33A40" w:rsidP="004B1E29">
            <w:pPr>
              <w:ind w:right="-149"/>
              <w:jc w:val="center"/>
              <w:rPr>
                <w:b/>
                <w:lang w:val="lt-LT"/>
              </w:rPr>
            </w:pPr>
          </w:p>
          <w:p w14:paraId="08291E4F" w14:textId="77777777" w:rsidR="00D33A40" w:rsidRPr="00D33A40" w:rsidRDefault="00D33A40" w:rsidP="004B1E29">
            <w:pPr>
              <w:ind w:right="-149"/>
              <w:jc w:val="center"/>
              <w:rPr>
                <w:b/>
                <w:lang w:val="lt-LT"/>
              </w:rPr>
            </w:pPr>
            <w:r w:rsidRPr="00D33A40">
              <w:rPr>
                <w:b/>
                <w:lang w:val="lt-LT"/>
              </w:rPr>
              <w:t>Eil.</w:t>
            </w:r>
          </w:p>
          <w:p w14:paraId="2C7C6B9B" w14:textId="77777777" w:rsidR="00D33A40" w:rsidRPr="00D33A40" w:rsidRDefault="00D33A40" w:rsidP="004B1E29">
            <w:pPr>
              <w:ind w:right="-149"/>
              <w:jc w:val="center"/>
              <w:rPr>
                <w:b/>
                <w:lang w:val="lt-LT"/>
              </w:rPr>
            </w:pPr>
            <w:r w:rsidRPr="00D33A40">
              <w:rPr>
                <w:b/>
                <w:lang w:val="lt-LT"/>
              </w:rPr>
              <w:t>Nr.</w:t>
            </w:r>
          </w:p>
        </w:tc>
        <w:tc>
          <w:tcPr>
            <w:tcW w:w="4678" w:type="dxa"/>
            <w:shd w:val="pct10" w:color="auto" w:fill="auto"/>
            <w:vAlign w:val="center"/>
          </w:tcPr>
          <w:p w14:paraId="3C38E7E9" w14:textId="77777777" w:rsidR="00D33A40" w:rsidRPr="00D33A40" w:rsidRDefault="00D33A40" w:rsidP="004B1E29">
            <w:pPr>
              <w:tabs>
                <w:tab w:val="left" w:pos="567"/>
              </w:tabs>
              <w:ind w:right="141"/>
              <w:jc w:val="center"/>
              <w:rPr>
                <w:b/>
                <w:szCs w:val="20"/>
                <w:lang w:val="lt-LT"/>
              </w:rPr>
            </w:pPr>
            <w:r w:rsidRPr="00D33A40">
              <w:rPr>
                <w:b/>
                <w:szCs w:val="20"/>
                <w:lang w:val="lt-LT"/>
              </w:rPr>
              <w:t>Kvalifikacijos reikalavimai</w:t>
            </w:r>
          </w:p>
        </w:tc>
        <w:tc>
          <w:tcPr>
            <w:tcW w:w="4103" w:type="dxa"/>
            <w:shd w:val="pct10" w:color="auto" w:fill="auto"/>
            <w:vAlign w:val="center"/>
          </w:tcPr>
          <w:p w14:paraId="6E259DDF" w14:textId="77777777" w:rsidR="00D33A40" w:rsidRPr="00D33A40" w:rsidRDefault="00D33A40" w:rsidP="004B1E29">
            <w:pPr>
              <w:tabs>
                <w:tab w:val="left" w:pos="567"/>
              </w:tabs>
              <w:ind w:right="141"/>
              <w:jc w:val="center"/>
              <w:rPr>
                <w:b/>
                <w:szCs w:val="20"/>
                <w:lang w:val="lt-LT"/>
              </w:rPr>
            </w:pPr>
            <w:r w:rsidRPr="00D33A40">
              <w:rPr>
                <w:b/>
                <w:szCs w:val="20"/>
                <w:lang w:val="lt-LT"/>
              </w:rPr>
              <w:t>Kvalifikacijos reikalavimus įrodantys dokumentai</w:t>
            </w:r>
          </w:p>
        </w:tc>
      </w:tr>
      <w:tr w:rsidR="00D33A40" w:rsidRPr="00D33A40" w14:paraId="52D35FFD" w14:textId="77777777" w:rsidTr="004B1E29">
        <w:trPr>
          <w:tblHeader/>
        </w:trPr>
        <w:tc>
          <w:tcPr>
            <w:tcW w:w="847" w:type="dxa"/>
            <w:tcBorders>
              <w:top w:val="single" w:sz="4" w:space="0" w:color="000000"/>
              <w:left w:val="single" w:sz="4" w:space="0" w:color="000000"/>
              <w:bottom w:val="single" w:sz="4" w:space="0" w:color="000000"/>
              <w:right w:val="single" w:sz="4" w:space="0" w:color="000000"/>
            </w:tcBorders>
            <w:shd w:val="pct12" w:color="auto" w:fill="auto"/>
          </w:tcPr>
          <w:p w14:paraId="42DAAD01" w14:textId="77777777" w:rsidR="00D33A40" w:rsidRPr="00D33A40" w:rsidRDefault="00D33A40" w:rsidP="004B1E29">
            <w:pPr>
              <w:tabs>
                <w:tab w:val="left" w:pos="540"/>
              </w:tabs>
              <w:ind w:right="-149"/>
              <w:jc w:val="center"/>
              <w:rPr>
                <w:b/>
                <w:sz w:val="16"/>
                <w:szCs w:val="16"/>
                <w:lang w:val="lt-LT"/>
              </w:rPr>
            </w:pPr>
            <w:r w:rsidRPr="00D33A40">
              <w:rPr>
                <w:b/>
                <w:sz w:val="16"/>
                <w:szCs w:val="16"/>
                <w:lang w:val="lt-LT"/>
              </w:rPr>
              <w:t>1</w:t>
            </w:r>
          </w:p>
        </w:tc>
        <w:tc>
          <w:tcPr>
            <w:tcW w:w="4678" w:type="dxa"/>
            <w:tcBorders>
              <w:top w:val="single" w:sz="4" w:space="0" w:color="000000"/>
              <w:left w:val="single" w:sz="4" w:space="0" w:color="000000"/>
              <w:bottom w:val="single" w:sz="4" w:space="0" w:color="000000"/>
              <w:right w:val="single" w:sz="4" w:space="0" w:color="000000"/>
            </w:tcBorders>
            <w:shd w:val="pct12" w:color="auto" w:fill="auto"/>
          </w:tcPr>
          <w:p w14:paraId="5A2BC93E" w14:textId="77777777" w:rsidR="00D33A40" w:rsidRPr="00D33A40" w:rsidRDefault="00D33A40" w:rsidP="004B1E29">
            <w:pPr>
              <w:jc w:val="center"/>
              <w:rPr>
                <w:b/>
                <w:sz w:val="16"/>
                <w:szCs w:val="16"/>
                <w:lang w:val="lt-LT"/>
              </w:rPr>
            </w:pPr>
            <w:r w:rsidRPr="00D33A40">
              <w:rPr>
                <w:b/>
                <w:sz w:val="16"/>
                <w:szCs w:val="16"/>
                <w:lang w:val="lt-LT"/>
              </w:rPr>
              <w:t>2</w:t>
            </w:r>
          </w:p>
        </w:tc>
        <w:tc>
          <w:tcPr>
            <w:tcW w:w="4103" w:type="dxa"/>
            <w:tcBorders>
              <w:top w:val="single" w:sz="4" w:space="0" w:color="000000"/>
              <w:left w:val="single" w:sz="4" w:space="0" w:color="000000"/>
              <w:bottom w:val="single" w:sz="4" w:space="0" w:color="000000"/>
              <w:right w:val="single" w:sz="4" w:space="0" w:color="000000"/>
            </w:tcBorders>
            <w:shd w:val="pct12" w:color="auto" w:fill="auto"/>
          </w:tcPr>
          <w:p w14:paraId="5CD42D1C" w14:textId="77777777" w:rsidR="00D33A40" w:rsidRPr="00D33A40" w:rsidRDefault="00D33A40" w:rsidP="004B1E29">
            <w:pPr>
              <w:jc w:val="center"/>
              <w:rPr>
                <w:b/>
                <w:sz w:val="16"/>
                <w:szCs w:val="16"/>
                <w:lang w:val="lt-LT"/>
              </w:rPr>
            </w:pPr>
            <w:r w:rsidRPr="00D33A40">
              <w:rPr>
                <w:b/>
                <w:sz w:val="16"/>
                <w:szCs w:val="16"/>
                <w:lang w:val="lt-LT"/>
              </w:rPr>
              <w:t>3</w:t>
            </w:r>
          </w:p>
        </w:tc>
      </w:tr>
      <w:tr w:rsidR="00D33A40" w:rsidRPr="00D33A40" w14:paraId="5D601A73" w14:textId="77777777" w:rsidTr="004B1E29">
        <w:tc>
          <w:tcPr>
            <w:tcW w:w="847" w:type="dxa"/>
            <w:tcBorders>
              <w:top w:val="single" w:sz="4" w:space="0" w:color="000000"/>
              <w:left w:val="single" w:sz="4" w:space="0" w:color="000000"/>
              <w:bottom w:val="single" w:sz="4" w:space="0" w:color="auto"/>
              <w:right w:val="single" w:sz="4" w:space="0" w:color="000000"/>
            </w:tcBorders>
          </w:tcPr>
          <w:p w14:paraId="12165E6E" w14:textId="77777777" w:rsidR="00D33A40" w:rsidRPr="00D33A40" w:rsidRDefault="00D33A40" w:rsidP="004B1E29">
            <w:pPr>
              <w:ind w:right="-149"/>
              <w:jc w:val="center"/>
              <w:rPr>
                <w:color w:val="FF0000"/>
                <w:lang w:val="lt-LT"/>
              </w:rPr>
            </w:pPr>
            <w:r w:rsidRPr="00D33A40">
              <w:rPr>
                <w:lang w:val="lt-LT"/>
              </w:rPr>
              <w:t>3.11.1.</w:t>
            </w:r>
          </w:p>
        </w:tc>
        <w:tc>
          <w:tcPr>
            <w:tcW w:w="4678" w:type="dxa"/>
            <w:tcBorders>
              <w:top w:val="single" w:sz="4" w:space="0" w:color="000000"/>
              <w:left w:val="single" w:sz="4" w:space="0" w:color="000000"/>
              <w:bottom w:val="single" w:sz="4" w:space="0" w:color="auto"/>
              <w:right w:val="single" w:sz="4" w:space="0" w:color="000000"/>
            </w:tcBorders>
            <w:shd w:val="clear" w:color="auto" w:fill="FFFFFF"/>
          </w:tcPr>
          <w:p w14:paraId="7F315C8D" w14:textId="77777777" w:rsidR="00D33A40" w:rsidRPr="00D33A40" w:rsidRDefault="00D33A40" w:rsidP="004B1E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000000" w:themeColor="text1"/>
                <w:sz w:val="24"/>
                <w:szCs w:val="24"/>
                <w:lang w:val="lt-LT"/>
              </w:rPr>
            </w:pPr>
            <w:r w:rsidRPr="00D33A40">
              <w:rPr>
                <w:rFonts w:ascii="Times New Roman" w:eastAsia="Times New Roman" w:hAnsi="Times New Roman" w:cs="Times New Roman"/>
                <w:color w:val="000000" w:themeColor="text1"/>
                <w:sz w:val="24"/>
                <w:szCs w:val="24"/>
                <w:lang w:val="lt-LT"/>
              </w:rPr>
              <w:t>Tiekėjas turi teisę verstis ne gyvybės draudimo šakos draudimo nuo nelaimingų atsitikimų ir ligų (sveikatos draudimo) veikla.</w:t>
            </w:r>
          </w:p>
          <w:p w14:paraId="23B88F13" w14:textId="77777777" w:rsidR="00D33A40" w:rsidRPr="00D33A40" w:rsidRDefault="00D33A40" w:rsidP="004B1E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D33A40">
              <w:rPr>
                <w:rFonts w:ascii="Times New Roman" w:eastAsia="Times New Roman" w:hAnsi="Times New Roman" w:cs="Times New Roman"/>
                <w:color w:val="000000" w:themeColor="text1"/>
                <w:sz w:val="24"/>
                <w:szCs w:val="24"/>
                <w:lang w:val="lt-LT"/>
              </w:rPr>
              <w:t xml:space="preserve">Reikalaujamos veiklos teisinis pagrindas – Lietuvos Respublikos </w:t>
            </w:r>
            <w:r w:rsidRPr="00D33A40">
              <w:rPr>
                <w:rFonts w:ascii="Times New Roman" w:eastAsia="Times New Roman" w:hAnsi="Times New Roman" w:cs="Times New Roman"/>
                <w:color w:val="auto"/>
                <w:sz w:val="24"/>
                <w:szCs w:val="24"/>
                <w:lang w:val="lt-LT"/>
              </w:rPr>
              <w:t xml:space="preserve">draudimo </w:t>
            </w:r>
            <w:r w:rsidRPr="00D33A40">
              <w:rPr>
                <w:rFonts w:ascii="Times New Roman" w:hAnsi="Times New Roman" w:cs="Times New Roman"/>
                <w:color w:val="auto"/>
                <w:sz w:val="24"/>
                <w:szCs w:val="24"/>
                <w:lang w:val="lt-LT"/>
              </w:rPr>
              <w:t>įstatymo 3 str. 1 d.</w:t>
            </w:r>
          </w:p>
          <w:p w14:paraId="7A559D7F" w14:textId="77777777" w:rsidR="00D33A40" w:rsidRPr="00D33A40" w:rsidRDefault="00D33A40" w:rsidP="004B1E29">
            <w:pPr>
              <w:tabs>
                <w:tab w:val="left" w:pos="4427"/>
              </w:tabs>
              <w:ind w:right="103"/>
              <w:jc w:val="both"/>
              <w:rPr>
                <w:lang w:val="lt-LT"/>
              </w:rPr>
            </w:pPr>
          </w:p>
        </w:tc>
        <w:tc>
          <w:tcPr>
            <w:tcW w:w="4103" w:type="dxa"/>
            <w:tcBorders>
              <w:top w:val="single" w:sz="4" w:space="0" w:color="000000"/>
              <w:left w:val="single" w:sz="4" w:space="0" w:color="000000"/>
              <w:bottom w:val="single" w:sz="4" w:space="0" w:color="auto"/>
              <w:right w:val="single" w:sz="4" w:space="0" w:color="000000"/>
            </w:tcBorders>
          </w:tcPr>
          <w:p w14:paraId="6A833F96" w14:textId="54FDE564" w:rsidR="00823683" w:rsidRDefault="00823683" w:rsidP="004B1E29">
            <w:pPr>
              <w:jc w:val="both"/>
              <w:rPr>
                <w:b/>
                <w:bCs/>
                <w:iCs/>
                <w:lang w:val="lt-LT"/>
              </w:rPr>
            </w:pPr>
            <w:r w:rsidRPr="00823683">
              <w:rPr>
                <w:b/>
                <w:bCs/>
                <w:iCs/>
                <w:highlight w:val="yellow"/>
                <w:lang w:val="lt-LT"/>
              </w:rPr>
              <w:t>(kvalifikacinius dokumentus teikia tik laimėjęs pasiūlymas)</w:t>
            </w:r>
          </w:p>
          <w:p w14:paraId="42490C40" w14:textId="77777777" w:rsidR="00823683" w:rsidRDefault="00823683" w:rsidP="004B1E29">
            <w:pPr>
              <w:jc w:val="both"/>
              <w:rPr>
                <w:b/>
                <w:bCs/>
                <w:iCs/>
                <w:lang w:val="lt-LT"/>
              </w:rPr>
            </w:pPr>
          </w:p>
          <w:p w14:paraId="349B385F" w14:textId="77777777" w:rsidR="00823683" w:rsidRDefault="00823683" w:rsidP="004B1E29">
            <w:pPr>
              <w:jc w:val="both"/>
              <w:rPr>
                <w:b/>
                <w:bCs/>
                <w:iCs/>
                <w:lang w:val="lt-LT"/>
              </w:rPr>
            </w:pPr>
          </w:p>
          <w:p w14:paraId="418809EC" w14:textId="0767CFCA" w:rsidR="00D33A40" w:rsidRPr="00D33A40" w:rsidRDefault="00D33A40" w:rsidP="004B1E29">
            <w:pPr>
              <w:jc w:val="both"/>
              <w:rPr>
                <w:iCs/>
                <w:lang w:val="lt-LT"/>
              </w:rPr>
            </w:pPr>
            <w:r w:rsidRPr="00D33A40">
              <w:rPr>
                <w:b/>
                <w:bCs/>
                <w:iCs/>
                <w:lang w:val="lt-LT"/>
              </w:rPr>
              <w:t>Dėl Lietuvos Respublikos tiekėjo</w:t>
            </w:r>
            <w:r w:rsidRPr="00D33A40">
              <w:rPr>
                <w:iCs/>
                <w:lang w:val="lt-LT"/>
              </w:rPr>
              <w:t xml:space="preserve"> – Lietuvos banko išduota draudimo veiklos licencija, suteikianti teisę vykdyti ne gyvybės draudimo šakos draudimo nuo nelaimingų atsitikimų ir ligų (sveikatos draudimo) veiklą, kurią perkančioji organizacija patikrins naudodamasi Lietuvos banko (http://www.lb.lt) registrais. </w:t>
            </w:r>
          </w:p>
          <w:p w14:paraId="1AF17515" w14:textId="77777777" w:rsidR="00D33A40" w:rsidRPr="00D33A40" w:rsidRDefault="00D33A40" w:rsidP="004B1E29">
            <w:pPr>
              <w:jc w:val="both"/>
              <w:rPr>
                <w:iCs/>
                <w:lang w:val="lt-LT"/>
              </w:rPr>
            </w:pPr>
            <w:r w:rsidRPr="00D33A40">
              <w:rPr>
                <w:b/>
                <w:bCs/>
                <w:iCs/>
                <w:lang w:val="lt-LT"/>
              </w:rPr>
              <w:t>Užsienio tiekėjas</w:t>
            </w:r>
            <w:r w:rsidRPr="00D33A40">
              <w:rPr>
                <w:iCs/>
                <w:lang w:val="lt-LT"/>
              </w:rPr>
              <w:t xml:space="preserve"> pateikia lygiaverčius dokumentus. </w:t>
            </w:r>
          </w:p>
          <w:p w14:paraId="3C257202" w14:textId="77777777" w:rsidR="00D33A40" w:rsidRPr="00D33A40" w:rsidRDefault="00D33A40" w:rsidP="004B1E29">
            <w:pPr>
              <w:jc w:val="both"/>
              <w:rPr>
                <w:iCs/>
                <w:lang w:val="lt-LT"/>
              </w:rPr>
            </w:pPr>
            <w:r w:rsidRPr="00D33A40">
              <w:rPr>
                <w:iCs/>
                <w:lang w:val="lt-LT"/>
              </w:rPr>
              <w:t xml:space="preserve">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w:t>
            </w:r>
          </w:p>
          <w:p w14:paraId="0393863B" w14:textId="77777777" w:rsidR="00D33A40" w:rsidRPr="00D33A40" w:rsidRDefault="00D33A40" w:rsidP="004B1E29">
            <w:pPr>
              <w:jc w:val="both"/>
              <w:rPr>
                <w:iCs/>
                <w:lang w:val="lt-LT"/>
              </w:rPr>
            </w:pPr>
            <w:r w:rsidRPr="00D33A40">
              <w:rPr>
                <w:iCs/>
                <w:lang w:val="lt-LT"/>
              </w:rPr>
              <w:t>Užsienio tiekėjo turimos kvalifikacijos patvirtinimo dokumentai Lietuvoje gali būti išduoti ir po galutinės pasiūlymų pateikimo datos iki pirkimo sutarties sudarymo dienos. Tokiu atveju, tiekėjai turi pateikti kilmės šalyje išduoto dokumento kopiją ir prašymo išduoti teisės pripažinimo dokumentą kopiją, o iki pasirašant sutartį turės pateikti ir patį teisės pripažinimo dokumentą.</w:t>
            </w:r>
          </w:p>
          <w:p w14:paraId="4D912E32" w14:textId="77777777" w:rsidR="00D33A40" w:rsidRPr="00D33A40" w:rsidRDefault="00D33A40" w:rsidP="004B1E29">
            <w:pPr>
              <w:jc w:val="both"/>
              <w:rPr>
                <w:iCs/>
                <w:lang w:val="lt-LT"/>
              </w:rPr>
            </w:pPr>
          </w:p>
          <w:p w14:paraId="55A606CF" w14:textId="77777777" w:rsidR="00D33A40" w:rsidRPr="00D33A40" w:rsidRDefault="00D33A40" w:rsidP="004B1E29">
            <w:pPr>
              <w:jc w:val="both"/>
              <w:rPr>
                <w:iCs/>
                <w:lang w:val="lt-LT"/>
              </w:rPr>
            </w:pPr>
            <w:r w:rsidRPr="00D33A40">
              <w:rPr>
                <w:iCs/>
                <w:lang w:val="lt-LT"/>
              </w:rPr>
              <w:t>Tiekėjas gali remtis kitų ūkio subjektų pajėgumais tik tuomet, kai tie subjektai, kurių pajėgumais buvo pasiremta, patys tieks prekes, teiks paslaugas ar atliks darbus, kuriems reikia jų pajėgumų.</w:t>
            </w:r>
          </w:p>
        </w:tc>
      </w:tr>
    </w:tbl>
    <w:p w14:paraId="4AE39328" w14:textId="77777777" w:rsidR="00D33A40" w:rsidRPr="00D33A40" w:rsidRDefault="00D33A40" w:rsidP="00D33A4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rPr>
          <w:lang w:val="lt-LT"/>
        </w:rPr>
      </w:pPr>
    </w:p>
    <w:p w14:paraId="191CAA75" w14:textId="77777777" w:rsidR="00D33A40" w:rsidRPr="00D33A40" w:rsidRDefault="00D33A40" w:rsidP="008E4956">
      <w:pPr>
        <w:pStyle w:val="Body2"/>
        <w:jc w:val="left"/>
        <w:rPr>
          <w:rFonts w:cs="Times New Roman"/>
          <w:sz w:val="24"/>
          <w:szCs w:val="24"/>
          <w:lang w:val="lt-LT"/>
        </w:rPr>
      </w:pPr>
    </w:p>
    <w:p w14:paraId="454E789C" w14:textId="00339A7A" w:rsidR="002C7657" w:rsidRPr="00D33A40" w:rsidRDefault="005C347E" w:rsidP="008E4956">
      <w:pPr>
        <w:pStyle w:val="Body2"/>
        <w:jc w:val="left"/>
        <w:rPr>
          <w:rFonts w:cs="Times New Roman"/>
          <w:sz w:val="24"/>
          <w:szCs w:val="24"/>
          <w:lang w:val="lt-LT"/>
        </w:rPr>
      </w:pPr>
      <w:r w:rsidRPr="00D33A40">
        <w:rPr>
          <w:rFonts w:cs="Times New Roman"/>
          <w:sz w:val="24"/>
          <w:szCs w:val="24"/>
          <w:lang w:val="lt-LT"/>
        </w:rPr>
        <w:tab/>
        <w:t>3.</w:t>
      </w:r>
      <w:r w:rsidR="00722B46" w:rsidRPr="00D33A40">
        <w:rPr>
          <w:rFonts w:cs="Times New Roman"/>
          <w:sz w:val="24"/>
          <w:szCs w:val="24"/>
          <w:lang w:val="lt-LT"/>
        </w:rPr>
        <w:t>3</w:t>
      </w:r>
      <w:r w:rsidRPr="00D33A40">
        <w:rPr>
          <w:rFonts w:cs="Times New Roman"/>
          <w:sz w:val="24"/>
          <w:szCs w:val="24"/>
          <w:lang w:val="lt-LT"/>
        </w:rPr>
        <w:t>.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3.</w:t>
      </w:r>
      <w:r w:rsidR="00722B46" w:rsidRPr="00D33A40">
        <w:rPr>
          <w:rFonts w:cs="Times New Roman"/>
          <w:sz w:val="24"/>
          <w:szCs w:val="24"/>
          <w:lang w:val="lt-LT"/>
        </w:rPr>
        <w:t>4</w:t>
      </w:r>
      <w:r w:rsidRPr="00D33A40">
        <w:rPr>
          <w:rFonts w:cs="Times New Roman"/>
          <w:sz w:val="24"/>
          <w:szCs w:val="24"/>
          <w:lang w:val="lt-LT"/>
        </w:rPr>
        <w:t>. Tiekėjo pasiūlymas atmetamas, jeigu apie nustatytų reikalavimų atitikimą jis pateikė melagingą informaciją, kurią perkančioji organizacija gali įrodyti bet kokiomis teisėtomis priemonėmis.</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4. ŪKIO SUBJEKTŲ GRUPĖS DALYVAVIMAS</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r>
      <w:r w:rsidRPr="00D33A40">
        <w:rPr>
          <w:rFonts w:cs="Times New Roman"/>
          <w:sz w:val="24"/>
          <w:szCs w:val="24"/>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 xml:space="preserve">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w:t>
      </w:r>
      <w:r w:rsidRPr="00D33A40">
        <w:rPr>
          <w:rFonts w:cs="Times New Roman"/>
          <w:sz w:val="24"/>
          <w:szCs w:val="24"/>
          <w:lang w:val="lt-LT"/>
        </w:rPr>
        <w:lastRenderedPageBreak/>
        <w:t>kurios patvirtintų, kad tiekėjui kitų ūkio subjektų ištekliai bus prieinami ir galimi naudotis per visą sutartinių įsipareigojimų vykdymo laikotarpį.</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5. PASIŪLYMŲ RENGIMAS, PATEIKIMAS, KEITIMAS</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5.1. Tiekėjas gali pateikti tik vieną pasiūlymą. Jei tiekėjas pateikia daugiau kaip vieną pasiūlymą arba ūkio subjektų grupės dalyvis dalyvauja teikiant kelis pasiūlymus, visi tokie pasiūlymai bus atmesti.</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5.2. Tiekėjas negali pateikti alternatyvių pasiūlymų. Tiekėjui pateikus alternatyvų pasiūlymą, jo pasiūlymas ir alternatyvus pasiūlymas (alternatyvūs pasiūlymai) bus atmesti.</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5.4. Pasiūlymas turi būti pateiktas iki CVP IS nurodyto pasiūlymų pateikimo termino pabaigos.</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5.5. Pateikdamas pasiūlymą, tiekėjas sutinka su šiais pirkimo dokumentais ir patvirtina, kad jo pasiūlyme pateikta informacija yra teisinga ir apima viską, ko reikia tinkamam pirkimo sutarties įvykdymui.</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5.7. Pasiūlymas turi galioti ne trumpiau nei 90 dienų nuo konkurso pasiūlymų pateikimo termino pabaigos. Jeigu pasiūlyme nenurodytas jo galiojimo laikas, laikoma, kad pasiūlymas galioja tiek, kiek nustatyta pirkimo dokumentuose.</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5.9. Perkančioji organizacija turi teisę pratęsti pasiūlymo pateikimo terminą. Apie naują pasiūlymų pateikimo terminą perkančioji organizacija paskelbia CVP IS ir praneša prie pirkimo CVP IS prisijungusiems tiekėjams.</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5.10. Pasiūlymas turi būti pateikiamas CVP IS priemonėmis, kurį turi sudaryti užpildyta pasiūlymo forma parengta pagal pirkimo sąlygų priedą ir šie pasiūlymo priedai:</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5.10.1. Jungtinės veiklos sutarties kopija (jeigu pasiūlymą teikia ūkio subjektų grupė).</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5.10.2. Įgaliojimas pateikti pasiūlymą (jeigu pasiūlymą pateikia ne tiekėjo vadovas).</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5.11. Tiekėjo pasiūlymą sudaro CVP IS priemonėmis pateiktos informacijos ir dokumentų visuma.</w:t>
      </w:r>
      <w:r w:rsidRPr="00D33A40">
        <w:rPr>
          <w:rFonts w:cs="Times New Roman"/>
          <w:sz w:val="24"/>
          <w:szCs w:val="24"/>
          <w:lang w:val="lt-LT"/>
        </w:rPr>
        <w:tab/>
      </w:r>
    </w:p>
    <w:p w14:paraId="7D631DF8" w14:textId="35442FEF" w:rsidR="00D33A40" w:rsidRPr="00D33A40" w:rsidRDefault="002C7657" w:rsidP="008D41FE">
      <w:pPr>
        <w:tabs>
          <w:tab w:val="left" w:pos="993"/>
          <w:tab w:val="left" w:pos="1418"/>
        </w:tabs>
        <w:ind w:firstLine="720"/>
        <w:rPr>
          <w:kern w:val="2"/>
          <w:lang w:val="lt-LT"/>
          <w14:ligatures w14:val="standardContextual"/>
        </w:rPr>
      </w:pPr>
      <w:r w:rsidRPr="00D33A40">
        <w:rPr>
          <w:lang w:val="lt-LT"/>
        </w:rPr>
        <w:t xml:space="preserve">          </w:t>
      </w:r>
      <w:r w:rsidR="005C347E" w:rsidRPr="00D33A40">
        <w:rPr>
          <w:lang w:val="lt-LT"/>
        </w:rPr>
        <w:t>5.12. Perkančioji organizacija nereikalauja pasiūlymą pasirašyti elektroniniu parašu.</w:t>
      </w:r>
      <w:r w:rsidR="005C347E" w:rsidRPr="00D33A40">
        <w:rPr>
          <w:lang w:val="lt-LT"/>
        </w:rPr>
        <w:tab/>
      </w:r>
      <w:r w:rsidR="005C347E" w:rsidRPr="00D33A40">
        <w:rPr>
          <w:lang w:val="lt-LT"/>
        </w:rPr>
        <w:br/>
      </w:r>
      <w:r w:rsidR="005C347E" w:rsidRPr="00D33A40">
        <w:rPr>
          <w:lang w:val="lt-LT"/>
        </w:rPr>
        <w:tab/>
        <w:t xml:space="preserve">5.13. Tiekėjas pasiūlymo formoje turi aiškiai nurodyti, kuri pasiūlymo informacija yra konfidenciali, vadovaujantis VPĮ 20 straipsniu (taip pat žr. </w:t>
      </w:r>
      <w:r w:rsidR="005C347E" w:rsidRPr="00D33A40">
        <w:rPr>
          <w:lang w:val="lt-LT"/>
        </w:rPr>
        <w:lastRenderedPageBreak/>
        <w:t>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5C347E" w:rsidRPr="00D33A40">
        <w:rPr>
          <w:lang w:val="lt-LT"/>
        </w:rPr>
        <w:tab/>
      </w:r>
      <w:r w:rsidR="005C347E" w:rsidRPr="00D33A40">
        <w:rPr>
          <w:lang w:val="lt-LT"/>
        </w:rPr>
        <w:br/>
      </w:r>
      <w:r w:rsidR="005C347E" w:rsidRPr="00D33A40">
        <w:rPr>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5C347E" w:rsidRPr="00D33A40">
        <w:rPr>
          <w:lang w:val="lt-LT"/>
        </w:rPr>
        <w:tab/>
      </w:r>
      <w:r w:rsidR="005C347E" w:rsidRPr="00D33A40">
        <w:rPr>
          <w:lang w:val="lt-LT"/>
        </w:rPr>
        <w:br/>
      </w:r>
      <w:r w:rsidR="005C347E" w:rsidRPr="00D33A40">
        <w:rPr>
          <w:lang w:val="lt-LT"/>
        </w:rPr>
        <w:tab/>
        <w:t>5.15. Kol nesibaigė pasiūlymų galiojimo laikas, perkančioji organizacija turi teisę prašyti CVP IS priemonėmis, kad tiekėjai pratęstų jų galiojimą iki konkrečiai nurodyto laiko. Tiekėjas CVP IS priemonėmis tokį prašymą gali atmesti.</w:t>
      </w:r>
      <w:r w:rsidR="005C347E" w:rsidRPr="00D33A40">
        <w:rPr>
          <w:lang w:val="lt-LT"/>
        </w:rPr>
        <w:tab/>
      </w:r>
      <w:r w:rsidR="005C347E" w:rsidRPr="00D33A40">
        <w:rPr>
          <w:lang w:val="lt-LT"/>
        </w:rPr>
        <w:br/>
      </w:r>
      <w:r w:rsidR="005C347E" w:rsidRPr="00D33A40">
        <w:rPr>
          <w:lang w:val="lt-LT"/>
        </w:rPr>
        <w:tab/>
      </w:r>
      <w:r w:rsidR="005C347E" w:rsidRPr="00D33A40">
        <w:rPr>
          <w:lang w:val="lt-LT"/>
        </w:rPr>
        <w:br/>
      </w:r>
      <w:r w:rsidR="005C347E" w:rsidRPr="00D33A40">
        <w:rPr>
          <w:lang w:val="lt-LT"/>
        </w:rPr>
        <w:tab/>
        <w:t>6. PASIŪLYMŲ ŠIFRAVIMAS</w:t>
      </w:r>
      <w:r w:rsidR="005C347E" w:rsidRPr="00D33A40">
        <w:rPr>
          <w:lang w:val="lt-LT"/>
        </w:rPr>
        <w:tab/>
      </w:r>
      <w:r w:rsidR="005C347E" w:rsidRPr="00D33A40">
        <w:rPr>
          <w:lang w:val="lt-LT"/>
        </w:rPr>
        <w:br/>
      </w:r>
      <w:r w:rsidR="005C347E" w:rsidRPr="00D33A40">
        <w:rPr>
          <w:lang w:val="lt-LT"/>
        </w:rPr>
        <w:tab/>
      </w:r>
      <w:r w:rsidR="005C347E" w:rsidRPr="00D33A40">
        <w:rPr>
          <w:lang w:val="lt-LT"/>
        </w:rPr>
        <w:br/>
      </w:r>
      <w:r w:rsidR="005C347E" w:rsidRPr="00D33A40">
        <w:rPr>
          <w:lang w:val="lt-LT"/>
        </w:rPr>
        <w:tab/>
        <w:t>6.1. Tiekėjo teikiamas pasiūlymas gali būti užšifruojamas. Tiekėjas, nusprendęs pateikti užšifruotą pasiūlymą, turi:</w:t>
      </w:r>
      <w:r w:rsidR="005C347E" w:rsidRPr="00D33A40">
        <w:rPr>
          <w:lang w:val="lt-LT"/>
        </w:rPr>
        <w:tab/>
      </w:r>
      <w:r w:rsidR="005C347E" w:rsidRPr="00D33A40">
        <w:rPr>
          <w:lang w:val="lt-LT"/>
        </w:rPr>
        <w:br/>
      </w:r>
      <w:r w:rsidR="005C347E" w:rsidRPr="00D33A40">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5C347E" w:rsidRPr="00D33A40">
        <w:rPr>
          <w:lang w:val="lt-LT"/>
        </w:rPr>
        <w:tab/>
      </w:r>
      <w:r w:rsidR="005C347E" w:rsidRPr="00D33A40">
        <w:rPr>
          <w:lang w:val="lt-LT"/>
        </w:rPr>
        <w:br/>
      </w:r>
      <w:r w:rsidR="005C347E" w:rsidRPr="00D33A40">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5C347E" w:rsidRPr="00D33A40">
        <w:rPr>
          <w:lang w:val="lt-LT"/>
        </w:rPr>
        <w:tab/>
      </w:r>
      <w:r w:rsidR="005C347E" w:rsidRPr="00D33A40">
        <w:rPr>
          <w:lang w:val="lt-LT"/>
        </w:rPr>
        <w:br/>
      </w:r>
      <w:r w:rsidR="005C347E" w:rsidRPr="00D33A40">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347E" w:rsidRPr="00D33A40">
        <w:rPr>
          <w:lang w:val="lt-LT"/>
        </w:rPr>
        <w:tab/>
      </w:r>
      <w:r w:rsidR="005C347E" w:rsidRPr="00D33A40">
        <w:rPr>
          <w:lang w:val="lt-LT"/>
        </w:rPr>
        <w:br/>
      </w:r>
      <w:r w:rsidR="005C347E" w:rsidRPr="00D33A40">
        <w:rPr>
          <w:lang w:val="lt-LT"/>
        </w:rPr>
        <w:tab/>
      </w:r>
      <w:r w:rsidR="005C347E" w:rsidRPr="00D33A40">
        <w:rPr>
          <w:lang w:val="lt-LT"/>
        </w:rPr>
        <w:br/>
      </w:r>
      <w:r w:rsidR="005C347E" w:rsidRPr="00D33A40">
        <w:rPr>
          <w:lang w:val="lt-LT"/>
        </w:rPr>
        <w:tab/>
        <w:t>7. PASIŪLYMŲ GALIOJIMO UŽTIKRINIMAS</w:t>
      </w:r>
      <w:r w:rsidR="005C347E" w:rsidRPr="00D33A40">
        <w:rPr>
          <w:lang w:val="lt-LT"/>
        </w:rPr>
        <w:tab/>
      </w:r>
      <w:r w:rsidR="005C347E" w:rsidRPr="00D33A40">
        <w:rPr>
          <w:lang w:val="lt-LT"/>
        </w:rPr>
        <w:br/>
      </w:r>
      <w:r w:rsidR="005C347E" w:rsidRPr="00D33A40">
        <w:rPr>
          <w:lang w:val="lt-LT"/>
        </w:rPr>
        <w:tab/>
      </w:r>
      <w:r w:rsidR="005C347E" w:rsidRPr="00D33A40">
        <w:rPr>
          <w:lang w:val="lt-LT"/>
        </w:rPr>
        <w:br/>
      </w:r>
      <w:r w:rsidR="005C347E" w:rsidRPr="00D33A40">
        <w:rPr>
          <w:lang w:val="lt-LT"/>
        </w:rPr>
        <w:tab/>
        <w:t>7.1. Pasiūlymo galiojimo užtikrinimas nereikalaujamas.</w:t>
      </w:r>
      <w:r w:rsidR="005C347E" w:rsidRPr="00D33A40">
        <w:rPr>
          <w:lang w:val="lt-LT"/>
        </w:rPr>
        <w:tab/>
      </w:r>
      <w:r w:rsidR="005C347E" w:rsidRPr="00D33A40">
        <w:rPr>
          <w:lang w:val="lt-LT"/>
        </w:rPr>
        <w:br/>
      </w:r>
      <w:r w:rsidR="005C347E" w:rsidRPr="00D33A40">
        <w:rPr>
          <w:lang w:val="lt-LT"/>
        </w:rPr>
        <w:tab/>
      </w:r>
      <w:r w:rsidR="005C347E" w:rsidRPr="00D33A40">
        <w:rPr>
          <w:lang w:val="lt-LT"/>
        </w:rPr>
        <w:br/>
      </w:r>
      <w:r w:rsidR="005C347E" w:rsidRPr="00D33A40">
        <w:rPr>
          <w:lang w:val="lt-LT"/>
        </w:rPr>
        <w:tab/>
        <w:t>8. PAVYZDŽIŲ PATEIKIMAS</w:t>
      </w:r>
      <w:r w:rsidR="005C347E" w:rsidRPr="00D33A40">
        <w:rPr>
          <w:lang w:val="lt-LT"/>
        </w:rPr>
        <w:tab/>
      </w:r>
      <w:r w:rsidR="005C347E" w:rsidRPr="00D33A40">
        <w:rPr>
          <w:lang w:val="lt-LT"/>
        </w:rPr>
        <w:br/>
      </w:r>
      <w:r w:rsidR="005C347E" w:rsidRPr="00D33A40">
        <w:rPr>
          <w:lang w:val="lt-LT"/>
        </w:rPr>
        <w:tab/>
      </w:r>
      <w:r w:rsidR="005C347E" w:rsidRPr="00D33A40">
        <w:rPr>
          <w:lang w:val="lt-LT"/>
        </w:rPr>
        <w:br/>
      </w:r>
      <w:r w:rsidR="005C347E" w:rsidRPr="00D33A40">
        <w:rPr>
          <w:lang w:val="lt-LT"/>
        </w:rPr>
        <w:tab/>
        <w:t>8.1. Siūlomo pirkimo objekto pavyzdžiai nereikalaujami.</w:t>
      </w:r>
      <w:r w:rsidR="005C347E" w:rsidRPr="00D33A40">
        <w:rPr>
          <w:lang w:val="lt-LT"/>
        </w:rPr>
        <w:tab/>
      </w:r>
      <w:r w:rsidR="005C347E" w:rsidRPr="00D33A40">
        <w:rPr>
          <w:lang w:val="lt-LT"/>
        </w:rPr>
        <w:br/>
      </w:r>
      <w:r w:rsidR="005C347E" w:rsidRPr="00D33A40">
        <w:rPr>
          <w:lang w:val="lt-LT"/>
        </w:rPr>
        <w:tab/>
      </w:r>
      <w:r w:rsidR="005C347E" w:rsidRPr="00D33A40">
        <w:rPr>
          <w:lang w:val="lt-LT"/>
        </w:rPr>
        <w:br/>
      </w:r>
      <w:r w:rsidR="005C347E" w:rsidRPr="00D33A40">
        <w:rPr>
          <w:lang w:val="lt-LT"/>
        </w:rPr>
        <w:tab/>
        <w:t>9. PIRKIMO DOKUMENTŲ PAAIŠKINIMAS IR PATIKSLINIMAS</w:t>
      </w:r>
      <w:r w:rsidR="005C347E" w:rsidRPr="00D33A40">
        <w:rPr>
          <w:lang w:val="lt-LT"/>
        </w:rPr>
        <w:tab/>
      </w:r>
      <w:r w:rsidR="005C347E" w:rsidRPr="00D33A40">
        <w:rPr>
          <w:lang w:val="lt-LT"/>
        </w:rPr>
        <w:br/>
      </w:r>
      <w:r w:rsidR="005C347E" w:rsidRPr="00D33A40">
        <w:rPr>
          <w:lang w:val="lt-LT"/>
        </w:rPr>
        <w:tab/>
      </w:r>
      <w:r w:rsidR="005C347E" w:rsidRPr="00D33A40">
        <w:rPr>
          <w:lang w:val="lt-LT"/>
        </w:rPr>
        <w:br/>
      </w:r>
      <w:r w:rsidR="005C347E" w:rsidRPr="00D33A40">
        <w:rPr>
          <w:lang w:val="lt-LT"/>
        </w:rPr>
        <w:tab/>
        <w:t xml:space="preserve">9.1. Tiekėjas tik CVP IS susirašinėjimo priemonėmis gali prašyti, kad perkančioji </w:t>
      </w:r>
      <w:r w:rsidR="005C347E" w:rsidRPr="00D33A40">
        <w:rPr>
          <w:lang w:val="lt-LT"/>
        </w:rPr>
        <w:lastRenderedPageBreak/>
        <w:t>organizacija paaiškintų ar pataisytų pirkimo dokumentus.</w:t>
      </w:r>
      <w:r w:rsidR="005C347E" w:rsidRPr="00D33A40">
        <w:rPr>
          <w:lang w:val="lt-LT"/>
        </w:rPr>
        <w:tab/>
      </w:r>
      <w:r w:rsidR="005C347E" w:rsidRPr="00D33A40">
        <w:rPr>
          <w:lang w:val="lt-LT"/>
        </w:rPr>
        <w:br/>
      </w:r>
      <w:r w:rsidR="005C347E" w:rsidRPr="00D33A40">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5C347E" w:rsidRPr="00D33A40">
        <w:rPr>
          <w:lang w:val="lt-LT"/>
        </w:rPr>
        <w:tab/>
      </w:r>
      <w:r w:rsidR="005C347E" w:rsidRPr="00D33A40">
        <w:rPr>
          <w:lang w:val="lt-LT"/>
        </w:rPr>
        <w:br/>
      </w:r>
      <w:r w:rsidR="005C347E" w:rsidRPr="00D33A40">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5C347E" w:rsidRPr="00D33A40">
        <w:rPr>
          <w:lang w:val="lt-LT"/>
        </w:rPr>
        <w:tab/>
      </w:r>
      <w:r w:rsidR="005C347E" w:rsidRPr="00D33A40">
        <w:rPr>
          <w:lang w:val="lt-LT"/>
        </w:rPr>
        <w:br/>
      </w:r>
      <w:r w:rsidR="005C347E" w:rsidRPr="00D33A40">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5C347E" w:rsidRPr="00D33A40">
        <w:rPr>
          <w:lang w:val="lt-LT"/>
        </w:rPr>
        <w:tab/>
      </w:r>
      <w:r w:rsidR="005C347E" w:rsidRPr="00D33A40">
        <w:rPr>
          <w:lang w:val="lt-LT"/>
        </w:rPr>
        <w:br/>
      </w:r>
      <w:r w:rsidR="005C347E" w:rsidRPr="00D33A40">
        <w:rPr>
          <w:lang w:val="lt-LT"/>
        </w:rPr>
        <w:tab/>
        <w:t>9.5. Nesibaigus pirkimo pasiūlymų pateikimo terminui, perkančioji organizacija savo iniciatyva gali paaiškinti (pataisyti) pirkimo dokumentus CVP IS priemonėmis.</w:t>
      </w:r>
      <w:r w:rsidR="005C347E" w:rsidRPr="00D33A40">
        <w:rPr>
          <w:lang w:val="lt-LT"/>
        </w:rPr>
        <w:tab/>
      </w:r>
      <w:r w:rsidR="005C347E" w:rsidRPr="00D33A40">
        <w:rPr>
          <w:lang w:val="lt-LT"/>
        </w:rPr>
        <w:br/>
      </w:r>
      <w:r w:rsidR="005C347E" w:rsidRPr="00D33A40">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5C347E" w:rsidRPr="00D33A40">
        <w:rPr>
          <w:lang w:val="lt-LT"/>
        </w:rPr>
        <w:tab/>
      </w:r>
      <w:r w:rsidR="005C347E" w:rsidRPr="00D33A40">
        <w:rPr>
          <w:lang w:val="lt-LT"/>
        </w:rPr>
        <w:br/>
      </w:r>
      <w:r w:rsidR="005C347E" w:rsidRPr="00D33A40">
        <w:rPr>
          <w:lang w:val="lt-LT"/>
        </w:rPr>
        <w:tab/>
        <w:t>9.7. Bet kokia informacija, pirkimo sąlygų paaiškinimai, pranešimai ar kitas perkančiosios organizacijos ir tiekėjo susirašinėjimas yra vykdomas tik CVP IS susirašinėjimo priemonėmis.</w:t>
      </w:r>
      <w:r w:rsidR="005C347E" w:rsidRPr="00D33A40">
        <w:rPr>
          <w:lang w:val="lt-LT"/>
        </w:rPr>
        <w:tab/>
      </w:r>
      <w:r w:rsidR="005C347E" w:rsidRPr="00D33A40">
        <w:rPr>
          <w:lang w:val="lt-LT"/>
        </w:rPr>
        <w:br/>
      </w:r>
      <w:r w:rsidR="005C347E" w:rsidRPr="00D33A40">
        <w:rPr>
          <w:lang w:val="lt-LT"/>
        </w:rPr>
        <w:tab/>
      </w:r>
      <w:r w:rsidR="005C347E" w:rsidRPr="00D33A40">
        <w:rPr>
          <w:lang w:val="lt-LT"/>
        </w:rPr>
        <w:br/>
      </w:r>
      <w:r w:rsidR="005C347E" w:rsidRPr="00D33A40">
        <w:rPr>
          <w:lang w:val="lt-LT"/>
        </w:rPr>
        <w:tab/>
        <w:t>10. SUSIPAŽINIMAS SU GAUTAIS PASIŪLYMAIS</w:t>
      </w:r>
      <w:r w:rsidR="005C347E" w:rsidRPr="00D33A40">
        <w:rPr>
          <w:lang w:val="lt-LT"/>
        </w:rPr>
        <w:tab/>
      </w:r>
      <w:r w:rsidR="005C347E" w:rsidRPr="00D33A40">
        <w:rPr>
          <w:lang w:val="lt-LT"/>
        </w:rPr>
        <w:br/>
      </w:r>
      <w:r w:rsidR="005C347E" w:rsidRPr="00D33A40">
        <w:rPr>
          <w:lang w:val="lt-LT"/>
        </w:rPr>
        <w:tab/>
      </w:r>
      <w:r w:rsidR="005C347E" w:rsidRPr="00D33A40">
        <w:rPr>
          <w:lang w:val="lt-LT"/>
        </w:rPr>
        <w:br/>
      </w:r>
      <w:r w:rsidR="005C347E" w:rsidRPr="00D33A40">
        <w:rPr>
          <w:lang w:val="lt-LT"/>
        </w:rPr>
        <w:tab/>
        <w:t>10.1. Pirminis susipažinimas su CVP IS priemonėmis pateiktais tiekėjų pasiūlymais vyks 45 min. po CVP IS nurodytos pasiūlymų pateikimo termino pabaigos.</w:t>
      </w:r>
      <w:r w:rsidR="005C347E" w:rsidRPr="00D33A40">
        <w:rPr>
          <w:lang w:val="lt-LT"/>
        </w:rPr>
        <w:tab/>
      </w:r>
      <w:r w:rsidR="005C347E" w:rsidRPr="00D33A40">
        <w:rPr>
          <w:lang w:val="lt-LT"/>
        </w:rPr>
        <w:br/>
      </w:r>
      <w:r w:rsidR="005C347E" w:rsidRPr="00D33A40">
        <w:rPr>
          <w:lang w:val="lt-LT"/>
        </w:rPr>
        <w:tab/>
        <w:t>10.2. Pirminio susipažinimo su CVP IS priemonėmis pateiktais pasiūlymais procedūroje pasiūlymus pateikę tiekėjai nedalyvauja.</w:t>
      </w:r>
      <w:r w:rsidR="005C347E" w:rsidRPr="00D33A40">
        <w:rPr>
          <w:lang w:val="lt-LT"/>
        </w:rPr>
        <w:tab/>
      </w:r>
      <w:r w:rsidR="005C347E" w:rsidRPr="00D33A40">
        <w:rPr>
          <w:lang w:val="lt-LT"/>
        </w:rPr>
        <w:br/>
      </w:r>
      <w:r w:rsidR="005C347E" w:rsidRPr="00D33A40">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005C347E" w:rsidRPr="00D33A40">
        <w:rPr>
          <w:lang w:val="lt-LT"/>
        </w:rPr>
        <w:tab/>
      </w:r>
      <w:r w:rsidR="005C347E" w:rsidRPr="00D33A40">
        <w:rPr>
          <w:lang w:val="lt-LT"/>
        </w:rPr>
        <w:br/>
      </w:r>
      <w:r w:rsidR="005C347E" w:rsidRPr="00D33A40">
        <w:rPr>
          <w:lang w:val="lt-LT"/>
        </w:rPr>
        <w:tab/>
      </w:r>
      <w:r w:rsidR="005C347E" w:rsidRPr="00D33A40">
        <w:rPr>
          <w:lang w:val="lt-LT"/>
        </w:rPr>
        <w:br/>
      </w:r>
      <w:r w:rsidR="005C347E" w:rsidRPr="00D33A40">
        <w:rPr>
          <w:lang w:val="lt-LT"/>
        </w:rPr>
        <w:tab/>
        <w:t>11. PASIŪLYMŲ NAGRINĖJIMAS</w:t>
      </w:r>
      <w:r w:rsidR="005C347E" w:rsidRPr="00D33A40">
        <w:rPr>
          <w:lang w:val="lt-LT"/>
        </w:rPr>
        <w:tab/>
      </w:r>
      <w:r w:rsidR="005C347E" w:rsidRPr="00D33A40">
        <w:rPr>
          <w:lang w:val="lt-LT"/>
        </w:rPr>
        <w:br/>
      </w:r>
      <w:r w:rsidR="005C347E" w:rsidRPr="00D33A40">
        <w:rPr>
          <w:lang w:val="lt-LT"/>
        </w:rPr>
        <w:tab/>
      </w:r>
      <w:r w:rsidR="005C347E" w:rsidRPr="00D33A40">
        <w:rPr>
          <w:lang w:val="lt-LT"/>
        </w:rPr>
        <w:br/>
      </w:r>
      <w:r w:rsidR="005C347E" w:rsidRPr="00D33A40">
        <w:rPr>
          <w:lang w:val="lt-LT"/>
        </w:rPr>
        <w:tab/>
        <w:t>11.1. Pateiktus pasiūlymus nagrinėja Komisija arba pirkimo organizatorius šia tvarka:</w:t>
      </w:r>
      <w:r w:rsidR="005C347E" w:rsidRPr="00D33A40">
        <w:rPr>
          <w:lang w:val="lt-LT"/>
        </w:rPr>
        <w:tab/>
      </w:r>
      <w:r w:rsidR="005C347E" w:rsidRPr="00D33A40">
        <w:rPr>
          <w:lang w:val="lt-LT"/>
        </w:rPr>
        <w:br/>
      </w:r>
      <w:r w:rsidR="005C347E" w:rsidRPr="00D33A40">
        <w:rPr>
          <w:lang w:val="lt-LT"/>
        </w:rPr>
        <w:tab/>
        <w:t>11.1.1. įvertina tiekėjo EBVPD ir priima sprendimą dėl kiekvieno tiekėjo EBVPD patikrinimo (jei pirkimo sąlygose buvo prašoma pateikti EBVPD);</w:t>
      </w:r>
      <w:r w:rsidR="005C347E" w:rsidRPr="00D33A40">
        <w:rPr>
          <w:lang w:val="lt-LT"/>
        </w:rPr>
        <w:tab/>
      </w:r>
      <w:r w:rsidR="005C347E" w:rsidRPr="00D33A40">
        <w:rPr>
          <w:lang w:val="lt-LT"/>
        </w:rPr>
        <w:br/>
      </w:r>
      <w:r w:rsidR="005C347E" w:rsidRPr="00D33A40">
        <w:rPr>
          <w:lang w:val="lt-LT"/>
        </w:rPr>
        <w:tab/>
        <w:t>11.1.2. įvertina kiekvieno tiekėjo atitiktį pirkimo sąlygų priede „Kvalifikacijos ir kiti reikalavimai tiekėjui“ nustatytiems Reikalavimams tiekėjui (jei pirkimo sąlygose taikomi Reikalavimai tiekėjui ir kvalifikacijos atitikimo dokumentus buvo reikalaujama pateikti kartu su pasiūlymu).</w:t>
      </w:r>
      <w:r w:rsidR="005C347E" w:rsidRPr="00D33A40">
        <w:rPr>
          <w:lang w:val="lt-LT"/>
        </w:rPr>
        <w:tab/>
      </w:r>
      <w:r w:rsidR="005C347E" w:rsidRPr="00D33A40">
        <w:rPr>
          <w:lang w:val="lt-LT"/>
        </w:rPr>
        <w:br/>
      </w:r>
      <w:r w:rsidR="005C347E" w:rsidRPr="00D33A40">
        <w:rPr>
          <w:lang w:val="lt-LT"/>
        </w:rPr>
        <w:tab/>
        <w:t>11.2. Kiekvienas tiekėjas atskirai informuojamas apie jo pateikto EBVPD patikrinimo rezultatus (jei taikoma). Teisę dalyvauti tolesnėse pirkimo procedūrose turi keliamus reikalavimus atitinkantys tiekėjai. Jei pasiūlymas atmetamas, tiekėjui nurodomas jo pasiūlymo atmetimo pagrindas.</w:t>
      </w:r>
      <w:r w:rsidR="005C347E" w:rsidRPr="00D33A40">
        <w:rPr>
          <w:lang w:val="lt-LT"/>
        </w:rPr>
        <w:tab/>
      </w:r>
      <w:r w:rsidR="005C347E" w:rsidRPr="00D33A40">
        <w:rPr>
          <w:lang w:val="lt-LT"/>
        </w:rPr>
        <w:br/>
      </w:r>
      <w:r w:rsidR="005C347E" w:rsidRPr="00D33A40">
        <w:rPr>
          <w:lang w:val="lt-LT"/>
        </w:rPr>
        <w:tab/>
        <w:t>11.3. Jei tiekėjo pasiūlymas nėra atmetamas, Komisija arba pirkimo organizatorius toliau atlieka šias pirkimo procedūras:</w:t>
      </w:r>
      <w:r w:rsidR="005C347E" w:rsidRPr="00D33A40">
        <w:rPr>
          <w:lang w:val="lt-LT"/>
        </w:rPr>
        <w:tab/>
      </w:r>
      <w:r w:rsidR="005C347E" w:rsidRPr="00D33A40">
        <w:rPr>
          <w:lang w:val="lt-LT"/>
        </w:rPr>
        <w:br/>
      </w:r>
      <w:r w:rsidR="005C347E" w:rsidRPr="00D33A40">
        <w:rPr>
          <w:lang w:val="lt-LT"/>
        </w:rPr>
        <w:tab/>
        <w:t>11.3.1. nustato, ar tiekėjo siūlomas pirkimo objektas atitinka pirkimo dokumentuose nustatytus reikalavimus;</w:t>
      </w:r>
      <w:r w:rsidR="005C347E" w:rsidRPr="00D33A40">
        <w:rPr>
          <w:lang w:val="lt-LT"/>
        </w:rPr>
        <w:tab/>
      </w:r>
      <w:r w:rsidR="005C347E" w:rsidRPr="00D33A40">
        <w:rPr>
          <w:lang w:val="lt-LT"/>
        </w:rPr>
        <w:br/>
      </w:r>
      <w:r w:rsidR="005C347E" w:rsidRPr="00D33A40">
        <w:rPr>
          <w:lang w:val="lt-LT"/>
        </w:rPr>
        <w:tab/>
        <w:t>11.3.2. patikrina, ar tiekėjo pasiūlyme nėra nurodytos kainos apskaičiavimo klaidų;</w:t>
      </w:r>
      <w:r w:rsidR="005C347E" w:rsidRPr="00D33A40">
        <w:rPr>
          <w:lang w:val="lt-LT"/>
        </w:rPr>
        <w:tab/>
      </w:r>
      <w:r w:rsidR="005C347E" w:rsidRPr="00D33A40">
        <w:rPr>
          <w:lang w:val="lt-LT"/>
        </w:rPr>
        <w:br/>
      </w:r>
      <w:r w:rsidR="005C347E" w:rsidRPr="00D33A40">
        <w:rPr>
          <w:lang w:val="lt-LT"/>
        </w:rPr>
        <w:lastRenderedPageBreak/>
        <w:tab/>
        <w:t>11.3.3. patikrina, ar tiekėjo pasiūlyme nurodyta kaina nėra per didelė ir perkančiajai organizacijai nepriimtina;</w:t>
      </w:r>
      <w:r w:rsidR="005C347E" w:rsidRPr="00D33A40">
        <w:rPr>
          <w:lang w:val="lt-LT"/>
        </w:rPr>
        <w:tab/>
      </w:r>
      <w:r w:rsidR="005C347E" w:rsidRPr="00D33A40">
        <w:rPr>
          <w:lang w:val="lt-LT"/>
        </w:rPr>
        <w:br/>
      </w:r>
      <w:r w:rsidR="005C347E" w:rsidRPr="00D33A40">
        <w:rPr>
          <w:lang w:val="lt-LT"/>
        </w:rPr>
        <w:tab/>
        <w:t>11.3.4. patikrina, ar tiekėjo pasiūlyme nurodyta kaina (jos sudedamosios dalys) neatrodo neįprastai maža;</w:t>
      </w:r>
      <w:r w:rsidR="005C347E" w:rsidRPr="00D33A40">
        <w:rPr>
          <w:lang w:val="lt-LT"/>
        </w:rPr>
        <w:tab/>
      </w:r>
      <w:r w:rsidR="005C347E" w:rsidRPr="00D33A40">
        <w:rPr>
          <w:lang w:val="lt-LT"/>
        </w:rPr>
        <w:br/>
      </w:r>
      <w:r w:rsidR="005C347E" w:rsidRPr="00D33A40">
        <w:rPr>
          <w:lang w:val="lt-LT"/>
        </w:rPr>
        <w:tab/>
        <w:t>11.3.5. vykdo derybas šiose pirkimo sąlygose nustatyta tvarka (jei taikoma);</w:t>
      </w:r>
      <w:r w:rsidR="005C347E" w:rsidRPr="00D33A40">
        <w:rPr>
          <w:lang w:val="lt-LT"/>
        </w:rPr>
        <w:tab/>
      </w:r>
      <w:r w:rsidR="005C347E" w:rsidRPr="00D33A40">
        <w:rPr>
          <w:lang w:val="lt-LT"/>
        </w:rPr>
        <w:br/>
      </w:r>
      <w:r w:rsidR="005C347E" w:rsidRPr="00D33A40">
        <w:rPr>
          <w:lang w:val="lt-LT"/>
        </w:rPr>
        <w:tab/>
        <w:t>11.3.6. apskaičiuoja kiekvieno pasiūlymo kainos ar sąnaudų ir kokybės santykį (jei taikoma), ir galimo laimėtojo prašo pateikti pašalinimo pagrindų nebuvimą pagrindžiančius dokumentus (jei taikoma)  ir atitiktį pirkimo sąlygų priede „Kvalifikacijos ir kiti reikalavimai tiekėjui“ nustatytiems Reikalavimams tiekėjui  pagrindžiančius dokumentus (jei pirkimo sąlygose taikomi Reikalavimai tiekėjui ir kvalifikacijos atitikimo dokumentų numatyta prašyti tik iš galimo laimėtojo) bei priima sprendimą dėl tiekėjo pašalinimo pagrindų nebuvimo ir atitikimo kvalifikaciniams reikalavimams (jei taikomi);</w:t>
      </w:r>
      <w:r w:rsidR="005C347E" w:rsidRPr="00D33A40">
        <w:rPr>
          <w:lang w:val="lt-LT"/>
        </w:rPr>
        <w:tab/>
      </w:r>
      <w:r w:rsidR="005C347E" w:rsidRPr="00D33A40">
        <w:rPr>
          <w:lang w:val="lt-LT"/>
        </w:rPr>
        <w:br/>
      </w:r>
      <w:r w:rsidR="005C347E" w:rsidRPr="00D33A40">
        <w:rPr>
          <w:lang w:val="lt-LT"/>
        </w:rPr>
        <w:tab/>
        <w:t>11.3.7. sudaro pasiūlymų eilę ir nustato pirkimo laimėtoją;</w:t>
      </w:r>
      <w:r w:rsidR="005C347E" w:rsidRPr="00D33A40">
        <w:rPr>
          <w:lang w:val="lt-LT"/>
        </w:rPr>
        <w:tab/>
      </w:r>
      <w:r w:rsidR="005C347E" w:rsidRPr="00D33A40">
        <w:rPr>
          <w:lang w:val="lt-LT"/>
        </w:rPr>
        <w:br/>
      </w:r>
      <w:r w:rsidR="005C347E" w:rsidRPr="00D33A40">
        <w:rPr>
          <w:lang w:val="lt-LT"/>
        </w:rPr>
        <w:tab/>
        <w:t>11.3.8. tiekėją, kurio pasiūlymas pripažintas laimėjusiu, kviečia sudaryti pirkimo sutartį.</w:t>
      </w:r>
      <w:r w:rsidR="005C347E" w:rsidRPr="00D33A40">
        <w:rPr>
          <w:lang w:val="lt-LT"/>
        </w:rPr>
        <w:tab/>
      </w:r>
      <w:r w:rsidR="005C347E" w:rsidRPr="00D33A40">
        <w:rPr>
          <w:lang w:val="lt-LT"/>
        </w:rPr>
        <w:br/>
      </w:r>
      <w:r w:rsidR="005C347E" w:rsidRPr="00D33A40">
        <w:rPr>
          <w:lang w:val="lt-LT"/>
        </w:rPr>
        <w:tab/>
        <w:t>11.4. Jeigu tiekėjas pateikė netikslius, neišsamius ar klaidingus dokumentus ar duomenis apie atitiktį pirkimo dokumentų reikalavimams arba šių dokumentų ar duomenų trūksta, Komisija arba pirkimo organizatorius, nepažeisdamas lygiateisiškumo ir skaidrumo principų, prašo tiekėjo šiuos dokumentus ar duomenis patikslinti, papildyti arba paaiškinti per jo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r w:rsidR="005C347E" w:rsidRPr="00D33A40">
        <w:rPr>
          <w:lang w:val="lt-LT"/>
        </w:rPr>
        <w:tab/>
      </w:r>
      <w:r w:rsidR="005C347E" w:rsidRPr="00D33A40">
        <w:rPr>
          <w:lang w:val="lt-LT"/>
        </w:rPr>
        <w:br/>
      </w:r>
      <w:r w:rsidR="005C347E" w:rsidRPr="00D33A40">
        <w:rPr>
          <w:lang w:val="lt-LT"/>
        </w:rPr>
        <w:tab/>
        <w:t>11.5. Komisija arba pirkimo organizatorius gali CVP IS priemonėmis prašyti, kad tiekėjai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r w:rsidR="005C347E" w:rsidRPr="00D33A40">
        <w:rPr>
          <w:lang w:val="lt-LT"/>
        </w:rPr>
        <w:tab/>
      </w:r>
      <w:r w:rsidR="005C347E" w:rsidRPr="00D33A40">
        <w:rPr>
          <w:lang w:val="lt-LT"/>
        </w:rPr>
        <w:br/>
      </w:r>
      <w:r w:rsidR="005C347E" w:rsidRPr="00D33A40">
        <w:rPr>
          <w:lang w:val="lt-LT"/>
        </w:rPr>
        <w:tab/>
        <w:t>11.6.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5C347E" w:rsidRPr="00D33A40">
        <w:rPr>
          <w:lang w:val="lt-LT"/>
        </w:rPr>
        <w:tab/>
      </w:r>
      <w:r w:rsidR="005C347E" w:rsidRPr="00D33A40">
        <w:rPr>
          <w:lang w:val="lt-LT"/>
        </w:rPr>
        <w:br/>
      </w:r>
      <w:r w:rsidR="005C347E" w:rsidRPr="00D33A40">
        <w:rPr>
          <w:lang w:val="lt-LT"/>
        </w:rPr>
        <w:tab/>
        <w:t>11.7.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005C347E" w:rsidRPr="00D33A40">
        <w:rPr>
          <w:lang w:val="lt-LT"/>
        </w:rPr>
        <w:tab/>
      </w:r>
      <w:r w:rsidR="005C347E" w:rsidRPr="00D33A40">
        <w:rPr>
          <w:lang w:val="lt-LT"/>
        </w:rPr>
        <w:br/>
      </w:r>
      <w:r w:rsidR="005C347E" w:rsidRPr="00D33A40">
        <w:rPr>
          <w:lang w:val="lt-LT"/>
        </w:rPr>
        <w:tab/>
        <w:t>11.8. Jeigu tiekėjo pasiūlyme nurodyta kaina (jos sudedamosios dalys) atrodo neįprastai maža, Komisija arba pirkimo organizatorius prašo tiekėją ją pagrįsti, vadovaujantis VPĮ 57 straipsnio 2 ir 3 dalių nuostatomis.</w:t>
      </w:r>
      <w:r w:rsidR="005C347E" w:rsidRPr="00D33A40">
        <w:rPr>
          <w:lang w:val="lt-LT"/>
        </w:rPr>
        <w:tab/>
      </w:r>
      <w:r w:rsidR="005C347E" w:rsidRPr="00D33A40">
        <w:rPr>
          <w:lang w:val="lt-LT"/>
        </w:rPr>
        <w:br/>
      </w:r>
      <w:r w:rsidR="005C347E" w:rsidRPr="00D33A40">
        <w:rPr>
          <w:lang w:val="lt-LT"/>
        </w:rPr>
        <w:tab/>
        <w:t>11.9. Komisija arba pirkimo organizatorius gali nevertinti viso pasiūlymo, jeigu patikrinus pasiūlymo dalį nustatoma, kad pasiūlymas, vadovaujantis jam nustatytais reikalavimais, turi būti atmetamas.</w:t>
      </w:r>
      <w:r w:rsidR="005C347E" w:rsidRPr="00D33A40">
        <w:rPr>
          <w:lang w:val="lt-LT"/>
        </w:rPr>
        <w:tab/>
      </w:r>
      <w:r w:rsidR="005C347E" w:rsidRPr="00D33A40">
        <w:rPr>
          <w:lang w:val="lt-LT"/>
        </w:rPr>
        <w:br/>
      </w:r>
      <w:r w:rsidR="005C347E" w:rsidRPr="00D33A40">
        <w:rPr>
          <w:lang w:val="lt-LT"/>
        </w:rPr>
        <w:tab/>
      </w:r>
      <w:r w:rsidR="005C347E" w:rsidRPr="00D33A40">
        <w:rPr>
          <w:lang w:val="lt-LT"/>
        </w:rPr>
        <w:br/>
      </w:r>
      <w:r w:rsidR="005C347E" w:rsidRPr="00D33A40">
        <w:rPr>
          <w:lang w:val="lt-LT"/>
        </w:rPr>
        <w:tab/>
        <w:t>12. ELEKTRONINIS AUKCIONAS ARBA DERYBOS</w:t>
      </w:r>
      <w:r w:rsidR="005C347E" w:rsidRPr="00D33A40">
        <w:rPr>
          <w:lang w:val="lt-LT"/>
        </w:rPr>
        <w:tab/>
      </w:r>
      <w:r w:rsidR="005C347E" w:rsidRPr="00D33A40">
        <w:rPr>
          <w:lang w:val="lt-LT"/>
        </w:rPr>
        <w:br/>
      </w:r>
      <w:r w:rsidR="005C347E" w:rsidRPr="00D33A40">
        <w:rPr>
          <w:lang w:val="lt-LT"/>
        </w:rPr>
        <w:tab/>
      </w:r>
      <w:r w:rsidR="00823683">
        <w:rPr>
          <w:lang w:val="lt-LT"/>
        </w:rPr>
        <w:t xml:space="preserve">Nebus </w:t>
      </w:r>
      <w:r w:rsidR="008D41FE">
        <w:rPr>
          <w:lang w:val="lt-LT"/>
        </w:rPr>
        <w:t xml:space="preserve"> nevykdoma</w:t>
      </w:r>
      <w:r w:rsidR="00823683">
        <w:rPr>
          <w:lang w:val="lt-LT"/>
        </w:rPr>
        <w:t>s.</w:t>
      </w:r>
      <w:r w:rsidR="005C347E" w:rsidRPr="00D33A40">
        <w:rPr>
          <w:lang w:val="lt-LT"/>
        </w:rPr>
        <w:br/>
      </w:r>
      <w:r w:rsidR="005C347E" w:rsidRPr="00D33A40">
        <w:rPr>
          <w:lang w:val="lt-LT"/>
        </w:rPr>
        <w:tab/>
      </w:r>
      <w:r w:rsidR="005C347E" w:rsidRPr="00D33A40">
        <w:rPr>
          <w:lang w:val="lt-LT"/>
        </w:rPr>
        <w:tab/>
      </w:r>
      <w:r w:rsidR="005C347E" w:rsidRPr="00D33A40">
        <w:rPr>
          <w:lang w:val="lt-LT"/>
        </w:rPr>
        <w:br/>
      </w:r>
      <w:r w:rsidR="005C347E" w:rsidRPr="00D33A40">
        <w:rPr>
          <w:lang w:val="lt-LT"/>
        </w:rPr>
        <w:lastRenderedPageBreak/>
        <w:tab/>
        <w:t>13. PASIŪLYMŲ ATMETIMO PRIEŽASTYS</w:t>
      </w:r>
      <w:r w:rsidR="005C347E" w:rsidRPr="00D33A40">
        <w:rPr>
          <w:lang w:val="lt-LT"/>
        </w:rPr>
        <w:tab/>
      </w:r>
      <w:r w:rsidR="005C347E" w:rsidRPr="00D33A40">
        <w:rPr>
          <w:lang w:val="lt-LT"/>
        </w:rPr>
        <w:br/>
      </w:r>
      <w:r w:rsidR="005C347E" w:rsidRPr="00D33A40">
        <w:rPr>
          <w:lang w:val="lt-LT"/>
        </w:rPr>
        <w:tab/>
      </w:r>
      <w:r w:rsidR="005C347E" w:rsidRPr="00D33A40">
        <w:rPr>
          <w:lang w:val="lt-LT"/>
        </w:rPr>
        <w:br/>
      </w:r>
      <w:r w:rsidR="005C347E" w:rsidRPr="00D33A40">
        <w:rPr>
          <w:lang w:val="lt-LT"/>
        </w:rPr>
        <w:tab/>
        <w:t>13.1. Perkančioji organizacija atmeta pasiūlymą, jeigu:</w:t>
      </w:r>
      <w:r w:rsidR="005C347E" w:rsidRPr="00D33A40">
        <w:rPr>
          <w:lang w:val="lt-LT"/>
        </w:rPr>
        <w:tab/>
      </w:r>
      <w:r w:rsidR="005C347E" w:rsidRPr="00D33A40">
        <w:rPr>
          <w:lang w:val="lt-LT"/>
        </w:rPr>
        <w:br/>
      </w:r>
      <w:r w:rsidR="005C347E" w:rsidRPr="00D33A40">
        <w:rPr>
          <w:lang w:val="lt-LT"/>
        </w:rPr>
        <w:tab/>
        <w:t>13.1.1. tiekėjas pasiūlymą ar jo dalį pateikė ne CVP IS priemonėmis;</w:t>
      </w:r>
      <w:r w:rsidR="005C347E" w:rsidRPr="00D33A40">
        <w:rPr>
          <w:lang w:val="lt-LT"/>
        </w:rPr>
        <w:tab/>
      </w:r>
      <w:r w:rsidR="005C347E" w:rsidRPr="00D33A40">
        <w:rPr>
          <w:lang w:val="lt-LT"/>
        </w:rPr>
        <w:br/>
      </w:r>
      <w:r w:rsidR="005C347E" w:rsidRPr="00D33A40">
        <w:rPr>
          <w:lang w:val="lt-LT"/>
        </w:rPr>
        <w:tab/>
        <w:t>13.1.2. pasiūlymą pateikęs tiekėjas turi būti pašalinamas iš pirkimo procedūros pagal pirkimo sąlygų 3.1 punktą (jei taikomi tiekėjų pašalinimo pagrindai) arba perkančiosios organizacijos prašymu nepateikė ar nepatikslino pateiktų netikslių ar neišsamių duomenų apie pašalinimo pagrindų nebuvimą CVP IS priemonėmis;</w:t>
      </w:r>
      <w:r w:rsidR="005C347E" w:rsidRPr="00D33A40">
        <w:rPr>
          <w:lang w:val="lt-LT"/>
        </w:rPr>
        <w:tab/>
      </w:r>
      <w:r w:rsidR="005C347E" w:rsidRPr="00D33A40">
        <w:rPr>
          <w:lang w:val="lt-LT"/>
        </w:rPr>
        <w:br/>
      </w:r>
      <w:r w:rsidR="005C347E" w:rsidRPr="00D33A40">
        <w:rPr>
          <w:lang w:val="lt-LT"/>
        </w:rPr>
        <w:tab/>
        <w:t>13.1.3. pasiūlymą pateikęs tiekėjas neatitinka pirkimo sąlygų priede „Kvalifikacinių reikalavimų lentelė“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r w:rsidR="005C347E" w:rsidRPr="00D33A40">
        <w:rPr>
          <w:lang w:val="lt-LT"/>
        </w:rPr>
        <w:tab/>
      </w:r>
      <w:r w:rsidR="005C347E" w:rsidRPr="00D33A40">
        <w:rPr>
          <w:lang w:val="lt-LT"/>
        </w:rPr>
        <w:br/>
      </w:r>
      <w:r w:rsidR="005C347E" w:rsidRPr="00D33A40">
        <w:rPr>
          <w:lang w:val="lt-LT"/>
        </w:rPr>
        <w:tab/>
        <w:t>13.1.4. pasiūlymas neatitinka pirkimo dokumentuose nustatytų reikalavimų;</w:t>
      </w:r>
      <w:r w:rsidR="005C347E" w:rsidRPr="00D33A40">
        <w:rPr>
          <w:lang w:val="lt-LT"/>
        </w:rPr>
        <w:tab/>
      </w:r>
      <w:r w:rsidR="005C347E" w:rsidRPr="00D33A40">
        <w:rPr>
          <w:lang w:val="lt-LT"/>
        </w:rPr>
        <w:br/>
      </w:r>
      <w:r w:rsidR="005C347E" w:rsidRPr="00D33A40">
        <w:rPr>
          <w:lang w:val="lt-LT"/>
        </w:rPr>
        <w:tab/>
        <w:t>13.1.5. pasiūlyta kaina yra per didelė ir nepriimtina;</w:t>
      </w:r>
      <w:r w:rsidR="005C347E" w:rsidRPr="00D33A40">
        <w:rPr>
          <w:lang w:val="lt-LT"/>
        </w:rPr>
        <w:tab/>
      </w:r>
      <w:r w:rsidR="005C347E" w:rsidRPr="00D33A40">
        <w:rPr>
          <w:lang w:val="lt-LT"/>
        </w:rPr>
        <w:br/>
      </w:r>
      <w:r w:rsidR="005C347E" w:rsidRPr="00D33A40">
        <w:rPr>
          <w:lang w:val="lt-LT"/>
        </w:rPr>
        <w:tab/>
        <w:t>13.1.6. dalyvis per perkančiosios organizacijos nurodytą terminą neištaiso aritmetinių klaidų ir (ar) nepaaiškina pasiūlymo. Šiuo atveju jo pasiūlymas atmetamas kaip neatitinkantis pirkimo dokumentuose nustatytų reikalavimų;</w:t>
      </w:r>
      <w:r w:rsidR="005C347E" w:rsidRPr="00D33A40">
        <w:rPr>
          <w:lang w:val="lt-LT"/>
        </w:rPr>
        <w:tab/>
      </w:r>
      <w:r w:rsidR="005C347E" w:rsidRPr="00D33A40">
        <w:rPr>
          <w:lang w:val="lt-LT"/>
        </w:rPr>
        <w:br/>
      </w:r>
      <w:r w:rsidR="005C347E" w:rsidRPr="00D33A40">
        <w:rPr>
          <w:lang w:val="lt-LT"/>
        </w:rPr>
        <w:tab/>
        <w:t>13.1.7. pateiktame pasiūlyme nurodyta kaina yra neįprastai maža ir dalyvis, perkančiosios organizacijos prašymu, nepateikia tinkamų kainos pagrįstumo įrodymų;</w:t>
      </w:r>
      <w:r w:rsidR="005C347E" w:rsidRPr="00D33A40">
        <w:rPr>
          <w:lang w:val="lt-LT"/>
        </w:rPr>
        <w:tab/>
      </w:r>
      <w:r w:rsidR="005C347E" w:rsidRPr="00D33A40">
        <w:rPr>
          <w:lang w:val="lt-LT"/>
        </w:rPr>
        <w:br/>
      </w:r>
      <w:r w:rsidR="005C347E" w:rsidRPr="00D33A40">
        <w:rPr>
          <w:lang w:val="lt-LT"/>
        </w:rPr>
        <w:tab/>
        <w:t>13.1.8. tiekėjas, apie nustatytų reikalavimų atitikimą, yra pateikęs melagingą informaciją, kurią perkančioji organizacija gali įrodyti bet kokiomis teisėtomis priemonėmis;</w:t>
      </w:r>
      <w:r w:rsidR="005C347E" w:rsidRPr="00D33A40">
        <w:rPr>
          <w:lang w:val="lt-LT"/>
        </w:rPr>
        <w:tab/>
      </w:r>
      <w:r w:rsidR="005C347E" w:rsidRPr="00D33A40">
        <w:rPr>
          <w:lang w:val="lt-LT"/>
        </w:rPr>
        <w:br/>
      </w:r>
      <w:r w:rsidR="005C347E" w:rsidRPr="00D33A40">
        <w:rPr>
          <w:lang w:val="lt-LT"/>
        </w:rPr>
        <w:tab/>
        <w:t>13.1.9. jei tiekėjas pateikia daugiau kaip vieną pasiūlymą arba ūkio subjektų grupės narys dalyvauja teikiant kelis pasiūlymus;</w:t>
      </w:r>
      <w:r w:rsidR="005C347E" w:rsidRPr="00D33A40">
        <w:rPr>
          <w:lang w:val="lt-LT"/>
        </w:rPr>
        <w:tab/>
      </w:r>
      <w:r w:rsidR="005C347E" w:rsidRPr="00D33A40">
        <w:rPr>
          <w:lang w:val="lt-LT"/>
        </w:rPr>
        <w:br/>
      </w:r>
      <w:r w:rsidR="005C347E" w:rsidRPr="00D33A40">
        <w:rPr>
          <w:lang w:val="lt-LT"/>
        </w:rPr>
        <w:tab/>
        <w:t>13.1.10.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005C347E" w:rsidRPr="00D33A40">
        <w:rPr>
          <w:lang w:val="lt-LT"/>
        </w:rPr>
        <w:tab/>
      </w:r>
      <w:r w:rsidR="005C347E" w:rsidRPr="00D33A40">
        <w:rPr>
          <w:lang w:val="lt-LT"/>
        </w:rPr>
        <w:br/>
      </w:r>
      <w:r w:rsidR="005C347E" w:rsidRPr="00D33A40">
        <w:rPr>
          <w:lang w:val="lt-LT"/>
        </w:rPr>
        <w:tab/>
        <w:t>13.2. Apie pasiūlymo atmetimą ir tokio atmetimo priežastis tiekėjas informuojamas CVP IS priemonėmis.</w:t>
      </w:r>
      <w:r w:rsidR="005C347E" w:rsidRPr="00D33A40">
        <w:rPr>
          <w:lang w:val="lt-LT"/>
        </w:rPr>
        <w:tab/>
      </w:r>
      <w:r w:rsidR="005C347E" w:rsidRPr="00D33A40">
        <w:rPr>
          <w:lang w:val="lt-LT"/>
        </w:rPr>
        <w:br/>
      </w:r>
      <w:r w:rsidR="005C347E" w:rsidRPr="00D33A40">
        <w:rPr>
          <w:lang w:val="lt-LT"/>
        </w:rPr>
        <w:tab/>
      </w:r>
      <w:r w:rsidR="005C347E" w:rsidRPr="00D33A40">
        <w:rPr>
          <w:lang w:val="lt-LT"/>
        </w:rPr>
        <w:br/>
      </w:r>
      <w:r w:rsidR="005C347E" w:rsidRPr="00D33A40">
        <w:rPr>
          <w:lang w:val="lt-LT"/>
        </w:rPr>
        <w:tab/>
        <w:t>14. PASIŪLYMŲ VERTINIMAS</w:t>
      </w:r>
      <w:r w:rsidR="005C347E" w:rsidRPr="00D33A40">
        <w:rPr>
          <w:lang w:val="lt-LT"/>
        </w:rPr>
        <w:tab/>
      </w:r>
      <w:r w:rsidR="005C347E" w:rsidRPr="00D33A40">
        <w:rPr>
          <w:lang w:val="lt-LT"/>
        </w:rPr>
        <w:br/>
      </w:r>
      <w:r w:rsidR="005C347E" w:rsidRPr="00D33A40">
        <w:rPr>
          <w:lang w:val="lt-LT"/>
        </w:rPr>
        <w:tab/>
      </w:r>
      <w:r w:rsidR="005C347E" w:rsidRPr="00D33A40">
        <w:rPr>
          <w:lang w:val="lt-LT"/>
        </w:rPr>
        <w:br/>
      </w:r>
      <w:r w:rsidR="005C347E" w:rsidRPr="00D33A40">
        <w:rPr>
          <w:lang w:val="lt-LT"/>
        </w:rPr>
        <w:tab/>
      </w:r>
      <w:bookmarkStart w:id="0" w:name="_Hlk60189180"/>
      <w:r w:rsidR="00D33A40" w:rsidRPr="00D33A40">
        <w:rPr>
          <w:lang w:val="lt-LT"/>
        </w:rPr>
        <w:t xml:space="preserve">14.1. </w:t>
      </w:r>
      <w:bookmarkStart w:id="1" w:name="_Hlk179791221"/>
      <w:r w:rsidR="00D33A40" w:rsidRPr="00D33A40">
        <w:rPr>
          <w:lang w:val="lt-LT"/>
        </w:rPr>
        <w:t xml:space="preserve">Perkančiosios organizacijos </w:t>
      </w:r>
      <w:bookmarkEnd w:id="1"/>
      <w:r w:rsidR="00D33A40" w:rsidRPr="00D33A40">
        <w:rPr>
          <w:lang w:val="lt-LT"/>
        </w:rPr>
        <w:t xml:space="preserve">neatmesti pasiūlymai vertinami pagal ekonomiškai naudingiausio pasiūlymo vertinimo kriterijų – kainos ir kokybės santykį, </w:t>
      </w:r>
      <w:r w:rsidR="00D33A40" w:rsidRPr="00D33A40">
        <w:rPr>
          <w:kern w:val="2"/>
          <w:lang w:val="lt-LT"/>
          <w14:ligatures w14:val="standardContextual"/>
        </w:rPr>
        <w:t>tačiau tiekėjai konkuruoja ir ekonomiškai naudingiausias pasiūlymas išrenkamas </w:t>
      </w:r>
      <w:r w:rsidR="00D33A40" w:rsidRPr="00D33A40">
        <w:rPr>
          <w:kern w:val="2"/>
          <w:u w:val="single"/>
          <w:lang w:val="lt-LT"/>
          <w14:ligatures w14:val="standardContextual"/>
        </w:rPr>
        <w:t>tik kokybės kriterijų pagrindu</w:t>
      </w:r>
      <w:r w:rsidR="00D33A40" w:rsidRPr="00D33A40">
        <w:rPr>
          <w:kern w:val="2"/>
          <w:lang w:val="lt-LT"/>
          <w14:ligatures w14:val="standardContextual"/>
        </w:rPr>
        <w:t>.</w:t>
      </w:r>
    </w:p>
    <w:p w14:paraId="5E819B9E" w14:textId="0A20D43A" w:rsidR="00D33A40" w:rsidRPr="00D33A40" w:rsidRDefault="00D33A40" w:rsidP="00D33A40">
      <w:pPr>
        <w:tabs>
          <w:tab w:val="left" w:pos="993"/>
          <w:tab w:val="left" w:pos="1418"/>
        </w:tabs>
        <w:ind w:firstLine="720"/>
        <w:jc w:val="both"/>
        <w:rPr>
          <w:kern w:val="2"/>
          <w:lang w:val="lt-LT"/>
          <w14:ligatures w14:val="standardContextual"/>
        </w:rPr>
      </w:pPr>
      <w:r w:rsidRPr="00D33A40">
        <w:rPr>
          <w:kern w:val="2"/>
          <w:lang w:val="lt-LT"/>
          <w14:ligatures w14:val="standardContextual"/>
        </w:rPr>
        <w:t>14.2.</w:t>
      </w:r>
      <w:r w:rsidRPr="00D33A40">
        <w:rPr>
          <w:lang w:val="lt-LT"/>
        </w:rPr>
        <w:t xml:space="preserve"> </w:t>
      </w:r>
      <w:r w:rsidRPr="00D33A40">
        <w:rPr>
          <w:kern w:val="2"/>
          <w:lang w:val="lt-LT"/>
          <w14:ligatures w14:val="standardContextual"/>
        </w:rPr>
        <w:t>Perkančioji organizacija</w:t>
      </w:r>
      <w:r w:rsidRPr="00D33A40">
        <w:rPr>
          <w:lang w:val="lt-LT"/>
        </w:rPr>
        <w:t xml:space="preserve"> </w:t>
      </w:r>
      <w:r w:rsidRPr="00D33A40">
        <w:rPr>
          <w:kern w:val="2"/>
          <w:lang w:val="lt-LT"/>
          <w14:ligatures w14:val="standardContextual"/>
        </w:rPr>
        <w:t>paslaugas perka už fiksuotą 350,00 Eur (trijų šimtų penkiasdešimt eurų ir 00 centų) įkainį vienam darbuotojui (vienai sveikatos draudimo kortelei) 12 (dvylikos) mėnesių laikotarpiui (metinė draudimo įmoka).</w:t>
      </w:r>
    </w:p>
    <w:p w14:paraId="2D3BE539" w14:textId="7CEC7ECD" w:rsidR="00D33A40" w:rsidRPr="00D33A40" w:rsidRDefault="00D33A40" w:rsidP="00D33A40">
      <w:pPr>
        <w:tabs>
          <w:tab w:val="left" w:pos="993"/>
          <w:tab w:val="left" w:pos="1418"/>
        </w:tabs>
        <w:ind w:firstLine="720"/>
        <w:jc w:val="both"/>
        <w:rPr>
          <w:kern w:val="2"/>
          <w:lang w:val="lt-LT"/>
          <w14:ligatures w14:val="standardContextual"/>
        </w:rPr>
      </w:pPr>
      <w:r w:rsidRPr="00D33A40">
        <w:rPr>
          <w:kern w:val="2"/>
          <w:lang w:val="lt-LT"/>
          <w14:ligatures w14:val="standardContextual"/>
        </w:rPr>
        <w:t>14.3. Pasiūlymų vertinimo kriterijai ir ekonominio naudingumo balų apskaičiavimo tvarka:</w:t>
      </w:r>
    </w:p>
    <w:p w14:paraId="6DD599F7" w14:textId="27B7487A" w:rsidR="00D33A40" w:rsidRPr="00D33A40" w:rsidRDefault="00D33A40" w:rsidP="00D33A40">
      <w:pPr>
        <w:pBdr>
          <w:bottom w:val="single" w:sz="4" w:space="1" w:color="auto"/>
        </w:pBdr>
        <w:tabs>
          <w:tab w:val="left" w:pos="993"/>
          <w:tab w:val="left" w:pos="1418"/>
        </w:tabs>
        <w:ind w:firstLine="720"/>
        <w:jc w:val="both"/>
        <w:rPr>
          <w:kern w:val="2"/>
          <w:lang w:val="lt-LT"/>
          <w14:ligatures w14:val="standardContextual"/>
        </w:rPr>
      </w:pPr>
      <w:r w:rsidRPr="00D33A40">
        <w:rPr>
          <w:kern w:val="2"/>
          <w:lang w:val="lt-LT"/>
          <w14:ligatures w14:val="standardContextual"/>
        </w:rPr>
        <w:t xml:space="preserve">14.3.1. Tiekėjas teikia atskirai draudimo sumų pasiūlymą pagal pirkimo sąlygų </w:t>
      </w:r>
      <w:r w:rsidRPr="00D33A40">
        <w:rPr>
          <w:lang w:val="lt-LT"/>
        </w:rPr>
        <w:t>Techninės specifikacijos</w:t>
      </w:r>
      <w:r w:rsidRPr="00D33A40">
        <w:rPr>
          <w:kern w:val="2"/>
          <w:lang w:val="lt-LT"/>
          <w14:ligatures w14:val="standardContextual"/>
        </w:rPr>
        <w:t xml:space="preserve"> 3.1 papunktyje nurodytas paslaugas (I ir II programoms).</w:t>
      </w:r>
    </w:p>
    <w:p w14:paraId="368085E7" w14:textId="28883685" w:rsidR="00D33A40" w:rsidRPr="00D33A40" w:rsidRDefault="00D33A40" w:rsidP="00D33A40">
      <w:pPr>
        <w:tabs>
          <w:tab w:val="left" w:pos="993"/>
          <w:tab w:val="left" w:pos="1418"/>
        </w:tabs>
        <w:ind w:firstLine="720"/>
        <w:jc w:val="both"/>
        <w:rPr>
          <w:kern w:val="2"/>
          <w:lang w:val="lt-LT"/>
          <w14:ligatures w14:val="standardContextual"/>
        </w:rPr>
      </w:pPr>
      <w:r w:rsidRPr="00D33A40">
        <w:rPr>
          <w:kern w:val="2"/>
          <w:lang w:val="lt-LT"/>
          <w14:ligatures w14:val="standardContextual"/>
        </w:rPr>
        <w:t>1</w:t>
      </w:r>
      <w:r w:rsidR="008D41FE">
        <w:rPr>
          <w:kern w:val="2"/>
          <w:lang w:val="lt-LT"/>
          <w14:ligatures w14:val="standardContextual"/>
        </w:rPr>
        <w:t>4</w:t>
      </w:r>
      <w:r w:rsidRPr="00D33A40">
        <w:rPr>
          <w:kern w:val="2"/>
          <w:lang w:val="lt-LT"/>
          <w14:ligatures w14:val="standardContextual"/>
        </w:rPr>
        <w:t>.3.2. Pasiūlymų vertinimo kriterijai ir kriterijų lyginamieji svoriai:</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0"/>
        <w:gridCol w:w="5650"/>
        <w:gridCol w:w="3350"/>
      </w:tblGrid>
      <w:tr w:rsidR="00D33A40" w:rsidRPr="00D33A40" w14:paraId="47B6C6A8" w14:textId="77777777" w:rsidTr="004B1E29">
        <w:tc>
          <w:tcPr>
            <w:tcW w:w="3233"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7B9DBB6B" w14:textId="77777777" w:rsidR="00D33A40" w:rsidRPr="00D33A40" w:rsidRDefault="00D33A40" w:rsidP="004B1E29">
            <w:pPr>
              <w:spacing w:after="160" w:line="259" w:lineRule="auto"/>
              <w:jc w:val="center"/>
              <w:rPr>
                <w:i/>
                <w:iCs/>
                <w:kern w:val="2"/>
                <w:lang w:val="lt-LT"/>
                <w14:ligatures w14:val="standardContextual"/>
              </w:rPr>
            </w:pPr>
            <w:bookmarkStart w:id="2" w:name="_Hlk179963666"/>
            <w:r w:rsidRPr="00D33A40">
              <w:rPr>
                <w:b/>
                <w:bCs/>
                <w:kern w:val="2"/>
                <w:lang w:val="lt-LT"/>
                <w14:ligatures w14:val="standardContextual"/>
              </w:rPr>
              <w:t>Vertinimo kriterijai</w:t>
            </w:r>
          </w:p>
        </w:tc>
        <w:tc>
          <w:tcPr>
            <w:tcW w:w="1767" w:type="pct"/>
            <w:tcBorders>
              <w:top w:val="single" w:sz="8" w:space="0" w:color="auto"/>
              <w:left w:val="nil"/>
              <w:bottom w:val="single" w:sz="8" w:space="0" w:color="auto"/>
              <w:right w:val="single" w:sz="8" w:space="0" w:color="auto"/>
            </w:tcBorders>
            <w:shd w:val="clear" w:color="auto" w:fill="FFFFFF"/>
            <w:vAlign w:val="center"/>
            <w:hideMark/>
          </w:tcPr>
          <w:p w14:paraId="6D2BE32A" w14:textId="77777777" w:rsidR="00D33A40" w:rsidRPr="00D33A40" w:rsidRDefault="00D33A40" w:rsidP="004B1E29">
            <w:pPr>
              <w:spacing w:after="160" w:line="259" w:lineRule="auto"/>
              <w:rPr>
                <w:kern w:val="2"/>
                <w:lang w:val="lt-LT"/>
                <w14:ligatures w14:val="standardContextual"/>
              </w:rPr>
            </w:pPr>
            <w:r w:rsidRPr="00D33A40">
              <w:rPr>
                <w:b/>
                <w:bCs/>
                <w:kern w:val="2"/>
                <w:lang w:val="lt-LT"/>
                <w14:ligatures w14:val="standardContextual"/>
              </w:rPr>
              <w:t>Kriterijaus lyginamasis svoris</w:t>
            </w:r>
          </w:p>
        </w:tc>
      </w:tr>
      <w:tr w:rsidR="00D33A40" w:rsidRPr="00D33A40" w14:paraId="4501F7E6" w14:textId="77777777" w:rsidTr="004B1E29">
        <w:tc>
          <w:tcPr>
            <w:tcW w:w="253" w:type="pct"/>
            <w:tcBorders>
              <w:top w:val="nil"/>
              <w:left w:val="single" w:sz="8" w:space="0" w:color="auto"/>
              <w:bottom w:val="single" w:sz="8" w:space="0" w:color="auto"/>
              <w:right w:val="single" w:sz="8" w:space="0" w:color="auto"/>
            </w:tcBorders>
            <w:shd w:val="clear" w:color="auto" w:fill="FFFFFF"/>
            <w:hideMark/>
          </w:tcPr>
          <w:p w14:paraId="49EFF35F" w14:textId="77777777" w:rsidR="00D33A40" w:rsidRPr="00D33A40" w:rsidRDefault="00D33A40" w:rsidP="004B1E29">
            <w:pPr>
              <w:spacing w:after="160" w:line="259" w:lineRule="auto"/>
              <w:rPr>
                <w:kern w:val="2"/>
                <w:lang w:val="lt-LT"/>
                <w14:ligatures w14:val="standardContextual"/>
              </w:rPr>
            </w:pPr>
            <w:r w:rsidRPr="00D33A40">
              <w:rPr>
                <w:kern w:val="2"/>
                <w:lang w:val="lt-LT"/>
                <w14:ligatures w14:val="standardContextual"/>
              </w:rPr>
              <w:t>1.</w:t>
            </w:r>
          </w:p>
        </w:tc>
        <w:tc>
          <w:tcPr>
            <w:tcW w:w="2980" w:type="pct"/>
            <w:tcBorders>
              <w:top w:val="nil"/>
              <w:left w:val="nil"/>
              <w:bottom w:val="single" w:sz="8" w:space="0" w:color="000000"/>
              <w:right w:val="single" w:sz="8" w:space="0" w:color="000000"/>
            </w:tcBorders>
            <w:shd w:val="clear" w:color="auto" w:fill="FFFFFF"/>
            <w:hideMark/>
          </w:tcPr>
          <w:p w14:paraId="15586346" w14:textId="77777777" w:rsidR="00D33A40" w:rsidRPr="00D33A40" w:rsidRDefault="00D33A40" w:rsidP="004B1E29">
            <w:pPr>
              <w:spacing w:after="160" w:line="259" w:lineRule="auto"/>
              <w:rPr>
                <w:kern w:val="2"/>
                <w:lang w:val="lt-LT"/>
                <w14:ligatures w14:val="standardContextual"/>
              </w:rPr>
            </w:pPr>
            <w:r w:rsidRPr="00D33A40">
              <w:rPr>
                <w:b/>
                <w:bCs/>
                <w:kern w:val="2"/>
                <w:lang w:val="lt-LT"/>
                <w14:ligatures w14:val="standardContextual"/>
              </w:rPr>
              <w:t>Kriterijus (T</w:t>
            </w:r>
            <w:r w:rsidRPr="00D33A40">
              <w:rPr>
                <w:b/>
                <w:bCs/>
                <w:kern w:val="2"/>
                <w:vertAlign w:val="subscript"/>
                <w:lang w:val="lt-LT"/>
                <w14:ligatures w14:val="standardContextual"/>
              </w:rPr>
              <w:t>1</w:t>
            </w:r>
            <w:r w:rsidRPr="00D33A40">
              <w:rPr>
                <w:b/>
                <w:bCs/>
                <w:kern w:val="2"/>
                <w:lang w:val="lt-LT"/>
                <w14:ligatures w14:val="standardContextual"/>
              </w:rPr>
              <w:t>) </w:t>
            </w:r>
            <w:r w:rsidRPr="00D33A40">
              <w:rPr>
                <w:kern w:val="2"/>
                <w:lang w:val="lt-LT"/>
                <w14:ligatures w14:val="standardContextual"/>
              </w:rPr>
              <w:t>Pasiūlytas programų skaičius.</w:t>
            </w:r>
          </w:p>
        </w:tc>
        <w:tc>
          <w:tcPr>
            <w:tcW w:w="1767" w:type="pct"/>
            <w:tcBorders>
              <w:top w:val="nil"/>
              <w:left w:val="nil"/>
              <w:bottom w:val="single" w:sz="8" w:space="0" w:color="000000"/>
              <w:right w:val="single" w:sz="8" w:space="0" w:color="000000"/>
            </w:tcBorders>
            <w:shd w:val="clear" w:color="auto" w:fill="FFFFFF"/>
            <w:vAlign w:val="center"/>
            <w:hideMark/>
          </w:tcPr>
          <w:p w14:paraId="7AE52D26" w14:textId="271E1405" w:rsidR="00D33A40" w:rsidRPr="00D33A40" w:rsidRDefault="00D33A40" w:rsidP="004B1E29">
            <w:pPr>
              <w:spacing w:after="160" w:line="259" w:lineRule="auto"/>
              <w:jc w:val="center"/>
              <w:rPr>
                <w:kern w:val="2"/>
                <w:lang w:val="lt-LT"/>
                <w14:ligatures w14:val="standardContextual"/>
              </w:rPr>
            </w:pPr>
            <w:r w:rsidRPr="00D33A40">
              <w:rPr>
                <w:kern w:val="2"/>
                <w:lang w:val="lt-LT"/>
                <w14:ligatures w14:val="standardContextual"/>
              </w:rPr>
              <w:t>X= 20</w:t>
            </w:r>
          </w:p>
        </w:tc>
      </w:tr>
      <w:tr w:rsidR="00D33A40" w:rsidRPr="00D33A40" w14:paraId="407C520E" w14:textId="77777777" w:rsidTr="004B1E29">
        <w:trPr>
          <w:trHeight w:val="881"/>
        </w:trPr>
        <w:tc>
          <w:tcPr>
            <w:tcW w:w="253" w:type="pct"/>
            <w:tcBorders>
              <w:top w:val="nil"/>
              <w:left w:val="single" w:sz="8" w:space="0" w:color="auto"/>
              <w:bottom w:val="single" w:sz="8" w:space="0" w:color="auto"/>
              <w:right w:val="single" w:sz="8" w:space="0" w:color="auto"/>
            </w:tcBorders>
            <w:shd w:val="clear" w:color="auto" w:fill="FFFFFF"/>
            <w:hideMark/>
          </w:tcPr>
          <w:p w14:paraId="77901E60" w14:textId="77777777" w:rsidR="00D33A40" w:rsidRPr="00D33A40" w:rsidRDefault="00D33A40" w:rsidP="004B1E29">
            <w:pPr>
              <w:spacing w:after="160" w:line="259" w:lineRule="auto"/>
              <w:rPr>
                <w:kern w:val="2"/>
                <w:lang w:val="lt-LT"/>
                <w14:ligatures w14:val="standardContextual"/>
              </w:rPr>
            </w:pPr>
            <w:r w:rsidRPr="00D33A40">
              <w:rPr>
                <w:kern w:val="2"/>
                <w:lang w:val="lt-LT"/>
                <w14:ligatures w14:val="standardContextual"/>
              </w:rPr>
              <w:lastRenderedPageBreak/>
              <w:t>2.</w:t>
            </w:r>
          </w:p>
        </w:tc>
        <w:tc>
          <w:tcPr>
            <w:tcW w:w="2980" w:type="pct"/>
            <w:tcBorders>
              <w:top w:val="nil"/>
              <w:left w:val="nil"/>
              <w:bottom w:val="single" w:sz="8" w:space="0" w:color="000000"/>
              <w:right w:val="single" w:sz="8" w:space="0" w:color="000000"/>
            </w:tcBorders>
            <w:shd w:val="clear" w:color="auto" w:fill="FFFFFF"/>
            <w:hideMark/>
          </w:tcPr>
          <w:p w14:paraId="6EEA3153" w14:textId="77777777" w:rsidR="00D33A40" w:rsidRPr="00D33A40" w:rsidRDefault="00D33A40" w:rsidP="004B1E29">
            <w:pPr>
              <w:spacing w:line="259" w:lineRule="auto"/>
              <w:rPr>
                <w:kern w:val="2"/>
                <w:lang w:val="lt-LT"/>
                <w14:ligatures w14:val="standardContextual"/>
              </w:rPr>
            </w:pPr>
            <w:r w:rsidRPr="00D33A40">
              <w:rPr>
                <w:b/>
                <w:bCs/>
                <w:kern w:val="2"/>
                <w:lang w:val="lt-LT"/>
                <w14:ligatures w14:val="standardContextual"/>
              </w:rPr>
              <w:t>Kriterijus (T</w:t>
            </w:r>
            <w:r w:rsidRPr="00D33A40">
              <w:rPr>
                <w:b/>
                <w:bCs/>
                <w:kern w:val="2"/>
                <w:vertAlign w:val="subscript"/>
                <w:lang w:val="lt-LT"/>
                <w14:ligatures w14:val="standardContextual"/>
              </w:rPr>
              <w:t>2</w:t>
            </w:r>
            <w:r w:rsidRPr="00D33A40">
              <w:rPr>
                <w:b/>
                <w:bCs/>
                <w:kern w:val="2"/>
                <w:lang w:val="lt-LT"/>
                <w14:ligatures w14:val="standardContextual"/>
              </w:rPr>
              <w:t>) </w:t>
            </w:r>
            <w:r w:rsidRPr="00D33A40">
              <w:rPr>
                <w:kern w:val="2"/>
                <w:lang w:val="lt-LT"/>
                <w14:ligatures w14:val="standardContextual"/>
              </w:rPr>
              <w:t>Pasiūlyta I ir II programos bendra draudimo suma paslaugai „Visos medicinos paslaugos“ (Eur).</w:t>
            </w:r>
          </w:p>
        </w:tc>
        <w:tc>
          <w:tcPr>
            <w:tcW w:w="1767" w:type="pct"/>
            <w:tcBorders>
              <w:top w:val="nil"/>
              <w:left w:val="nil"/>
              <w:bottom w:val="single" w:sz="8" w:space="0" w:color="000000"/>
              <w:right w:val="single" w:sz="8" w:space="0" w:color="000000"/>
            </w:tcBorders>
            <w:shd w:val="clear" w:color="auto" w:fill="FFFFFF"/>
            <w:vAlign w:val="center"/>
            <w:hideMark/>
          </w:tcPr>
          <w:p w14:paraId="29731F16" w14:textId="48FCB9DA" w:rsidR="00D33A40" w:rsidRPr="00D33A40" w:rsidRDefault="00D33A40" w:rsidP="004B1E29">
            <w:pPr>
              <w:spacing w:after="160" w:line="259" w:lineRule="auto"/>
              <w:jc w:val="center"/>
              <w:rPr>
                <w:kern w:val="2"/>
                <w:lang w:val="lt-LT"/>
                <w14:ligatures w14:val="standardContextual"/>
              </w:rPr>
            </w:pPr>
            <w:r w:rsidRPr="00D33A40">
              <w:rPr>
                <w:kern w:val="2"/>
                <w:lang w:val="lt-LT"/>
                <w14:ligatures w14:val="standardContextual"/>
              </w:rPr>
              <w:t>Y= 80</w:t>
            </w:r>
          </w:p>
        </w:tc>
      </w:tr>
      <w:tr w:rsidR="00D33A40" w:rsidRPr="00D33A40" w14:paraId="3D355E5A" w14:textId="77777777" w:rsidTr="004B1E29">
        <w:tblPrEx>
          <w:tblBorders>
            <w:top w:val="single" w:sz="4" w:space="0" w:color="auto"/>
            <w:left w:val="none" w:sz="0" w:space="0" w:color="auto"/>
            <w:bottom w:val="none" w:sz="0" w:space="0" w:color="auto"/>
            <w:right w:val="none" w:sz="0" w:space="0" w:color="auto"/>
          </w:tblBorders>
          <w:shd w:val="clear" w:color="auto" w:fill="auto"/>
          <w:tblCellMar>
            <w:left w:w="108" w:type="dxa"/>
            <w:right w:w="108" w:type="dxa"/>
          </w:tblCellMar>
          <w:tblLook w:val="0000" w:firstRow="0" w:lastRow="0" w:firstColumn="0" w:lastColumn="0" w:noHBand="0" w:noVBand="0"/>
        </w:tblPrEx>
        <w:trPr>
          <w:trHeight w:val="100"/>
        </w:trPr>
        <w:tc>
          <w:tcPr>
            <w:tcW w:w="5000" w:type="pct"/>
            <w:gridSpan w:val="3"/>
          </w:tcPr>
          <w:p w14:paraId="7C64AC5D" w14:textId="77777777" w:rsidR="00D33A40" w:rsidRPr="00D33A40" w:rsidRDefault="00D33A40" w:rsidP="004B1E29">
            <w:pPr>
              <w:spacing w:after="160" w:line="259" w:lineRule="auto"/>
              <w:rPr>
                <w:kern w:val="2"/>
                <w:lang w:val="lt-LT"/>
                <w14:ligatures w14:val="standardContextual"/>
              </w:rPr>
            </w:pPr>
            <w:bookmarkStart w:id="3" w:name="x__Hlk118297263"/>
            <w:bookmarkEnd w:id="2"/>
          </w:p>
        </w:tc>
      </w:tr>
    </w:tbl>
    <w:p w14:paraId="43717232" w14:textId="7CFDE66C" w:rsidR="00D33A40" w:rsidRPr="00D33A40" w:rsidRDefault="00D33A40" w:rsidP="00D33A40">
      <w:pPr>
        <w:spacing w:after="160" w:line="259" w:lineRule="auto"/>
        <w:ind w:firstLine="709"/>
        <w:jc w:val="both"/>
        <w:rPr>
          <w:kern w:val="2"/>
          <w:lang w:val="lt-LT"/>
          <w14:ligatures w14:val="standardContextual"/>
        </w:rPr>
      </w:pPr>
      <w:r w:rsidRPr="00D33A40">
        <w:rPr>
          <w:kern w:val="2"/>
          <w:lang w:val="lt-LT"/>
          <w14:ligatures w14:val="standardContextual"/>
        </w:rPr>
        <w:t>1</w:t>
      </w:r>
      <w:r w:rsidR="008D41FE">
        <w:rPr>
          <w:kern w:val="2"/>
          <w:lang w:val="lt-LT"/>
          <w14:ligatures w14:val="standardContextual"/>
        </w:rPr>
        <w:t>4</w:t>
      </w:r>
      <w:r w:rsidRPr="00D33A40">
        <w:rPr>
          <w:kern w:val="2"/>
          <w:lang w:val="lt-LT"/>
          <w14:ligatures w14:val="standardContextual"/>
        </w:rPr>
        <w:t>.3.3. Tiekėjo pasiūlymo e</w:t>
      </w:r>
      <w:bookmarkEnd w:id="3"/>
      <w:r w:rsidRPr="00D33A40">
        <w:rPr>
          <w:kern w:val="2"/>
          <w:lang w:val="lt-LT"/>
          <w14:ligatures w14:val="standardContextual"/>
        </w:rPr>
        <w:t>konominis naudingumas (T) apskaičiuojamas sudedant tiekėjo pasiūlymo kriterijų </w:t>
      </w:r>
      <w:bookmarkStart w:id="4" w:name="x__Hlk118297051"/>
      <w:r w:rsidRPr="00D33A40">
        <w:rPr>
          <w:kern w:val="2"/>
          <w:lang w:val="lt-LT"/>
          <w14:ligatures w14:val="standardContextual"/>
        </w:rPr>
        <w:t>T</w:t>
      </w:r>
      <w:r w:rsidRPr="00D33A40">
        <w:rPr>
          <w:kern w:val="2"/>
          <w:vertAlign w:val="subscript"/>
          <w:lang w:val="lt-LT"/>
          <w14:ligatures w14:val="standardContextual"/>
        </w:rPr>
        <w:t>1 </w:t>
      </w:r>
      <w:r w:rsidRPr="00D33A40">
        <w:rPr>
          <w:kern w:val="2"/>
          <w:lang w:val="lt-LT"/>
          <w14:ligatures w14:val="standardContextual"/>
        </w:rPr>
        <w:t>ir</w:t>
      </w:r>
      <w:r w:rsidRPr="00D33A40">
        <w:rPr>
          <w:kern w:val="2"/>
          <w:vertAlign w:val="subscript"/>
          <w:lang w:val="lt-LT"/>
          <w14:ligatures w14:val="standardContextual"/>
        </w:rPr>
        <w:t> </w:t>
      </w:r>
      <w:r w:rsidRPr="00D33A40">
        <w:rPr>
          <w:kern w:val="2"/>
          <w:lang w:val="lt-LT"/>
          <w14:ligatures w14:val="standardContextual"/>
        </w:rPr>
        <w:t>T</w:t>
      </w:r>
      <w:r w:rsidRPr="00D33A40">
        <w:rPr>
          <w:kern w:val="2"/>
          <w:vertAlign w:val="subscript"/>
          <w:lang w:val="lt-LT"/>
          <w14:ligatures w14:val="standardContextual"/>
        </w:rPr>
        <w:t>2 </w:t>
      </w:r>
      <w:r w:rsidRPr="00D33A40">
        <w:rPr>
          <w:kern w:val="2"/>
          <w:lang w:val="lt-LT"/>
          <w14:ligatures w14:val="standardContextual"/>
        </w:rPr>
        <w:t>balus</w:t>
      </w:r>
      <w:bookmarkEnd w:id="4"/>
      <w:r w:rsidRPr="00D33A40">
        <w:rPr>
          <w:kern w:val="2"/>
          <w:lang w:val="lt-LT"/>
          <w14:ligatures w14:val="standardContextual"/>
        </w:rPr>
        <w:t>:</w:t>
      </w:r>
    </w:p>
    <w:p w14:paraId="7236B749" w14:textId="77777777" w:rsidR="00D33A40" w:rsidRPr="00D33A40" w:rsidRDefault="00D33A40" w:rsidP="00D33A40">
      <w:pPr>
        <w:tabs>
          <w:tab w:val="left" w:pos="1134"/>
        </w:tabs>
        <w:spacing w:before="120" w:after="120"/>
        <w:ind w:firstLine="567"/>
        <w:jc w:val="center"/>
        <w:rPr>
          <w:color w:val="000000"/>
          <w:lang w:val="lt-LT"/>
        </w:rPr>
      </w:pPr>
      <w:r w:rsidRPr="00D33A40">
        <w:rPr>
          <w:kern w:val="2"/>
          <w:lang w:val="lt-LT"/>
          <w14:ligatures w14:val="standardContextual"/>
        </w:rPr>
        <w:t>T= T</w:t>
      </w:r>
      <w:r w:rsidRPr="00D33A40">
        <w:rPr>
          <w:kern w:val="2"/>
          <w:vertAlign w:val="subscript"/>
          <w:lang w:val="lt-LT"/>
          <w14:ligatures w14:val="standardContextual"/>
        </w:rPr>
        <w:t>1 </w:t>
      </w:r>
      <w:r w:rsidRPr="00D33A40">
        <w:rPr>
          <w:kern w:val="2"/>
          <w:lang w:val="lt-LT"/>
          <w14:ligatures w14:val="standardContextual"/>
        </w:rPr>
        <w:t>+</w:t>
      </w:r>
      <w:r w:rsidRPr="00D33A40">
        <w:rPr>
          <w:kern w:val="2"/>
          <w:vertAlign w:val="subscript"/>
          <w:lang w:val="lt-LT"/>
          <w14:ligatures w14:val="standardContextual"/>
        </w:rPr>
        <w:t> </w:t>
      </w:r>
      <w:r w:rsidRPr="00D33A40">
        <w:rPr>
          <w:kern w:val="2"/>
          <w:lang w:val="lt-LT"/>
          <w14:ligatures w14:val="standardContextual"/>
        </w:rPr>
        <w:t>T</w:t>
      </w:r>
      <w:r w:rsidRPr="00D33A40">
        <w:rPr>
          <w:kern w:val="2"/>
          <w:vertAlign w:val="subscript"/>
          <w:lang w:val="lt-LT"/>
          <w14:ligatures w14:val="standardContextual"/>
        </w:rPr>
        <w:t xml:space="preserve">2  </w:t>
      </w:r>
      <w:r w:rsidRPr="00D33A40">
        <w:rPr>
          <w:color w:val="000000"/>
          <w:lang w:val="lt-LT"/>
        </w:rPr>
        <w:t>(1 formulė).</w:t>
      </w:r>
    </w:p>
    <w:p w14:paraId="38226488" w14:textId="76610B78" w:rsidR="00D33A40" w:rsidRPr="00D33A40" w:rsidRDefault="00D33A40" w:rsidP="00D33A40">
      <w:pPr>
        <w:spacing w:after="160" w:line="259" w:lineRule="auto"/>
        <w:ind w:firstLine="709"/>
        <w:rPr>
          <w:kern w:val="2"/>
          <w:lang w:val="lt-LT"/>
          <w14:ligatures w14:val="standardContextual"/>
        </w:rPr>
      </w:pPr>
      <w:r w:rsidRPr="00D33A40">
        <w:rPr>
          <w:kern w:val="2"/>
          <w:lang w:val="lt-LT"/>
          <w14:ligatures w14:val="standardContextual"/>
        </w:rPr>
        <w:t>1</w:t>
      </w:r>
      <w:r w:rsidR="008D41FE">
        <w:rPr>
          <w:kern w:val="2"/>
          <w:lang w:val="lt-LT"/>
          <w14:ligatures w14:val="standardContextual"/>
        </w:rPr>
        <w:t>4</w:t>
      </w:r>
      <w:r w:rsidRPr="00D33A40">
        <w:rPr>
          <w:kern w:val="2"/>
          <w:lang w:val="lt-LT"/>
          <w14:ligatures w14:val="standardContextual"/>
        </w:rPr>
        <w:t>.3.4. Kriterijaus T</w:t>
      </w:r>
      <w:r w:rsidRPr="00D33A40">
        <w:rPr>
          <w:kern w:val="2"/>
          <w:vertAlign w:val="subscript"/>
          <w:lang w:val="lt-LT"/>
          <w14:ligatures w14:val="standardContextual"/>
        </w:rPr>
        <w:t>1</w:t>
      </w:r>
      <w:r w:rsidRPr="00D33A40">
        <w:rPr>
          <w:kern w:val="2"/>
          <w:lang w:val="lt-LT"/>
          <w14:ligatures w14:val="standardContextual"/>
        </w:rPr>
        <w:t> balai apskaičiuojami taip – jei tiekėjas pasiūlo vieną programą, gauna 0 balų, jei dvi programas – 20 balų.</w:t>
      </w:r>
    </w:p>
    <w:p w14:paraId="1A77765F" w14:textId="58617410" w:rsidR="00D33A40" w:rsidRPr="00D33A40" w:rsidRDefault="00D33A40" w:rsidP="00D33A40">
      <w:pPr>
        <w:spacing w:after="160" w:line="259" w:lineRule="auto"/>
        <w:ind w:firstLine="709"/>
        <w:jc w:val="both"/>
        <w:rPr>
          <w:kern w:val="2"/>
          <w:lang w:val="lt-LT"/>
          <w14:ligatures w14:val="standardContextual"/>
        </w:rPr>
      </w:pPr>
      <w:r w:rsidRPr="00D33A40">
        <w:rPr>
          <w:kern w:val="2"/>
          <w:lang w:val="lt-LT"/>
          <w14:ligatures w14:val="standardContextual"/>
        </w:rPr>
        <w:t>1</w:t>
      </w:r>
      <w:r w:rsidR="008D41FE">
        <w:rPr>
          <w:kern w:val="2"/>
          <w:lang w:val="lt-LT"/>
          <w14:ligatures w14:val="standardContextual"/>
        </w:rPr>
        <w:t>4</w:t>
      </w:r>
      <w:r w:rsidRPr="00D33A40">
        <w:rPr>
          <w:kern w:val="2"/>
          <w:lang w:val="lt-LT"/>
          <w14:ligatures w14:val="standardContextual"/>
        </w:rPr>
        <w:t>.3.5. Kriterijaus </w:t>
      </w:r>
      <w:bookmarkStart w:id="5" w:name="_Hlk179793717"/>
      <w:r w:rsidRPr="00D33A40">
        <w:rPr>
          <w:kern w:val="2"/>
          <w:lang w:val="lt-LT"/>
          <w14:ligatures w14:val="standardContextual"/>
        </w:rPr>
        <w:t>T</w:t>
      </w:r>
      <w:r w:rsidRPr="00D33A40">
        <w:rPr>
          <w:kern w:val="2"/>
          <w:vertAlign w:val="subscript"/>
          <w:lang w:val="lt-LT"/>
          <w14:ligatures w14:val="standardContextual"/>
        </w:rPr>
        <w:t>2</w:t>
      </w:r>
      <w:r w:rsidRPr="00D33A40">
        <w:rPr>
          <w:kern w:val="2"/>
          <w:lang w:val="lt-LT"/>
          <w14:ligatures w14:val="standardContextual"/>
        </w:rPr>
        <w:t> </w:t>
      </w:r>
      <w:bookmarkEnd w:id="5"/>
      <w:r w:rsidRPr="00D33A40">
        <w:rPr>
          <w:kern w:val="2"/>
          <w:lang w:val="lt-LT"/>
          <w14:ligatures w14:val="standardContextual"/>
        </w:rPr>
        <w:t>balai apskaičiuojami taip – vertinamo pasiūlyme nurodytos I ir II programų paslaugos „Visos medicinos paslaugos“ vertinamo kriterijaus pasiūlytos reikšmės (R</w:t>
      </w:r>
      <w:r w:rsidRPr="00D33A40">
        <w:rPr>
          <w:kern w:val="2"/>
          <w:vertAlign w:val="subscript"/>
          <w:lang w:val="lt-LT"/>
          <w14:ligatures w14:val="standardContextual"/>
        </w:rPr>
        <w:t> pasiūlymas</w:t>
      </w:r>
      <w:r w:rsidRPr="00D33A40">
        <w:rPr>
          <w:kern w:val="2"/>
          <w:lang w:val="lt-LT"/>
          <w14:ligatures w14:val="standardContextual"/>
        </w:rPr>
        <w:t>) ir didžiausios vertinamo kriterijaus pasiūlytos reikšmės (R</w:t>
      </w:r>
      <w:r w:rsidRPr="00D33A40">
        <w:rPr>
          <w:kern w:val="2"/>
          <w:vertAlign w:val="subscript"/>
          <w:lang w:val="lt-LT"/>
          <w14:ligatures w14:val="standardContextual"/>
        </w:rPr>
        <w:t>max pasiūlymas</w:t>
      </w:r>
      <w:r w:rsidRPr="00D33A40">
        <w:rPr>
          <w:kern w:val="2"/>
          <w:lang w:val="lt-LT"/>
          <w14:ligatures w14:val="standardContextual"/>
        </w:rPr>
        <w:t>) santykis padaugintas iš kriterijaus T</w:t>
      </w:r>
      <w:r w:rsidRPr="00D33A40">
        <w:rPr>
          <w:kern w:val="2"/>
          <w:vertAlign w:val="subscript"/>
          <w:lang w:val="lt-LT"/>
          <w14:ligatures w14:val="standardContextual"/>
        </w:rPr>
        <w:t>2 </w:t>
      </w:r>
      <w:r w:rsidRPr="00D33A40">
        <w:rPr>
          <w:kern w:val="2"/>
          <w:lang w:val="lt-LT"/>
          <w14:ligatures w14:val="standardContextual"/>
        </w:rPr>
        <w:t>lyginamojo svorio Y:</w:t>
      </w:r>
    </w:p>
    <w:p w14:paraId="7404E07E" w14:textId="77777777" w:rsidR="00D33A40" w:rsidRPr="00D33A40" w:rsidRDefault="00D33A40" w:rsidP="00D33A40">
      <w:pPr>
        <w:tabs>
          <w:tab w:val="left" w:pos="1134"/>
        </w:tabs>
        <w:spacing w:before="120" w:after="120"/>
        <w:ind w:firstLine="567"/>
        <w:jc w:val="center"/>
        <w:rPr>
          <w:color w:val="000000"/>
          <w:lang w:val="lt-LT"/>
        </w:rPr>
      </w:pPr>
      <w:r w:rsidRPr="00D33A40">
        <w:rPr>
          <w:noProof/>
          <w:kern w:val="2"/>
          <w:lang w:val="lt-LT"/>
          <w14:ligatures w14:val="standardContextual"/>
        </w:rPr>
        <w:drawing>
          <wp:inline distT="0" distB="0" distL="0" distR="0" wp14:anchorId="5847CA99" wp14:editId="55342AD8">
            <wp:extent cx="1623060" cy="403860"/>
            <wp:effectExtent l="0" t="0" r="0" b="0"/>
            <wp:docPr id="1097367059"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3060" cy="403860"/>
                    </a:xfrm>
                    <a:prstGeom prst="rect">
                      <a:avLst/>
                    </a:prstGeom>
                    <a:noFill/>
                    <a:ln>
                      <a:noFill/>
                    </a:ln>
                  </pic:spPr>
                </pic:pic>
              </a:graphicData>
            </a:graphic>
          </wp:inline>
        </w:drawing>
      </w:r>
      <w:r w:rsidRPr="00D33A40">
        <w:rPr>
          <w:color w:val="000000"/>
          <w:lang w:val="lt-LT"/>
        </w:rPr>
        <w:t>(2 formulė).</w:t>
      </w:r>
    </w:p>
    <w:p w14:paraId="7A2534A3" w14:textId="18625620" w:rsidR="00D33A40" w:rsidRPr="00D33A40" w:rsidRDefault="00D33A40" w:rsidP="00D33A40">
      <w:pPr>
        <w:spacing w:line="259" w:lineRule="auto"/>
        <w:ind w:firstLine="709"/>
        <w:rPr>
          <w:kern w:val="2"/>
          <w:lang w:val="lt-LT"/>
          <w14:ligatures w14:val="standardContextual"/>
        </w:rPr>
      </w:pPr>
      <w:r w:rsidRPr="00D33A40">
        <w:rPr>
          <w:kern w:val="2"/>
          <w:lang w:val="lt-LT"/>
          <w14:ligatures w14:val="standardContextual"/>
        </w:rPr>
        <w:t>1</w:t>
      </w:r>
      <w:r w:rsidR="008D41FE">
        <w:rPr>
          <w:kern w:val="2"/>
          <w:lang w:val="lt-LT"/>
          <w14:ligatures w14:val="standardContextual"/>
        </w:rPr>
        <w:t>4</w:t>
      </w:r>
      <w:r w:rsidRPr="00D33A40">
        <w:rPr>
          <w:kern w:val="2"/>
          <w:lang w:val="lt-LT"/>
          <w14:ligatures w14:val="standardContextual"/>
        </w:rPr>
        <w:t>.4. Pasiūlymų kainos bus vertinamos ir lyginamos su visais mokesčiais.</w:t>
      </w:r>
    </w:p>
    <w:p w14:paraId="00613C97" w14:textId="0163D185" w:rsidR="00D33A40" w:rsidRPr="00D33A40" w:rsidRDefault="00D33A40" w:rsidP="00D33A40">
      <w:pPr>
        <w:tabs>
          <w:tab w:val="left" w:pos="851"/>
        </w:tabs>
        <w:ind w:firstLine="709"/>
        <w:jc w:val="both"/>
        <w:rPr>
          <w:rFonts w:eastAsia="Times New Roman"/>
          <w:szCs w:val="20"/>
          <w:lang w:val="lt-LT"/>
        </w:rPr>
      </w:pPr>
      <w:r w:rsidRPr="00D33A40">
        <w:rPr>
          <w:rFonts w:eastAsia="Times New Roman"/>
          <w:szCs w:val="20"/>
          <w:lang w:val="lt-LT"/>
        </w:rPr>
        <w:t>1</w:t>
      </w:r>
      <w:r w:rsidR="008D41FE">
        <w:rPr>
          <w:rFonts w:eastAsia="Times New Roman"/>
          <w:szCs w:val="20"/>
          <w:lang w:val="lt-LT"/>
        </w:rPr>
        <w:t>4</w:t>
      </w:r>
      <w:r w:rsidRPr="00D33A40">
        <w:rPr>
          <w:rFonts w:eastAsia="Times New Roman"/>
          <w:szCs w:val="20"/>
          <w:lang w:val="lt-LT"/>
        </w:rPr>
        <w:t>.5. Pirkimą laimi tas tiekėjas, kurio pasiūlymas įvertinamas kaip ekonomiškai naudingiausias, t. y. pasiūlymo ekonominio naudingumo (</w:t>
      </w:r>
      <w:r w:rsidRPr="00D33A40">
        <w:rPr>
          <w:kern w:val="2"/>
          <w:lang w:val="lt-LT"/>
          <w14:ligatures w14:val="standardContextual"/>
        </w:rPr>
        <w:t>T</w:t>
      </w:r>
      <w:r w:rsidRPr="00D33A40">
        <w:rPr>
          <w:rFonts w:eastAsia="Times New Roman"/>
          <w:szCs w:val="20"/>
          <w:lang w:val="lt-LT"/>
        </w:rPr>
        <w:t>) balų suma yra didžiausia. Jei tiekėjų pasiūlymai surenka vienodą ekonominio naudingumo (</w:t>
      </w:r>
      <w:r w:rsidRPr="00D33A40">
        <w:rPr>
          <w:kern w:val="2"/>
          <w:lang w:val="lt-LT"/>
          <w14:ligatures w14:val="standardContextual"/>
        </w:rPr>
        <w:t>T</w:t>
      </w:r>
      <w:r w:rsidRPr="00D33A40">
        <w:rPr>
          <w:rFonts w:eastAsia="Times New Roman"/>
          <w:szCs w:val="20"/>
          <w:lang w:val="lt-LT"/>
        </w:rPr>
        <w:t>) balų sumą laimėjusiu laikomas anksčiau pasiūlymą pateikęs tiekėjas.</w:t>
      </w:r>
    </w:p>
    <w:p w14:paraId="2D5E2B92" w14:textId="05FC6EE6" w:rsidR="00D33A40" w:rsidRPr="00D33A40" w:rsidRDefault="00D33A40" w:rsidP="00D33A40">
      <w:pPr>
        <w:tabs>
          <w:tab w:val="left" w:pos="1276"/>
        </w:tabs>
        <w:ind w:firstLine="709"/>
        <w:jc w:val="both"/>
        <w:rPr>
          <w:lang w:val="lt-LT"/>
        </w:rPr>
      </w:pPr>
      <w:r w:rsidRPr="00D33A40">
        <w:rPr>
          <w:lang w:val="lt-LT"/>
        </w:rPr>
        <w:t>1</w:t>
      </w:r>
      <w:r w:rsidR="008D41FE">
        <w:rPr>
          <w:lang w:val="lt-LT"/>
        </w:rPr>
        <w:t>4</w:t>
      </w:r>
      <w:r w:rsidRPr="00D33A40">
        <w:rPr>
          <w:lang w:val="lt-LT"/>
        </w:rPr>
        <w:t xml:space="preserve">.6. </w:t>
      </w:r>
      <w:r w:rsidRPr="00D33A40">
        <w:rPr>
          <w:rFonts w:eastAsia="Times New Roman"/>
          <w:lang w:val="lt-LT"/>
        </w:rPr>
        <w:t>Pasiūlymuose nurodytos kainos vertinamos eurais.</w:t>
      </w:r>
      <w:r w:rsidRPr="00D33A40">
        <w:rPr>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0"/>
    <w:p w14:paraId="4CD80720" w14:textId="1BCC4461" w:rsidR="005C347E" w:rsidRPr="00D33A40" w:rsidRDefault="005C347E" w:rsidP="008E4956">
      <w:pPr>
        <w:pStyle w:val="Body2"/>
        <w:jc w:val="left"/>
        <w:rPr>
          <w:rFonts w:cs="Times New Roman"/>
          <w:sz w:val="24"/>
          <w:szCs w:val="24"/>
          <w:lang w:val="lt-LT"/>
        </w:rPr>
      </w:pPr>
      <w:r w:rsidRPr="00D33A40">
        <w:rPr>
          <w:rFonts w:cs="Times New Roman"/>
          <w:sz w:val="24"/>
          <w:szCs w:val="24"/>
          <w:lang w:val="lt-LT"/>
        </w:rPr>
        <w:br/>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15. PASIŪLYMŲ EILĖ IR LAIMĖTOJO NUSTATYMAS</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15.4. Pirkimo sutartis sudaroma netaikant pirkimo sutarties sudarymo atidėjimo termino.</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 xml:space="preserve">15.5. Jeigu tiekėjas, kuriam buvo pasiūlyta sudaryti pirkimo sutartį, raštu atsisako ją </w:t>
      </w:r>
      <w:r w:rsidRPr="00D33A40">
        <w:rPr>
          <w:rFonts w:cs="Times New Roman"/>
          <w:sz w:val="24"/>
          <w:szCs w:val="24"/>
          <w:lang w:val="lt-LT"/>
        </w:rPr>
        <w:lastRenderedPageBreak/>
        <w:t>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16. PRETENZIJŲ IR SKUNDŲ NAGRINĖJIMAS</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16.2.1. per 5 darbo dienas nuo perkančiosios organizacijos pranešimo raštu apie jos priimtą sprendimą išsiuntimo tiekėjams dienos;</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16.2.2. per 5 darbo dienas nuo paskelbimo apie perkančiosios organizacijos priimtą sprendimą dienos, jeigu VPĮ nėra reikalavimo raštu informuoti tiekėjus apie perkančiosios organizacijos priimtus sprendimus.</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16.7. Tiekėjas turi teisę pareikšti ieškinį dėl pirkimo sutarties ar preliminariosios sutarties pripažinimo negaliojančia per 6 mėnesius nuo pirkimo sutarties sudarymo dienos.</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 xml:space="preserve">16.9. Tiekėjas, pateikęs prašymą ar pareiškęs ieškinį teismui, privalo ne vėliau kaip per 3 darbo dienas pateikti perkančiajai organizacijai prašymo ar ieškinio kopiją su gavimo teisme </w:t>
      </w:r>
      <w:r w:rsidRPr="00D33A40">
        <w:rPr>
          <w:rFonts w:cs="Times New Roman"/>
          <w:sz w:val="24"/>
          <w:szCs w:val="24"/>
          <w:lang w:val="lt-LT"/>
        </w:rPr>
        <w:lastRenderedPageBreak/>
        <w:t>įrodymais.</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16.10.1. motyvuotą teismo nutartį, kuria atsisakoma priimti ieškinį;</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16.10.2. motyvuotą teismo nutartį dėl tiekėjo prašymo taikyti laikinąsias apsaugos priemones atmetimo, kai šis prašymas teisme buvo gautas iki ieškinio pareiškimo;</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16.10.3. teismo rezoliuciją priimti ieškinį netaikant laikinųjų apsaugos priemonių.</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17. PIRKIMO SUTARTIES PASIRAŠYMAS IR SĄLYGOS</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17.1. Perkančioji organizacija sudaryti pirkimo sutartį raštu kviečia tą dalyvį, kurio pasiūlymas pripažintas laimėjusiu, kartu jam nurodomas laikas, iki kada reikia pasirašyti pirkimo sutartį.</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17.2. Pirkimo sutarties sąlygos pateikiamos pirkimo sąlygų priede „Viešojo pirkimo sutarties projektas“. Jei vienas tiekėjas yra pripažintas laimėjusiu daugiau, kaip vienoje pirkimo dalyje, rengiama bendra pirkimo sutartis visoms laimėtoms pirkimo dalims.</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17.3.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www.esaskaita.eu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18. PIRKIMO SĄLYGŲ PRIEDAI</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18.1. Techninė specifikacija.</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18.2. Pasiūlymo forma.</w:t>
      </w:r>
      <w:r w:rsidRPr="00D33A40">
        <w:rPr>
          <w:rFonts w:cs="Times New Roman"/>
          <w:sz w:val="24"/>
          <w:szCs w:val="24"/>
          <w:lang w:val="lt-LT"/>
        </w:rPr>
        <w:tab/>
      </w:r>
      <w:r w:rsidRPr="00D33A40">
        <w:rPr>
          <w:rFonts w:cs="Times New Roman"/>
          <w:sz w:val="24"/>
          <w:szCs w:val="24"/>
          <w:lang w:val="lt-LT"/>
        </w:rPr>
        <w:br/>
      </w:r>
      <w:r w:rsidRPr="00D33A40">
        <w:rPr>
          <w:rFonts w:cs="Times New Roman"/>
          <w:sz w:val="24"/>
          <w:szCs w:val="24"/>
          <w:lang w:val="lt-LT"/>
        </w:rPr>
        <w:tab/>
        <w:t xml:space="preserve">18.3. </w:t>
      </w:r>
      <w:r w:rsidR="00C870FD">
        <w:rPr>
          <w:rFonts w:cs="Times New Roman"/>
          <w:sz w:val="24"/>
          <w:szCs w:val="24"/>
          <w:lang w:val="lt-LT"/>
        </w:rPr>
        <w:t>S</w:t>
      </w:r>
      <w:r w:rsidRPr="00D33A40">
        <w:rPr>
          <w:rFonts w:cs="Times New Roman"/>
          <w:sz w:val="24"/>
          <w:szCs w:val="24"/>
          <w:lang w:val="lt-LT"/>
        </w:rPr>
        <w:t>utarties projektas.</w:t>
      </w:r>
    </w:p>
    <w:sectPr w:rsidR="005C347E" w:rsidRPr="00D33A40">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2EBC4" w14:textId="77777777" w:rsidR="00721C33" w:rsidRDefault="00721C33">
      <w:r>
        <w:separator/>
      </w:r>
    </w:p>
  </w:endnote>
  <w:endnote w:type="continuationSeparator" w:id="0">
    <w:p w14:paraId="6880CBA6" w14:textId="77777777" w:rsidR="00721C33" w:rsidRDefault="0072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auto"/>
    <w:pitch w:val="variable"/>
    <w:sig w:usb0="00000003"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8D42" w14:textId="77777777"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D8174" w14:textId="77777777" w:rsidR="00721C33" w:rsidRDefault="00721C33">
      <w:r>
        <w:separator/>
      </w:r>
    </w:p>
  </w:footnote>
  <w:footnote w:type="continuationSeparator" w:id="0">
    <w:p w14:paraId="26547ECD" w14:textId="77777777" w:rsidR="00721C33" w:rsidRDefault="00721C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60127"/>
    <w:rsid w:val="00077398"/>
    <w:rsid w:val="00087465"/>
    <w:rsid w:val="00093518"/>
    <w:rsid w:val="00104035"/>
    <w:rsid w:val="001142B1"/>
    <w:rsid w:val="0015223D"/>
    <w:rsid w:val="001D0675"/>
    <w:rsid w:val="001F391F"/>
    <w:rsid w:val="002139FB"/>
    <w:rsid w:val="0023756A"/>
    <w:rsid w:val="00241271"/>
    <w:rsid w:val="00276873"/>
    <w:rsid w:val="00296EB3"/>
    <w:rsid w:val="002C7657"/>
    <w:rsid w:val="002D520C"/>
    <w:rsid w:val="002E6258"/>
    <w:rsid w:val="003542FD"/>
    <w:rsid w:val="00370648"/>
    <w:rsid w:val="0038163F"/>
    <w:rsid w:val="00390398"/>
    <w:rsid w:val="003D50DD"/>
    <w:rsid w:val="00404078"/>
    <w:rsid w:val="00416927"/>
    <w:rsid w:val="004B5142"/>
    <w:rsid w:val="004F3D2C"/>
    <w:rsid w:val="004F428D"/>
    <w:rsid w:val="004F6C6D"/>
    <w:rsid w:val="0052303D"/>
    <w:rsid w:val="005320AC"/>
    <w:rsid w:val="0057150A"/>
    <w:rsid w:val="005C347E"/>
    <w:rsid w:val="0060454E"/>
    <w:rsid w:val="0068343A"/>
    <w:rsid w:val="006903D2"/>
    <w:rsid w:val="006975B3"/>
    <w:rsid w:val="006B3251"/>
    <w:rsid w:val="006F705E"/>
    <w:rsid w:val="00701F98"/>
    <w:rsid w:val="00716893"/>
    <w:rsid w:val="00721C33"/>
    <w:rsid w:val="00722B46"/>
    <w:rsid w:val="00734F21"/>
    <w:rsid w:val="00747E8D"/>
    <w:rsid w:val="00761C10"/>
    <w:rsid w:val="007A2262"/>
    <w:rsid w:val="007D4583"/>
    <w:rsid w:val="007E1206"/>
    <w:rsid w:val="007E3B8C"/>
    <w:rsid w:val="007E65A4"/>
    <w:rsid w:val="00807525"/>
    <w:rsid w:val="00823683"/>
    <w:rsid w:val="0089503B"/>
    <w:rsid w:val="008D41FE"/>
    <w:rsid w:val="008D5D61"/>
    <w:rsid w:val="008E4956"/>
    <w:rsid w:val="00922876"/>
    <w:rsid w:val="00977BFD"/>
    <w:rsid w:val="009E6642"/>
    <w:rsid w:val="00A04EEA"/>
    <w:rsid w:val="00A16814"/>
    <w:rsid w:val="00A760E6"/>
    <w:rsid w:val="00AD52CF"/>
    <w:rsid w:val="00AF5E04"/>
    <w:rsid w:val="00B02A28"/>
    <w:rsid w:val="00B617B9"/>
    <w:rsid w:val="00B744D1"/>
    <w:rsid w:val="00B94799"/>
    <w:rsid w:val="00BE0403"/>
    <w:rsid w:val="00BE4004"/>
    <w:rsid w:val="00C07333"/>
    <w:rsid w:val="00C17DDB"/>
    <w:rsid w:val="00C21ABA"/>
    <w:rsid w:val="00C3152A"/>
    <w:rsid w:val="00C85B02"/>
    <w:rsid w:val="00C870FD"/>
    <w:rsid w:val="00D01AE7"/>
    <w:rsid w:val="00D33A40"/>
    <w:rsid w:val="00D56837"/>
    <w:rsid w:val="00D862ED"/>
    <w:rsid w:val="00DA6F0B"/>
    <w:rsid w:val="00E20784"/>
    <w:rsid w:val="00E431AE"/>
    <w:rsid w:val="00E809AC"/>
    <w:rsid w:val="00F2065D"/>
    <w:rsid w:val="00F3052F"/>
    <w:rsid w:val="00F46461"/>
    <w:rsid w:val="00F468B6"/>
    <w:rsid w:val="00F51AD8"/>
    <w:rsid w:val="00F67796"/>
    <w:rsid w:val="00FA159B"/>
    <w:rsid w:val="00FC7602"/>
    <w:rsid w:val="00FD0B81"/>
    <w:rsid w:val="00FD1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69B14"/>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7E65A4"/>
    <w:pPr>
      <w:tabs>
        <w:tab w:val="center" w:pos="4680"/>
        <w:tab w:val="right" w:pos="9360"/>
      </w:tabs>
    </w:pPr>
  </w:style>
  <w:style w:type="character" w:customStyle="1" w:styleId="AntratsDiagrama">
    <w:name w:val="Antraštės Diagrama"/>
    <w:basedOn w:val="Numatytasispastraiposriftas"/>
    <w:link w:val="Antrats"/>
    <w:uiPriority w:val="99"/>
    <w:rsid w:val="007E65A4"/>
    <w:rPr>
      <w:sz w:val="24"/>
      <w:szCs w:val="24"/>
    </w:rPr>
  </w:style>
  <w:style w:type="paragraph" w:styleId="Porat">
    <w:name w:val="footer"/>
    <w:basedOn w:val="prastasis"/>
    <w:link w:val="PoratDiagrama"/>
    <w:uiPriority w:val="99"/>
    <w:unhideWhenUsed/>
    <w:rsid w:val="007E65A4"/>
    <w:pPr>
      <w:tabs>
        <w:tab w:val="center" w:pos="4680"/>
        <w:tab w:val="right" w:pos="9360"/>
      </w:tabs>
    </w:pPr>
  </w:style>
  <w:style w:type="character" w:customStyle="1" w:styleId="PoratDiagrama">
    <w:name w:val="Poraštė Diagrama"/>
    <w:basedOn w:val="Numatytasispastraiposriftas"/>
    <w:link w:val="Porat"/>
    <w:uiPriority w:val="99"/>
    <w:rsid w:val="007E65A4"/>
    <w:rPr>
      <w:sz w:val="24"/>
      <w:szCs w:val="24"/>
    </w:rPr>
  </w:style>
  <w:style w:type="paragraph" w:customStyle="1" w:styleId="prastasiniatinklio1">
    <w:name w:val="Įprastas (žiniatinklio)1"/>
    <w:basedOn w:val="prastasis"/>
    <w:rsid w:val="007D4583"/>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textAlignment w:val="baseline"/>
    </w:pPr>
    <w:rPr>
      <w:rFonts w:eastAsia="Times New Roman"/>
      <w:bdr w:val="none" w:sz="0" w:space="0" w:color="auto"/>
    </w:rPr>
  </w:style>
  <w:style w:type="table" w:styleId="Lentelstinklelis">
    <w:name w:val="Table Grid"/>
    <w:basedOn w:val="prastojilentel"/>
    <w:uiPriority w:val="59"/>
    <w:rsid w:val="00381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Lentele,lp"/>
    <w:basedOn w:val="prastasis"/>
    <w:link w:val="SraopastraipaDiagrama"/>
    <w:uiPriority w:val="34"/>
    <w:qFormat/>
    <w:rsid w:val="00722B4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imesLT" w:eastAsia="Times New Roman" w:hAnsi="TimesLT"/>
      <w:szCs w:val="20"/>
      <w:bdr w:val="none" w:sz="0" w:space="0" w:color="auto"/>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22B46"/>
    <w:rPr>
      <w:rFonts w:ascii="TimesLT" w:eastAsia="Times New Roman" w:hAnsi="TimesLT"/>
      <w:sz w:val="24"/>
      <w:bdr w:val="none" w:sz="0" w:space="0" w:color="auto"/>
    </w:rPr>
  </w:style>
  <w:style w:type="paragraph" w:customStyle="1" w:styleId="staigospavadinimas">
    <w:name w:val="Įstaigos pavadinimas"/>
    <w:basedOn w:val="Pavadinimas"/>
    <w:qFormat/>
    <w:rsid w:val="002C765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contextualSpacing/>
      <w:jc w:val="center"/>
    </w:pPr>
    <w:rPr>
      <w:rFonts w:ascii="Arial" w:eastAsiaTheme="majorEastAsia" w:hAnsi="Arial" w:cstheme="majorBidi"/>
      <w:b/>
      <w:caps/>
      <w:color w:val="auto"/>
      <w:spacing w:val="-10"/>
      <w:kern w:val="28"/>
      <w:sz w:val="24"/>
      <w:bdr w:val="none" w:sz="0" w:space="0" w:color="auto"/>
      <w:lang w:val="lt-LT"/>
    </w:rPr>
  </w:style>
  <w:style w:type="character" w:styleId="Neapdorotaspaminjimas">
    <w:name w:val="Unresolved Mention"/>
    <w:basedOn w:val="Numatytasispastraiposriftas"/>
    <w:uiPriority w:val="99"/>
    <w:semiHidden/>
    <w:unhideWhenUsed/>
    <w:rsid w:val="00716893"/>
    <w:rPr>
      <w:color w:val="605E5C"/>
      <w:shd w:val="clear" w:color="auto" w:fill="E1DFDD"/>
    </w:rPr>
  </w:style>
  <w:style w:type="paragraph" w:customStyle="1" w:styleId="BodyA">
    <w:name w:val="Body A"/>
    <w:rsid w:val="00D33A40"/>
    <w:pPr>
      <w:spacing w:line="312" w:lineRule="auto"/>
    </w:pPr>
    <w:rPr>
      <w:rFonts w:ascii="Helvetica Neue Light" w:eastAsia="Helvetica Neue Light" w:hAnsi="Helvetica Neue Light" w:cs="Helvetica Neue Light"/>
      <w:color w:val="000000"/>
      <w:u w:color="000000"/>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575436038">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940838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A0FEE-E6A8-4668-BA91-F3FBA84BC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22449</Words>
  <Characters>12797</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Morkvėnaitė-Paulauskienė</dc:creator>
  <cp:lastModifiedBy>Jūratė Morkvėnaitė-Paulauskienė</cp:lastModifiedBy>
  <cp:revision>10</cp:revision>
  <dcterms:created xsi:type="dcterms:W3CDTF">2025-01-20T06:36:00Z</dcterms:created>
  <dcterms:modified xsi:type="dcterms:W3CDTF">2025-01-20T09:25:00Z</dcterms:modified>
</cp:coreProperties>
</file>