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6"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638"/>
        <w:gridCol w:w="9771"/>
        <w:gridCol w:w="614"/>
      </w:tblGrid>
      <w:tr>
        <w:trPr>
          <w:trHeight w:val="99" w:hRule="atLeast"/>
        </w:trPr>
        <w:tc>
          <w:tcPr>
            <w:tcW w:w="638" w:type="dxa"/>
          </w:tcPr>
          <w:p>
            <w:pPr>
              <w:pStyle w:val="EmptyCellLayoutStyle"/>
              <w:spacing w:after="0" w:line="240" w:lineRule="auto"/>
            </w:pPr>
          </w:p>
        </w:tc>
        <w:tc>
          <w:tcPr>
            <w:tcW w:w="9771" w:type="dxa"/>
          </w:tcPr>
          <w:p>
            <w:pPr>
              <w:pStyle w:val="EmptyCellLayoutStyle"/>
              <w:spacing w:after="0" w:line="240" w:lineRule="auto"/>
            </w:pPr>
          </w:p>
        </w:tc>
        <w:tc>
          <w:tcPr>
            <w:tcW w:w="614" w:type="dxa"/>
          </w:tcPr>
          <w:p>
            <w:pPr>
              <w:pStyle w:val="EmptyCellLayoutStyle"/>
              <w:spacing w:after="0" w:line="240" w:lineRule="auto"/>
            </w:pPr>
          </w:p>
        </w:tc>
      </w:tr>
      <w:tr>
        <w:trPr/>
        <w:tc>
          <w:tcPr>
            <w:tcW w:w="638" w:type="dxa"/>
          </w:tcPr>
          <w:p>
            <w:pPr>
              <w:pStyle w:val="EmptyCellLayoutStyle"/>
              <w:spacing w:after="0" w:line="240" w:lineRule="auto"/>
            </w:pPr>
          </w:p>
        </w:tc>
        <w:tc>
          <w:tcPr>
            <w:tcW w:w="97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771"/>
            </w:tblGrid>
            <w:tr>
              <w:trPr>
                <w:trHeight w:val="12889" w:hRule="atLeast"/>
              </w:trPr>
              <w:tc>
                <w:tcPr>
                  <w:tcW w:w="9771" w:type="dxa"/>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57"/>
                    <w:gridCol w:w="3257"/>
                    <w:gridCol w:w="3257"/>
                  </w:tblGrid>
                  <w:tr>
                    <w:trPr>
                      <w:trHeight w:val="986" w:hRule="atLeast"/>
                    </w:trPr>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2068344" cy="406073"/>
                              <wp:docPr id="0" name="img2.jpg"/>
                              <a:graphic>
                                <a:graphicData uri="http://schemas.openxmlformats.org/drawingml/2006/picture">
                                  <pic:pic>
                                    <pic:nvPicPr>
                                      <pic:cNvPr id="1" name="img2.jpg"/>
                                      <pic:cNvPicPr/>
                                    </pic:nvPicPr>
                                    <pic:blipFill>
                                      <a:blip r:embed="rId5" cstate="print"/>
                                      <a:stretch>
                                        <a:fillRect r="0" b="0"/>
                                      </a:stretch>
                                    </pic:blipFill>
                                    <pic:spPr>
                                      <a:xfrm>
                                        <a:off x="0" y="0"/>
                                        <a:ext cx="2068344" cy="406073"/>
                                      </a:xfrm>
                                      <a:prstGeom prst="rect">
                                        <a:avLst/>
                                      </a:prstGeom>
                                    </pic:spPr>
                                  </pic:pic>
                                </a:graphicData>
                              </a:graphic>
                            </wp:inline>
                          </w:drawing>
                        </w:r>
                      </w:p>
                    </w:tc>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076"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751" w:hRule="atLeast"/>
                    </w:trPr>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Times New Roman" w:hAnsi="Times New Roman" w:eastAsia="Times New Roman"/>
                            <w:color w:val="000000"/>
                            <w:sz w:val="24"/>
                          </w:rPr>
                          <w:t xml:space="preserve">TVIRTINU:</w:t>
                        </w:r>
                      </w:p>
                      <w:p>
                        <w:pPr>
                          <w:spacing w:after="0" w:line="240" w:lineRule="auto"/>
                          <w:jc w:val="center"/>
                        </w:pPr>
                        <w:r>
                          <w:rPr>
                            <w:rFonts w:ascii="Times New Roman" w:hAnsi="Times New Roman" w:eastAsia="Times New Roman"/>
                            <w:color w:val="000000"/>
                            <w:sz w:val="24"/>
                          </w:rPr>
                          <w:t xml:space="preserve">Martynas Gedaminskas</w:t>
                        </w:r>
                      </w:p>
                      <w:p>
                        <w:pPr>
                          <w:spacing w:after="0" w:line="240" w:lineRule="auto"/>
                          <w:jc w:val="center"/>
                        </w:pPr>
                        <w:r>
                          <w:rPr>
                            <w:rFonts w:ascii="Times New Roman" w:hAnsi="Times New Roman" w:eastAsia="Times New Roman"/>
                            <w:color w:val="000000"/>
                            <w:sz w:val="18"/>
                          </w:rPr>
                          <w:t xml:space="preserve">(Vardo raidė, pavardė, parašas)</w:t>
                        </w:r>
                      </w:p>
                      <w:p>
                        <w:pPr>
                          <w:spacing w:after="0" w:line="240" w:lineRule="auto"/>
                          <w:jc w:val="center"/>
                        </w:pPr>
                        <w:r>
                          <w:rPr>
                            <w:rFonts w:ascii="Times New Roman" w:hAnsi="Times New Roman" w:eastAsia="Times New Roman"/>
                            <w:color w:val="000000"/>
                            <w:sz w:val="24"/>
                          </w:rPr>
                          <w:t xml:space="preserve">____________________</w:t>
                        </w:r>
                      </w:p>
                      <w:p>
                        <w:pPr>
                          <w:spacing w:after="0" w:line="240" w:lineRule="auto"/>
                          <w:jc w:val="center"/>
                        </w:pPr>
                        <w:r>
                          <w:rPr>
                            <w:rFonts w:ascii="Times New Roman" w:hAnsi="Times New Roman" w:eastAsia="Times New Roman"/>
                            <w:color w:val="000000"/>
                            <w:sz w:val="18"/>
                          </w:rPr>
                          <w:t xml:space="preserve">(data)</w:t>
                        </w:r>
                      </w:p>
                    </w:tc>
                  </w:tr>
                  <w:tr>
                    <w:trPr>
                      <w:trHeight w:val="1361"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Times New Roman" w:hAnsi="Times New Roman" w:eastAsia="Times New Roman"/>
                            <w:b/>
                            <w:color w:val="000000"/>
                            <w:sz w:val="28"/>
                          </w:rPr>
                          <w:t xml:space="preserve">TECHNINĖ UŽDUOTIS VALSTYBINĖS REIKŠMĖS KELIŲ IR</w:t>
                        </w:r>
                      </w:p>
                      <w:p>
                        <w:pPr>
                          <w:spacing w:after="0" w:line="240" w:lineRule="auto"/>
                          <w:jc w:val="center"/>
                        </w:pPr>
                        <w:r>
                          <w:rPr>
                            <w:rFonts w:ascii="Times New Roman" w:hAnsi="Times New Roman" w:eastAsia="Times New Roman"/>
                            <w:b/>
                            <w:color w:val="000000"/>
                            <w:sz w:val="28"/>
                          </w:rPr>
                          <w:t xml:space="preserve"> / ARBA JŲ ELEMENTŲ PROJEKTAVIMUI</w:t>
                        </w: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990" w:hRule="atLeast"/>
                    </w:trPr>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pPr>
                      </w:p>
                    </w:tc>
                    <w:tc>
                      <w:tcPr>
                        <w:tcW w:w="325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pPr>
                      </w:p>
                    </w:tc>
                  </w:tr>
                  <w:tr>
                    <w:trPr>
                      <w:trHeight w:val="457"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Times New Roman" w:hAnsi="Times New Roman" w:eastAsia="Times New Roman"/>
                            <w:b/>
                            <w:color w:val="000000"/>
                            <w:sz w:val="24"/>
                          </w:rPr>
                          <w:t xml:space="preserve">1. Statytojas: </w:t>
                        </w:r>
                        <w:r>
                          <w:rPr>
                            <w:rFonts w:ascii="Times New Roman" w:hAnsi="Times New Roman" w:eastAsia="Times New Roman"/>
                            <w:color w:val="000000"/>
                            <w:sz w:val="24"/>
                          </w:rPr>
                          <w:t xml:space="preserve">Akcinė bendrovė Via Lietuva.</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2. Užsakovas: </w:t>
                        </w:r>
                        <w:r>
                          <w:rPr>
                            <w:rFonts w:ascii="Times New Roman" w:hAnsi="Times New Roman" w:eastAsia="Times New Roman"/>
                            <w:color w:val="000000"/>
                            <w:sz w:val="24"/>
                          </w:rPr>
                          <w:t xml:space="preserve">Akcinė bendrovė Via Lietuva.</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3. Projekto pavadinimas: </w:t>
                        </w:r>
                        <w:r>
                          <w:rPr>
                            <w:rFonts w:ascii="Times New Roman" w:hAnsi="Times New Roman" w:eastAsia="Times New Roman"/>
                            <w:color w:val="000000"/>
                            <w:sz w:val="24"/>
                          </w:rPr>
                          <w:t xml:space="preserve">Kelio Nr. 122 Daugpilis–Rokiškis–Panevėžys rekonstravimo, pertvarkant sankryžas, esančias 23,160 ir 23,836 km, projektinių pasiūlymų parengimas.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4. Statybos rūšis: </w:t>
                        </w:r>
                        <w:r>
                          <w:rPr>
                            <w:rFonts w:ascii="Times New Roman" w:hAnsi="Times New Roman" w:eastAsia="Times New Roman"/>
                            <w:color w:val="000000"/>
                            <w:sz w:val="24"/>
                          </w:rPr>
                          <w:t xml:space="preserve">rekonstravimas.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5. Etapas: </w:t>
                        </w:r>
                        <w:r>
                          <w:rPr>
                            <w:rFonts w:ascii="Times New Roman" w:hAnsi="Times New Roman" w:eastAsia="Times New Roman"/>
                            <w:color w:val="000000"/>
                            <w:sz w:val="24"/>
                          </w:rPr>
                          <w:t xml:space="preserve">Projektiniai pasiūlymai.</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6. Statinio kategorija: </w:t>
                        </w:r>
                        <w:r>
                          <w:rPr>
                            <w:rFonts w:ascii="Times New Roman" w:hAnsi="Times New Roman" w:eastAsia="Times New Roman"/>
                            <w:color w:val="000000"/>
                            <w:sz w:val="24"/>
                          </w:rPr>
                          <w:t xml:space="preserve">ypatingasis statinys.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7. Statinio rūšis: </w:t>
                        </w:r>
                        <w:r>
                          <w:rPr>
                            <w:rFonts w:ascii="Times New Roman" w:hAnsi="Times New Roman" w:eastAsia="Times New Roman"/>
                            <w:color w:val="000000"/>
                            <w:sz w:val="24"/>
                          </w:rPr>
                          <w:t xml:space="preserve">inžinerinis statinys.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8. Inžinerinių statinių grupė: </w:t>
                        </w:r>
                        <w:r>
                          <w:rPr>
                            <w:rFonts w:ascii="Times New Roman" w:hAnsi="Times New Roman" w:eastAsia="Times New Roman"/>
                            <w:color w:val="000000"/>
                            <w:sz w:val="24"/>
                          </w:rPr>
                          <w:t xml:space="preserve">susisiekimo komunikacijos.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9. Inžinerinių statinių pogrupis: </w:t>
                        </w:r>
                        <w:r>
                          <w:rPr>
                            <w:rFonts w:ascii="Times New Roman" w:hAnsi="Times New Roman" w:eastAsia="Times New Roman"/>
                            <w:color w:val="000000"/>
                            <w:sz w:val="24"/>
                          </w:rPr>
                          <w:t xml:space="preserve">keliai.</w:t>
                        </w:r>
                        <w:r>
                          <w:rPr>
                            <w:rFonts w:ascii="Times New Roman" w:hAnsi="Times New Roman" w:eastAsia="Times New Roman"/>
                            <w:color w:val="000000"/>
                            <w:sz w:val="24"/>
                          </w:rPr>
                          <w:br/>
                        </w: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446"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Times New Roman" w:hAnsi="Times New Roman" w:eastAsia="Times New Roman"/>
                            <w:b/>
                            <w:color w:val="000000"/>
                            <w:sz w:val="24"/>
                          </w:rPr>
                          <w:t xml:space="preserve">10</w:t>
                        </w:r>
                        <w:r>
                          <w:rPr>
                            <w:rFonts w:ascii="Times New Roman" w:hAnsi="Times New Roman" w:eastAsia="Times New Roman"/>
                            <w:b/>
                            <w:color w:val="000000"/>
                            <w:sz w:val="24"/>
                          </w:rPr>
                          <w:t xml:space="preserve">. Nurodymai statinių ir / arba jų elementų projektavimui ir jų techniniai parametrai:</w:t>
                        </w: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431"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ind w:left="720" w:hanging="360"/>
                          <w:jc w:val="left"/>
                        </w:pPr>
                        <w:r>
                          <w:rPr>
                            <w:rFonts w:ascii="Times New Roman" w:hAnsi="Times New Roman" w:eastAsia="Times New Roman"/>
                            <w:i/>
                            <w:color w:val="000000"/>
                            <w:sz w:val="24"/>
                          </w:rPr>
                          <w:t xml:space="preserve">10.1. numatoma darbų vykdymo riba: </w:t>
                        </w:r>
                        <w:r>
                          <w:rPr>
                            <w:rFonts w:ascii="Times New Roman" w:hAnsi="Times New Roman" w:eastAsia="Times New Roman"/>
                            <w:color w:val="000000"/>
                            <w:sz w:val="24"/>
                          </w:rPr>
                          <w:t xml:space="preserve">Kelio Nr.122 maždaug 22,9–23,98 km, kelio Nr. 120 maždaug 85,45–85,57 km, kelio Nr. 123 maždaug 66,65–66,75 km (pagal poreikį ribą tikslinti projektavimo metu);</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10.2. kelio (gatvės) kategorija: </w:t>
                        </w:r>
                        <w:r>
                          <w:rPr>
                            <w:rFonts w:ascii="Times New Roman" w:hAnsi="Times New Roman" w:eastAsia="Times New Roman"/>
                            <w:color w:val="000000"/>
                            <w:sz w:val="24"/>
                          </w:rPr>
                          <w:t xml:space="preserve">pagal VĮ Registrų centro duomenis;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10.3. projektavimo paslaugų apimtis: </w:t>
                        </w:r>
                        <w:r>
                          <w:rPr>
                            <w:rFonts w:ascii="Times New Roman" w:hAnsi="Times New Roman" w:eastAsia="Times New Roman"/>
                            <w:color w:val="000000"/>
                            <w:sz w:val="24"/>
                          </w:rPr>
                          <w:t xml:space="preserve">projekto apimtyje atlikti sankryžos ir jos prieigų rekonstravimą, numatyti apšvietimą, pagal poreikį numatyti aktualias pėsčiųjų infrastruktūros jungtis, pėsčiųjų eismo per kelią organizavimo priemones (vieta ir tipas parenkama projektavimo metu), vandens nuleidimą;</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10.4. pėstiesiems ir (arba) dviratininkams skirta infrastruktūra: </w:t>
                        </w:r>
                        <w:r>
                          <w:rPr>
                            <w:rFonts w:ascii="Times New Roman" w:hAnsi="Times New Roman" w:eastAsia="Times New Roman"/>
                            <w:color w:val="000000"/>
                            <w:sz w:val="24"/>
                          </w:rPr>
                          <w:t xml:space="preserve">takų poreikį vertinti projektavimo metu, vadovautis dokumentu "Dviračių ir pėsčiųjų eismo infrastruktūros planavimo ir projektavimo taisyklės ";</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10.5. pėstiesiems ir (arba) dviratininkams skirtos infrastruktūros dangos konstrukcija: </w:t>
                        </w:r>
                        <w:r>
                          <w:rPr>
                            <w:rFonts w:ascii="Times New Roman" w:hAnsi="Times New Roman" w:eastAsia="Times New Roman"/>
                            <w:color w:val="000000"/>
                            <w:sz w:val="24"/>
                          </w:rPr>
                          <w:t xml:space="preserve">pagal Automobilių kelių standartizuotų dangų konstrukcijų projektavimo taisykles KPT SDK 19;</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10.6. dangos konstrukcijos klasė: </w:t>
                        </w:r>
                        <w:r>
                          <w:rPr>
                            <w:rFonts w:ascii="Times New Roman" w:hAnsi="Times New Roman" w:eastAsia="Times New Roman"/>
                            <w:color w:val="000000"/>
                            <w:sz w:val="24"/>
                          </w:rPr>
                          <w:t xml:space="preserve">pagal Automobilių kelių standartizuotų dangų konstrukcijų projektavimo taisykles KPT SDK 19;</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10.7. nuovažų skaičius: </w:t>
                        </w:r>
                        <w:r>
                          <w:rPr>
                            <w:rFonts w:ascii="Times New Roman" w:hAnsi="Times New Roman" w:eastAsia="Times New Roman"/>
                            <w:color w:val="000000"/>
                            <w:sz w:val="24"/>
                          </w:rPr>
                          <w:t xml:space="preserve">nustatoma projektavimo metu;</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10.8. numatomi / rekonstruojami inžineriniai tinklai: </w:t>
                        </w:r>
                        <w:r>
                          <w:rPr>
                            <w:rFonts w:ascii="Times New Roman" w:hAnsi="Times New Roman" w:eastAsia="Times New Roman"/>
                            <w:color w:val="000000"/>
                            <w:sz w:val="24"/>
                          </w:rPr>
                          <w:t xml:space="preserve">nustatoma projektavimo metu;</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10.9. vandens pralaidos: </w:t>
                        </w:r>
                        <w:r>
                          <w:rPr>
                            <w:rFonts w:ascii="Times New Roman" w:hAnsi="Times New Roman" w:eastAsia="Times New Roman"/>
                            <w:color w:val="000000"/>
                            <w:sz w:val="24"/>
                          </w:rPr>
                          <w:t xml:space="preserve">nustatoma projektavimo metu;</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10.10. vandens nuleidimas nuo kelio: </w:t>
                        </w:r>
                        <w:r>
                          <w:rPr>
                            <w:rFonts w:ascii="Times New Roman" w:hAnsi="Times New Roman" w:eastAsia="Times New Roman"/>
                            <w:color w:val="000000"/>
                            <w:sz w:val="24"/>
                          </w:rPr>
                          <w:t xml:space="preserve">spręsti projektavimo metu, jei yra poreikis vandens nuleidimo nuo kelio sprendiniams perengti atskirą, naujos statybos, įrengiant vandens nuotekų tinklus, techninį darbo projektą, gauti statybą leidžiantį dokumentą;</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10.11. pėsčiųjų perėjimo per kelią organizavimo priemonės vieta: </w:t>
                        </w:r>
                        <w:r>
                          <w:rPr>
                            <w:rFonts w:ascii="Times New Roman" w:hAnsi="Times New Roman" w:eastAsia="Times New Roman"/>
                            <w:color w:val="000000"/>
                            <w:sz w:val="24"/>
                          </w:rPr>
                          <w:t xml:space="preserve">pėsčiųjų perėjimo per kelią organizavimo priemonių poreikį ir vietą vertinti projektavimo metu vadovaujantis Pėsčiųjų perėjimo per kelius ir gatves organizavimo taisyklėmis;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10.12. pėsčiųjų perėjimo per kelią organizavimo priemonės tipas: </w:t>
                        </w:r>
                        <w:r>
                          <w:rPr>
                            <w:rFonts w:ascii="Times New Roman" w:hAnsi="Times New Roman" w:eastAsia="Times New Roman"/>
                            <w:color w:val="000000"/>
                            <w:sz w:val="24"/>
                          </w:rPr>
                          <w:t xml:space="preserve">pagal poreikį nustatoma projektavimo metu vadovaujantis Pėsčiųjų perėjimo per kelius ir gatves organizavimo taisyklėmis;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10.13. pėsčiųjų perėjimo per kelią organizavimo priemonės plotis, m: </w:t>
                        </w:r>
                        <w:r>
                          <w:rPr>
                            <w:rFonts w:ascii="Times New Roman" w:hAnsi="Times New Roman" w:eastAsia="Times New Roman"/>
                            <w:color w:val="000000"/>
                            <w:sz w:val="24"/>
                          </w:rPr>
                          <w:t xml:space="preserve">pagal poreikį nustatoma projektavimo metu vadovaujantis Pėsčiųjų perėjimo per kelius ir gatves organizavimo taisyklėmis;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10.14. autobusų sustojimo aikštelių skaičius: </w:t>
                        </w:r>
                        <w:r>
                          <w:rPr>
                            <w:rFonts w:ascii="Times New Roman" w:hAnsi="Times New Roman" w:eastAsia="Times New Roman"/>
                            <w:color w:val="000000"/>
                            <w:sz w:val="24"/>
                          </w:rPr>
                          <w:t xml:space="preserve">nustatoma projektavimo metu;</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10.15. autobusų sustojimo aikštelių paviljonų skaičius: </w:t>
                        </w:r>
                        <w:r>
                          <w:rPr>
                            <w:rFonts w:ascii="Times New Roman" w:hAnsi="Times New Roman" w:eastAsia="Times New Roman"/>
                            <w:color w:val="000000"/>
                            <w:sz w:val="24"/>
                          </w:rPr>
                          <w:t xml:space="preserve">poreikis nustatomas projektavimo metu;</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10.16. inžinerinės eismo saugos priemonės: </w:t>
                        </w:r>
                        <w:r>
                          <w:rPr>
                            <w:rFonts w:ascii="Times New Roman" w:hAnsi="Times New Roman" w:eastAsia="Times New Roman"/>
                            <w:color w:val="000000"/>
                            <w:sz w:val="24"/>
                          </w:rPr>
                          <w:t xml:space="preserve">eismo saugos priemones vertinti pagal poreikį projektavimo metu vadovaujantis "Inžinerinių eismo saugumo priemonių įgyvendinimo rekomendacijomis";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10.17. apšvietimas: </w:t>
                        </w:r>
                        <w:r>
                          <w:rPr>
                            <w:rFonts w:ascii="Times New Roman" w:hAnsi="Times New Roman" w:eastAsia="Times New Roman"/>
                            <w:color w:val="000000"/>
                            <w:sz w:val="24"/>
                          </w:rPr>
                          <w:t xml:space="preserve">numatyti apšvietimo įrengimą numatant atskirą apskaitą, vadovautis tipinėmis kelių apšvietimo projektavimo sąlygomis;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10.18. kiti reikalavimai: </w:t>
                        </w:r>
                        <w:r>
                          <w:rPr>
                            <w:rFonts w:ascii="Times New Roman" w:hAnsi="Times New Roman" w:eastAsia="Times New Roman"/>
                            <w:color w:val="000000"/>
                            <w:sz w:val="24"/>
                          </w:rPr>
                          <w:t xml:space="preserve">visi darbai turi būti atliekami esamoje kelio juostoje (žemės sklype) arba laisvoje valstybinėje žemėje. Jei sprendiniai už kelio juostos (žemės sklypo) ribų, turi būti gautas valstybinės žemės valdytojo sutikimas.</w:t>
                        </w:r>
                        <w:r>
                          <w:rPr>
                            <w:rFonts w:ascii="Times New Roman" w:hAnsi="Times New Roman" w:eastAsia="Times New Roman"/>
                            <w:color w:val="000000"/>
                            <w:sz w:val="24"/>
                          </w:rPr>
                          <w:br/>
                        </w:r>
                        <w:r>
                          <w:rPr>
                            <w:rFonts w:ascii="Times New Roman" w:hAnsi="Times New Roman" w:eastAsia="Times New Roman"/>
                            <w:color w:val="000000"/>
                            <w:sz w:val="24"/>
                          </w:rPr>
                          <w:t xml:space="preserve"> </w:t>
                        </w: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481"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Times New Roman" w:hAnsi="Times New Roman" w:eastAsia="Times New Roman"/>
                            <w:b/>
                            <w:color w:val="000000"/>
                            <w:sz w:val="24"/>
                          </w:rPr>
                          <w:t xml:space="preserve">11</w:t>
                        </w:r>
                        <w:r>
                          <w:rPr>
                            <w:rFonts w:ascii="Times New Roman" w:hAnsi="Times New Roman" w:eastAsia="Times New Roman"/>
                            <w:b/>
                            <w:color w:val="000000"/>
                            <w:sz w:val="24"/>
                          </w:rPr>
                          <w:t xml:space="preserve">. Projektuojant vadovautis šiais dokumentais:</w:t>
                        </w: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581"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ind w:left="720" w:hanging="360"/>
                          <w:jc w:val="left"/>
                        </w:pPr>
                        <w:r>
                          <w:rPr>
                            <w:rFonts w:ascii="Times New Roman" w:hAnsi="Times New Roman" w:eastAsia="Times New Roman"/>
                            <w:i/>
                            <w:color w:val="000000"/>
                            <w:sz w:val="24"/>
                          </w:rPr>
                          <w:t xml:space="preserve">11.1. Lietuvos Respublikos kelių įstatymu, Lietuvos Respublikos statybos įstatymu, kelių techniniu reglamentu, statybos techniniais reglamentais, higienos normomis, kitais poįstatyminiais teisės aktais: </w:t>
                        </w:r>
                        <w:r>
                          <w:rPr>
                            <w:rFonts w:ascii="Times New Roman" w:hAnsi="Times New Roman" w:eastAsia="Times New Roman"/>
                            <w:color w:val="000000"/>
                            <w:sz w:val="24"/>
                          </w:rPr>
                          <w:t xml:space="preserve">Taip;</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11.2. kitais galiojančiais įstatymais, teisės aktais ir normatyviniais statybos techniniais dokumentais, įskaitant, bet neapsiribojant, nurodytais Akcinės bendrovės Lietuvos automobilių kelių direkcijos interneto svetainėje adresu http://lakd.lt/lt/paslaugos/normatyviniai-dokumentai : </w:t>
                        </w:r>
                        <w:r>
                          <w:rPr>
                            <w:rFonts w:ascii="Times New Roman" w:hAnsi="Times New Roman" w:eastAsia="Times New Roman"/>
                            <w:color w:val="000000"/>
                            <w:sz w:val="24"/>
                          </w:rPr>
                          <w:t xml:space="preserve">Taip;</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11.3. projekto rengimo dokumentais: </w:t>
                        </w:r>
                        <w:r>
                          <w:rPr>
                            <w:rFonts w:ascii="Times New Roman" w:hAnsi="Times New Roman" w:eastAsia="Times New Roman"/>
                            <w:color w:val="000000"/>
                            <w:sz w:val="24"/>
                          </w:rPr>
                          <w:t xml:space="preserve">Taip;</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i/>
                            <w:color w:val="000000"/>
                            <w:sz w:val="24"/>
                          </w:rPr>
                          <w:t xml:space="preserve">11.4. prisijungimo sąlygomis: </w:t>
                        </w:r>
                        <w:r>
                          <w:rPr>
                            <w:rFonts w:ascii="Times New Roman" w:hAnsi="Times New Roman" w:eastAsia="Times New Roman"/>
                            <w:color w:val="000000"/>
                            <w:sz w:val="24"/>
                          </w:rPr>
                          <w:t xml:space="preserve">Taip.</w:t>
                        </w:r>
                        <w:r>
                          <w:rPr>
                            <w:rFonts w:ascii="Times New Roman" w:hAnsi="Times New Roman" w:eastAsia="Times New Roman"/>
                            <w:color w:val="000000"/>
                            <w:sz w:val="24"/>
                          </w:rPr>
                          <w:br/>
                        </w:r>
                        <w:r>
                          <w:rPr>
                            <w:rFonts w:ascii="Times New Roman" w:hAnsi="Times New Roman" w:eastAsia="Times New Roman"/>
                            <w:color w:val="000000"/>
                            <w:sz w:val="24"/>
                          </w:rPr>
                          <w:t xml:space="preserve"> </w:t>
                        </w: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135" w:hRule="atLeast"/>
                    </w:trPr>
                    <w:tc>
                      <w:tcPr>
                        <w:tcW w:w="3257"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Times New Roman" w:hAnsi="Times New Roman" w:eastAsia="Times New Roman"/>
                            <w:b/>
                            <w:color w:val="000000"/>
                            <w:sz w:val="24"/>
                          </w:rPr>
                          <w:t xml:space="preserve">12. Finansavimo šaltinis: </w:t>
                        </w:r>
                        <w:r>
                          <w:rPr>
                            <w:rFonts w:ascii="Times New Roman" w:hAnsi="Times New Roman" w:eastAsia="Times New Roman"/>
                            <w:color w:val="000000"/>
                            <w:sz w:val="24"/>
                          </w:rPr>
                        </w:r>
                        <w:r>
                          <w:rPr>
                            <w:rFonts w:ascii="Times New Roman" w:hAnsi="Times New Roman" w:eastAsia="Times New Roman"/>
                            <w:color w:val="000000"/>
                            <w:sz w:val="24"/>
                          </w:rPr>
                          <w:br/>
                          <w:t xml:space="preserve">Kelių priežiūros ir plėtros programos lėšos.</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13. Projekto apimtis: </w:t>
                        </w:r>
                        <w:r>
                          <w:rPr>
                            <w:rFonts w:ascii="Times New Roman" w:hAnsi="Times New Roman" w:eastAsia="Times New Roman"/>
                            <w:color w:val="000000"/>
                            <w:sz w:val="24"/>
                          </w:rPr>
                        </w:r>
                        <w:r>
                          <w:rPr>
                            <w:rFonts w:ascii="Times New Roman" w:hAnsi="Times New Roman" w:eastAsia="Times New Roman"/>
                            <w:color w:val="000000"/>
                            <w:sz w:val="24"/>
                          </w:rPr>
                          <w:br/>
                          <w:t xml:space="preserve">Pagal STR 1.04.04:2017 „Statinio projektavimas, projekto ekspertizė“.</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14. Papildomos paslaugos (paslaugos, deleguotos Statytojo projektuotojui): </w:t>
                        </w:r>
                        <w:r>
                          <w:rPr>
                            <w:rFonts w:ascii="Times New Roman" w:hAnsi="Times New Roman" w:eastAsia="Times New Roman"/>
                            <w:color w:val="000000"/>
                            <w:sz w:val="24"/>
                          </w:rPr>
                        </w:r>
                        <w:r>
                          <w:rPr>
                            <w:rFonts w:ascii="Times New Roman" w:hAnsi="Times New Roman" w:eastAsia="Times New Roman"/>
                            <w:color w:val="000000"/>
                            <w:sz w:val="24"/>
                          </w:rPr>
                          <w:br/>
                          <w:t xml:space="preserve">– parinkti ne mažiau kaip 2 sankryžos pertvarkymo alternatyvas, atlikti eismo srautų modeliavimą ir parinkti priimtiniausią sankryžos pertvarkymo variantą; – atlikti kitas paslaugas, kaip tai numato Techninė specifikacija ir Sutarties sąlygos; – pateikti įkainotų darbų kiekių žiniaraštį pagal pridedamą pavyzdinę sąnaudų žiniaraščio formą (excel formatu); – apšvietimą projektuoti pagal tipines kelių apšvietimo projektavimo sąlygas. .</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15. Su šia užduotimi pateikiami Statytojo privalomieji ir kiti dokumentai projektui rengti bei šių dokumentų pateikimo laikotarpis: </w:t>
                        </w:r>
                        <w:r>
                          <w:rPr>
                            <w:rFonts w:ascii="Times New Roman" w:hAnsi="Times New Roman" w:eastAsia="Times New Roman"/>
                            <w:color w:val="000000"/>
                            <w:sz w:val="24"/>
                          </w:rPr>
                        </w:r>
                        <w:r>
                          <w:rPr>
                            <w:rFonts w:ascii="Times New Roman" w:hAnsi="Times New Roman" w:eastAsia="Times New Roman"/>
                            <w:color w:val="000000"/>
                            <w:sz w:val="24"/>
                          </w:rPr>
                          <w:br/>
                          <w:t xml:space="preserve">Priedas Nr. 1. Techninė specifikacija; Priedas Nr. 2. Kadastrinių matavimų bylos (pateikiama pasirašius paslaugų sutartį).</w:t>
                        </w:r>
                        <w:r>
                          <w:rPr>
                            <w:rFonts w:ascii="Times New Roman" w:hAnsi="Times New Roman" w:eastAsia="Times New Roman"/>
                            <w:color w:val="000000"/>
                            <w:sz w:val="24"/>
                          </w:rPr>
                          <w:br/>
                        </w:r>
                        <w:r>
                          <w:rPr>
                            <w:rFonts w:ascii="Times New Roman" w:hAnsi="Times New Roman" w:eastAsia="Times New Roman"/>
                            <w:color w:val="000000"/>
                            <w:sz w:val="24"/>
                          </w:rPr>
                          <w:br/>
                        </w:r>
                        <w:r>
                          <w:rPr>
                            <w:rFonts w:ascii="Times New Roman" w:hAnsi="Times New Roman" w:eastAsia="Times New Roman"/>
                            <w:b/>
                            <w:color w:val="000000"/>
                            <w:sz w:val="24"/>
                          </w:rPr>
                          <w:t xml:space="preserve">16. Žemės sklypo statinio teisinės registracijos Nekilnojamojo turto registre duomenys: </w:t>
                        </w:r>
                        <w:r>
                          <w:rPr>
                            <w:rFonts w:ascii="Times New Roman" w:hAnsi="Times New Roman" w:eastAsia="Times New Roman"/>
                            <w:color w:val="000000"/>
                            <w:sz w:val="24"/>
                          </w:rPr>
                        </w:r>
                        <w:r>
                          <w:rPr>
                            <w:rFonts w:ascii="Times New Roman" w:hAnsi="Times New Roman" w:eastAsia="Times New Roman"/>
                            <w:color w:val="000000"/>
                            <w:sz w:val="24"/>
                          </w:rPr>
                          <w:br/>
                          <w:t xml:space="preserve">– kelio Nr. 122 žemės sklypo unikalus numeris: 4400-2214-1712; – kelio Nr. 122 inžinerinio statinio unikalus numeris: 4400-2144-9823; – kelio Nr. 120 žemės sklypo unikalus numeris: 4400-1845-9320; – kelio Nr. 120 inžinerinio statinio unikalus numeris: 4400-1649-7599; – kelio Nr. 123 žemės sklypo unikalus numeris: –; – kelio Nr. 123 inžinerinio statinio unikalus numeris: 4400-2642-9786. .</w:t>
                        </w:r>
                        <w:r>
                          <w:rPr>
                            <w:rFonts w:ascii="Times New Roman" w:hAnsi="Times New Roman" w:eastAsia="Times New Roman"/>
                            <w:color w:val="000000"/>
                            <w:sz w:val="24"/>
                          </w:rPr>
                          <w:br/>
                        </w:r>
                        <w:r>
                          <w:rPr>
                            <w:rFonts w:ascii="Times New Roman" w:hAnsi="Times New Roman" w:eastAsia="Times New Roman"/>
                            <w:color w:val="000000"/>
                            <w:sz w:val="24"/>
                          </w:rPr>
                          <w:t xml:space="preserve"> </w:t>
                        </w: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25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2256" w:hRule="atLeast"/>
                    </w:trPr>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center"/>
                        </w:pPr>
                        <w:r>
                          <w:rPr>
                            <w:rFonts w:ascii="Times New Roman" w:hAnsi="Times New Roman" w:eastAsia="Times New Roman"/>
                            <w:color w:val="000000"/>
                            <w:sz w:val="24"/>
                          </w:rPr>
                          <w:t xml:space="preserve">STATYTOJAS</w:t>
                        </w:r>
                      </w:p>
                      <w:p>
                        <w:pPr>
                          <w:spacing w:after="0" w:line="240" w:lineRule="auto"/>
                          <w:jc w:val="center"/>
                        </w:pPr>
                        <w:r>
                          <w:rPr>
                            <w:rFonts w:ascii="Times New Roman" w:hAnsi="Times New Roman" w:eastAsia="Times New Roman"/>
                            <w:color w:val="000000"/>
                            <w:sz w:val="24"/>
                          </w:rPr>
                          <w:t xml:space="preserve">Akcinė bendrovė Via Lietuva</w:t>
                        </w:r>
                      </w:p>
                      <w:p>
                        <w:pPr>
                          <w:spacing w:after="0" w:line="240" w:lineRule="auto"/>
                          <w:jc w:val="center"/>
                        </w:pPr>
                      </w:p>
                      <w:p>
                        <w:pPr>
                          <w:spacing w:after="0" w:line="240" w:lineRule="auto"/>
                          <w:jc w:val="center"/>
                        </w:pPr>
                        <w:r>
                          <w:rPr>
                            <w:rFonts w:ascii="Times New Roman" w:hAnsi="Times New Roman" w:eastAsia="Times New Roman"/>
                            <w:color w:val="000000"/>
                            <w:sz w:val="24"/>
                          </w:rPr>
                          <w:t xml:space="preserve">(vardas, pavardė, parašas, data)</w:t>
                        </w:r>
                      </w:p>
                    </w:tc>
                    <w:tc>
                      <w:tcPr>
                        <w:tcW w:w="325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pPr>
                      </w:p>
                    </w:tc>
                    <w:tc>
                      <w:tcPr>
                        <w:tcW w:w="32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center"/>
                        </w:pPr>
                        <w:r>
                          <w:rPr>
                            <w:rFonts w:ascii="Times New Roman" w:hAnsi="Times New Roman" w:eastAsia="Times New Roman"/>
                            <w:color w:val="000000"/>
                            <w:sz w:val="24"/>
                          </w:rPr>
                          <w:t xml:space="preserve">PROJEKTUOTOJAS</w:t>
                        </w:r>
                      </w:p>
                      <w:p>
                        <w:pPr>
                          <w:spacing w:after="0" w:line="240" w:lineRule="auto"/>
                          <w:jc w:val="center"/>
                        </w:pPr>
                      </w:p>
                      <w:p>
                        <w:pPr>
                          <w:spacing w:after="0" w:line="240" w:lineRule="auto"/>
                          <w:jc w:val="center"/>
                        </w:pPr>
                      </w:p>
                      <w:p>
                        <w:pPr>
                          <w:spacing w:after="0" w:line="240" w:lineRule="auto"/>
                          <w:jc w:val="center"/>
                        </w:pPr>
                        <w:r>
                          <w:rPr>
                            <w:rFonts w:ascii="Times New Roman" w:hAnsi="Times New Roman" w:eastAsia="Times New Roman"/>
                            <w:color w:val="000000"/>
                            <w:sz w:val="24"/>
                          </w:rPr>
                          <w:t xml:space="preserve">(vardas, pavardė, parašas, data)</w:t>
                        </w:r>
                      </w:p>
                    </w:tc>
                  </w:tr>
                </w:tbl>
                <w:p>
                  <w:pPr>
                    <w:spacing w:after="0" w:line="240" w:lineRule="auto"/>
                  </w:pPr>
                </w:p>
              </w:tc>
            </w:tr>
          </w:tbl>
          <w:p>
            <w:pPr>
              <w:spacing w:after="0" w:line="240" w:lineRule="auto"/>
            </w:pPr>
          </w:p>
        </w:tc>
        <w:tc>
          <w:tcPr>
            <w:tcW w:w="614" w:type="dxa"/>
          </w:tcPr>
          <w:p>
            <w:pPr>
              <w:pStyle w:val="EmptyCellLayoutStyle"/>
              <w:spacing w:after="0" w:line="240" w:lineRule="auto"/>
            </w:pPr>
          </w:p>
        </w:tc>
      </w:tr>
      <w:tr>
        <w:trPr>
          <w:trHeight w:val="952" w:hRule="atLeast"/>
        </w:trPr>
        <w:tc>
          <w:tcPr>
            <w:tcW w:w="638" w:type="dxa"/>
          </w:tcPr>
          <w:p>
            <w:pPr>
              <w:pStyle w:val="EmptyCellLayoutStyle"/>
              <w:spacing w:after="0" w:line="240" w:lineRule="auto"/>
            </w:pPr>
          </w:p>
        </w:tc>
        <w:tc>
          <w:tcPr>
            <w:tcW w:w="9771" w:type="dxa"/>
          </w:tcPr>
          <w:p>
            <w:pPr>
              <w:pStyle w:val="EmptyCellLayoutStyle"/>
              <w:spacing w:after="0" w:line="240" w:lineRule="auto"/>
            </w:pPr>
          </w:p>
        </w:tc>
        <w:tc>
          <w:tcPr>
            <w:tcW w:w="614" w:type="dxa"/>
          </w:tcPr>
          <w:p>
            <w:pPr>
              <w:pStyle w:val="EmptyCellLayoutStyle"/>
              <w:spacing w:after="0" w:line="240" w:lineRule="auto"/>
            </w:pPr>
          </w:p>
        </w:tc>
      </w:tr>
    </w:tbl>
    <w:p>
      <w:pPr>
        <w:spacing w:after="0" w:line="240" w:lineRule="auto"/>
      </w:pPr>
    </w:p>
    <w:sectPr w:rsidRPr="" w:rsidDel="" w:rsidR="" w:rsidSect="">
      <w:pgSz w:w="12584" w:h="16837"/>
      <w:pgMar w:top="1559" w:right="566" w:bottom="1133" w:left="992" w:header="" w:footer="" w:gutter=""/>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image" Target="/word/media/img2.jpg" Id="rId5" /><Relationship Type="http://schemas.openxmlformats.org/officeDocument/2006/relationships/numbering" Target="/word/numbering.xml" Id="rId7"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Technine uzduotis</dc:title>
</cp:coreProperties>
</file>