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5B9D7C11"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B62E66" w:rsidRPr="00B62E66">
        <w:rPr>
          <w:rFonts w:ascii="Times New Roman" w:eastAsia="Calibri" w:hAnsi="Times New Roman" w:cs="Times New Roman"/>
          <w:b/>
          <w:bCs/>
          <w:spacing w:val="0"/>
          <w:kern w:val="0"/>
          <w:sz w:val="24"/>
          <w:szCs w:val="24"/>
          <w:lang w:eastAsia="lt-LT"/>
        </w:rPr>
        <w:t xml:space="preserve">STOTIES GATVĖS (NR.10.39) DALIES ŠVENČIONĖLIUOSE, ŠVENČIONIŲ R. SAV., </w:t>
      </w:r>
      <w:r w:rsidR="00581870" w:rsidRPr="00581870">
        <w:rPr>
          <w:rFonts w:ascii="Times New Roman" w:eastAsia="Calibri" w:hAnsi="Times New Roman" w:cs="Times New Roman"/>
          <w:b/>
          <w:spacing w:val="0"/>
          <w:kern w:val="0"/>
          <w:sz w:val="24"/>
          <w:szCs w:val="24"/>
          <w:shd w:val="clear" w:color="auto" w:fill="FFFFFF"/>
        </w:rPr>
        <w:t xml:space="preserve">KAPITALINIO </w:t>
      </w:r>
      <w:r w:rsidRPr="008F4B65">
        <w:rPr>
          <w:rFonts w:ascii="Times New Roman" w:eastAsia="Calibri" w:hAnsi="Times New Roman" w:cs="Times New Roman"/>
          <w:b/>
          <w:spacing w:val="0"/>
          <w:kern w:val="0"/>
          <w:sz w:val="24"/>
          <w:szCs w:val="24"/>
          <w:lang w:eastAsia="lt-LT"/>
        </w:rPr>
        <w:t xml:space="preserve">REMONTO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581870">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581870">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581870">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581870">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581870">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3FD5A522" w:rsidR="008F4B65" w:rsidRPr="008F4B65" w:rsidRDefault="00D41082" w:rsidP="00581870">
            <w:pPr>
              <w:spacing w:after="0" w:line="240" w:lineRule="auto"/>
              <w:rPr>
                <w:szCs w:val="24"/>
              </w:rPr>
            </w:pPr>
            <w:r>
              <w:rPr>
                <w:rFonts w:eastAsia="Calibri"/>
                <w:szCs w:val="24"/>
                <w:lang w:eastAsia="lt-LT"/>
              </w:rPr>
              <w:t>Stoties</w:t>
            </w:r>
            <w:r w:rsidR="00581870" w:rsidRPr="00581870">
              <w:rPr>
                <w:rFonts w:eastAsia="Calibri"/>
                <w:szCs w:val="24"/>
                <w:lang w:eastAsia="lt-LT"/>
              </w:rPr>
              <w:t xml:space="preserve"> g</w:t>
            </w:r>
            <w:r>
              <w:rPr>
                <w:rFonts w:eastAsia="Calibri"/>
                <w:szCs w:val="24"/>
                <w:lang w:eastAsia="lt-LT"/>
              </w:rPr>
              <w:t xml:space="preserve">atvės </w:t>
            </w:r>
            <w:r w:rsidR="00581870" w:rsidRPr="00581870">
              <w:rPr>
                <w:rFonts w:eastAsia="Calibri"/>
                <w:szCs w:val="24"/>
                <w:lang w:eastAsia="lt-LT"/>
              </w:rPr>
              <w:t>(</w:t>
            </w:r>
            <w:r>
              <w:rPr>
                <w:rFonts w:eastAsia="Calibri"/>
                <w:szCs w:val="24"/>
                <w:lang w:eastAsia="lt-LT"/>
              </w:rPr>
              <w:t xml:space="preserve">Nr. </w:t>
            </w:r>
            <w:r w:rsidR="00581870" w:rsidRPr="00581870">
              <w:rPr>
                <w:rFonts w:eastAsia="Calibri"/>
                <w:szCs w:val="24"/>
                <w:lang w:eastAsia="lt-LT"/>
              </w:rPr>
              <w:t>10.</w:t>
            </w:r>
            <w:r>
              <w:rPr>
                <w:rFonts w:eastAsia="Calibri"/>
                <w:szCs w:val="24"/>
                <w:lang w:eastAsia="lt-LT"/>
              </w:rPr>
              <w:t>39</w:t>
            </w:r>
            <w:r w:rsidR="00581870" w:rsidRPr="00581870">
              <w:rPr>
                <w:rFonts w:eastAsia="Calibri"/>
                <w:szCs w:val="24"/>
                <w:lang w:eastAsia="lt-LT"/>
              </w:rPr>
              <w:t xml:space="preserve">) </w:t>
            </w:r>
            <w:r>
              <w:rPr>
                <w:rFonts w:eastAsia="Calibri"/>
                <w:szCs w:val="24"/>
                <w:lang w:eastAsia="lt-LT"/>
              </w:rPr>
              <w:t>dalies</w:t>
            </w:r>
            <w:r w:rsidR="00581870" w:rsidRPr="00581870">
              <w:rPr>
                <w:rFonts w:eastAsia="Calibri"/>
                <w:szCs w:val="24"/>
                <w:lang w:eastAsia="lt-LT"/>
              </w:rPr>
              <w:t xml:space="preserve"> Švenčionėli</w:t>
            </w:r>
            <w:r>
              <w:rPr>
                <w:rFonts w:eastAsia="Calibri"/>
                <w:szCs w:val="24"/>
                <w:lang w:eastAsia="lt-LT"/>
              </w:rPr>
              <w:t>uose</w:t>
            </w:r>
            <w:r w:rsidR="00581870" w:rsidRPr="00581870">
              <w:rPr>
                <w:rFonts w:eastAsia="Calibri"/>
                <w:szCs w:val="24"/>
                <w:lang w:eastAsia="lt-LT"/>
              </w:rPr>
              <w:t>, Švenčionių r. sav.</w:t>
            </w:r>
            <w:r>
              <w:rPr>
                <w:rFonts w:eastAsia="Calibri"/>
                <w:szCs w:val="24"/>
                <w:lang w:eastAsia="lt-LT"/>
              </w:rPr>
              <w:t>,</w:t>
            </w:r>
            <w:r w:rsidR="00581870">
              <w:rPr>
                <w:rFonts w:eastAsia="Calibri"/>
                <w:szCs w:val="24"/>
                <w:lang w:eastAsia="lt-LT"/>
              </w:rPr>
              <w:t xml:space="preserve"> </w:t>
            </w:r>
            <w:r w:rsidR="00581870" w:rsidRPr="00581870">
              <w:rPr>
                <w:rFonts w:eastAsia="Calibri"/>
                <w:szCs w:val="24"/>
                <w:lang w:eastAsia="lt-LT"/>
              </w:rPr>
              <w:t xml:space="preserve">kapitalinio </w:t>
            </w:r>
            <w:r w:rsidR="00581870" w:rsidRPr="00581870">
              <w:rPr>
                <w:rFonts w:eastAsia="Calibri"/>
                <w:szCs w:val="24"/>
              </w:rPr>
              <w:t xml:space="preserve">remonto </w:t>
            </w:r>
            <w:r w:rsidR="003E0EE2" w:rsidRPr="003E0EE2">
              <w:rPr>
                <w:rFonts w:eastAsia="Calibri"/>
                <w:bCs/>
                <w:szCs w:val="24"/>
              </w:rPr>
              <w:t>darbai</w:t>
            </w:r>
          </w:p>
        </w:tc>
        <w:tc>
          <w:tcPr>
            <w:tcW w:w="1275" w:type="dxa"/>
          </w:tcPr>
          <w:p w14:paraId="4F5C1F78" w14:textId="77777777" w:rsidR="008F4B65" w:rsidRPr="008F4B65" w:rsidRDefault="008F4B65" w:rsidP="00581870">
            <w:pPr>
              <w:spacing w:after="0" w:line="240" w:lineRule="auto"/>
              <w:jc w:val="center"/>
              <w:rPr>
                <w:szCs w:val="24"/>
              </w:rPr>
            </w:pPr>
          </w:p>
        </w:tc>
        <w:tc>
          <w:tcPr>
            <w:tcW w:w="993" w:type="dxa"/>
          </w:tcPr>
          <w:p w14:paraId="1C301357" w14:textId="77777777" w:rsidR="008F4B65" w:rsidRPr="008F4B65" w:rsidRDefault="008F4B65" w:rsidP="00581870">
            <w:pPr>
              <w:spacing w:after="0" w:line="240" w:lineRule="auto"/>
              <w:jc w:val="center"/>
              <w:rPr>
                <w:szCs w:val="24"/>
              </w:rPr>
            </w:pPr>
          </w:p>
        </w:tc>
        <w:tc>
          <w:tcPr>
            <w:tcW w:w="1269" w:type="dxa"/>
          </w:tcPr>
          <w:p w14:paraId="7B62B4C9" w14:textId="77777777" w:rsidR="008F4B65" w:rsidRPr="008F4B65" w:rsidRDefault="008F4B65"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34D12"/>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81870"/>
    <w:rsid w:val="00593529"/>
    <w:rsid w:val="005A2642"/>
    <w:rsid w:val="005D0A75"/>
    <w:rsid w:val="005D77B3"/>
    <w:rsid w:val="005E7A19"/>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62E66"/>
    <w:rsid w:val="00B73D58"/>
    <w:rsid w:val="00BD13F4"/>
    <w:rsid w:val="00BF62FF"/>
    <w:rsid w:val="00C26B39"/>
    <w:rsid w:val="00C556F4"/>
    <w:rsid w:val="00C808E7"/>
    <w:rsid w:val="00CC0339"/>
    <w:rsid w:val="00CF05F3"/>
    <w:rsid w:val="00D148BB"/>
    <w:rsid w:val="00D15AC2"/>
    <w:rsid w:val="00D25EF6"/>
    <w:rsid w:val="00D41082"/>
    <w:rsid w:val="00D80F40"/>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3021</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9</cp:revision>
  <cp:lastPrinted>2017-10-20T07:44:00Z</cp:lastPrinted>
  <dcterms:created xsi:type="dcterms:W3CDTF">2025-03-13T09:45:00Z</dcterms:created>
  <dcterms:modified xsi:type="dcterms:W3CDTF">2026-05-11T11:41:00Z</dcterms:modified>
</cp:coreProperties>
</file>